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40"/>
          <w:szCs w:val="40"/>
        </w:rPr>
        <w:t xml:space="preserve">Case Study: The Marginal Call</w:t>
      </w:r>
    </w:p>
    <w:p>
      <w:pPr>
        <w:spacing w:after="300"/>
        <w:jc w:val="center"/>
      </w:pPr>
      <w:r>
        <w:rPr>
          <w:i/>
          <w:iCs/>
          <w:color w:val="5B6472"/>
          <w:sz w:val="20"/>
          <w:szCs w:val="20"/>
        </w:rPr>
        <w:t xml:space="preserve">MS | Math | Case Study | 2026 | Adventure</w:t>
      </w:r>
    </w:p>
    <w:p>
      <w:pPr>
        <w:pStyle w:val="Heading1"/>
        <w:spacing w:after="120" w:before="240"/>
      </w:pPr>
      <w:r>
        <w:t xml:space="preserve">Overview</w:t>
      </w:r>
    </w:p>
    <w:p>
      <w:pPr>
        <w:spacing w:after="160"/>
      </w:pPr>
      <w:r>
        <w:t xml:space="preserve">The shop floor still smells like wet sawdust and machine oil when Renata Osei's phone lights up for the third time in an hour — the mill, again, wanting an answer she doesn't have yet. Through the window of her small office she can see the crew mid-shift, stacking finished chair frames near the loading dock, oblivious to the number sitting open on her screen: the hotel chain's purchase order, the biggest single order the shop has ever signed. Black walnut, all of it, FSC-certified, and there is exactly one mill drying run left this season that can supply it before the ship date.</w:t>
      </w:r>
    </w:p>
    <w:p>
      <w:pPr>
        <w:spacing w:after="160"/>
      </w:pPr>
      <w:r>
        <w:t xml:space="preserve">Her laptop has two tabs open. One is the deposit form for the batch size they always order — the one her credit line covers without a second thought. The other is a spreadsheet she has been rebuilding all morning, chasing the point where a bigger batch actually starts paying for itself. That number keeps landing above what her credit line covers on its own, which means a call to the bank — a call that could take days to clear, if it clears at all before someone else locks the mill's last slot.</w:t>
      </w:r>
    </w:p>
    <w:p>
      <w:pPr>
        <w:spacing w:after="160"/>
      </w:pPr>
      <w:r>
        <w:t xml:space="preserve">Her operations partner leans into the doorway. "The mill needs the batch size by end of day. Not tomorrow." She nods without looking up. Behind her, out on the floor, a table saw rises and falls, rises and falls, and she still hasn't touched either tab.</w:t>
      </w:r>
    </w:p>
    <w:p>
      <w:pPr>
        <w:pStyle w:val="Heading1"/>
        <w:spacing w:after="120" w:before="240"/>
      </w:pPr>
      <w:r>
        <w:t xml:space="preserve">Background</w:t>
      </w:r>
    </w:p>
    <w:p>
      <w:pPr>
        <w:spacing w:after="160"/>
      </w:pPr>
      <w:r>
        <w:t xml:space="preserve">Renata Osei is the operations manager of a small furniture workshop that has spent a decade building custom pieces to order, never before at the scale this order requires. A regional hotel chain has placed a holiday bulk order for guest-room furniture — every piece specified in FSC-certified black walnut — with a firm five-week ship date. The workshop's mill has exactly one more kiln-drying run scheduled this season that can deliver certified black walnut in time, and Renata has learned, informally, that a national furniture chain is also bidding for space in that same run (SEE APPENDIX D).</w:t>
      </w:r>
    </w:p>
    <w:p>
      <w:pPr>
        <w:spacing w:after="160"/>
      </w:pPr>
      <w:r>
        <w:t xml:space="preserve">Renata and her operations partner have started calling the choice by the two batch sizes on the table. The Steady Order means locking in the shop's usual run size — the board footage they have ordered from this mill for years, priced and financed the way it has always been financed (SEE APPENDIX A, APPENDIX B). Their existing line of credit covers that deposit without incident. The Full Kiln means locking in a much larger run — large enough to claim the mill's volume price break and spread the run's fixed setup cost over more board feet, which lowers the average cost of every board foot produced (SEE APPENDIX A) — but large enough that the required deposit exceeds what the credit line covers on its own, requiring a same-day bank approval that is not guaranteed to clear before the mill's last slot fills (SEE APPENDIX D).</w:t>
      </w:r>
    </w:p>
    <w:p>
      <w:pPr>
        <w:spacing w:after="160"/>
      </w:pPr>
      <w:r>
        <w:t xml:space="preserve">A larger run does not automatically mean a cheaper order, however. The hotel's order and the shop's other standing accounts can only absorb so many finished walnut board feet within the five-week window (SEE APPENDIX C); any board footage locked in beyond that amount sits as unsold inventory, tying up cash and carrying its own cost for as long as it goes unsold (SEE APPENDIX C). Both the run's total cost and the cost of any unsold leftover scale with the batch size Renata locks in today — before she knows whether the bank call clears, and before she knows whether the mill's last slot is even still open. The vocabulary and "how to…" procedures this case will ask you to research are listed in (SEE APPENDIX F); every priced or sourced figure is documented in (SEE APPENDIX E).</w:t>
      </w:r>
    </w:p>
    <w:p>
      <w:pPr>
        <w:pStyle w:val="Heading1"/>
        <w:spacing w:after="120" w:before="240"/>
      </w:pPr>
      <w:r>
        <w:t xml:space="preserve">Dilemma</w:t>
      </w:r>
    </w:p>
    <w:p>
      <w:pPr>
        <w:spacing w:after="160"/>
      </w:pPr>
      <w:r>
        <w:rPr>
          <w:b/>
          <w:bCs/>
        </w:rPr>
        <w:t xml:space="preserve">You are Renata Osei.</w:t>
      </w:r>
    </w:p>
    <w:p>
      <w:pPr>
        <w:spacing w:after="160"/>
      </w:pPr>
      <w:r>
        <w:rPr>
          <w:b/>
          <w:bCs/>
        </w:rPr>
        <w:t xml:space="preserve">Do you:</w:t>
      </w:r>
    </w:p>
    <w:p>
      <w:pPr>
        <w:spacing w:after="160"/>
      </w:pPr>
      <w:r>
        <w:t xml:space="preserve">A.) Lock in The Steady Order — the shop's usual batch size, financed comfortably within the existing credit line OR</w:t>
      </w:r>
    </w:p>
    <w:p>
      <w:pPr>
        <w:spacing w:after="160"/>
      </w:pPr>
      <w:r>
        <w:t xml:space="preserve">B.) Lock in The Full Kiln — a larger batch size that lowers the average cost per board foot, financed only if a same-day bank call clears in time</w:t>
      </w:r>
    </w:p>
    <w:p>
      <w:pPr>
        <w:pStyle w:val="Heading1"/>
        <w:spacing w:after="120" w:before="240"/>
      </w:pPr>
      <w:r>
        <w:t xml:space="preserve">Challenges</w:t>
      </w:r>
    </w:p>
    <w:p>
      <w:pPr>
        <w:spacing w:after="160"/>
      </w:pPr>
      <w:r>
        <w:t xml:space="preserve">1.) Research and find an online resource that answers one of the "how to…" questions from the case study launch. Post a link to the resource as your submission.</w:t>
      </w:r>
    </w:p>
    <w:p>
      <w:pPr>
        <w:spacing w:after="160"/>
      </w:pPr>
      <w:r>
        <w:t xml:space="preserve">2.) Post 250 or more "excellent" words pitching a firm stance to your audience on which you would choose and why. Your pitch must include:</w:t>
      </w:r>
    </w:p>
    <w:p>
      <w:pPr>
        <w:pStyle w:val="ListParagraph"/>
        <w:numPr>
          <w:ilvl w:val="0"/>
          <w:numId w:val="2"/>
        </w:numPr>
        <w:spacing w:after="80"/>
      </w:pPr>
      <w:r>
        <w:t xml:space="preserve">a.) Use of the "how to…" resource you researched in Challenge 1.</w:t>
      </w:r>
    </w:p>
    <w:p>
      <w:pPr>
        <w:pStyle w:val="ListParagraph"/>
        <w:numPr>
          <w:ilvl w:val="0"/>
          <w:numId w:val="2"/>
        </w:numPr>
        <w:spacing w:after="80"/>
      </w:pPr>
      <w:r>
        <w:t xml:space="preserve">b.) At least one original visual display of the data.</w:t>
      </w:r>
    </w:p>
    <w:p>
      <w:pPr>
        <w:spacing w:after="160"/>
      </w:pPr>
      <w:r>
        <w:t xml:space="preserve">3.) Your pitch must include:</w:t>
      </w:r>
    </w:p>
    <w:p>
      <w:pPr>
        <w:pStyle w:val="ListParagraph"/>
        <w:numPr>
          <w:ilvl w:val="0"/>
          <w:numId w:val="2"/>
        </w:numPr>
        <w:spacing w:after="80"/>
      </w:pPr>
      <w:r>
        <w:t xml:space="preserve">D1. A total production-cost function C(x), where x is the number of board feet of black walnut locked into today's kiln-drying run: using Appendix A's fixed run cost, per-board-foot variable cost, and overtime-labor cost coefficient, combine them into a single cost function in x.</w:t>
      </w:r>
    </w:p>
    <w:p>
      <w:pPr>
        <w:pStyle w:val="ListParagraph"/>
        <w:numPr>
          <w:ilvl w:val="0"/>
          <w:numId w:val="2"/>
        </w:numPr>
        <w:spacing w:after="80"/>
      </w:pPr>
      <w:r>
        <w:t xml:space="preserve">D2. Using the quotient rule, differentiate the average-cost function A(x) = C(x)/x with respect to x, set A'(x) = 0, and solve algebraically for the board footage x* that minimizes average cost — showing every step of the quotient-rule algebra. Then use the first derivative test to confirm x* is a minimum and not a maximum.</w:t>
      </w:r>
    </w:p>
    <w:p>
      <w:pPr>
        <w:pStyle w:val="ListParagraph"/>
        <w:numPr>
          <w:ilvl w:val="0"/>
          <w:numId w:val="2"/>
        </w:numPr>
        <w:spacing w:after="80"/>
      </w:pPr>
      <w:r>
        <w:t xml:space="preserve">D3. An average-cost comparison table: evaluate A(x) = C(x)/x at three board footages — x* from D2, The Steady Order's board footage, and The Full Kiln's board footage (Appendix B) — showing every calculation, and state which of the two real options has the lower average cost and by how much, in dollars and as a percent.</w:t>
      </w:r>
    </w:p>
    <w:p>
      <w:pPr>
        <w:pStyle w:val="ListParagraph"/>
        <w:numPr>
          <w:ilvl w:val="0"/>
          <w:numId w:val="2"/>
        </w:numPr>
        <w:spacing w:after="80"/>
      </w:pPr>
      <w:r>
        <w:t xml:space="preserve">D4. A net-cost-per-board-foot-sold calculation for both The Steady Order and The Full Kiln: using Appendix C's sellable-board-footage limit and carrying-cost rate, determine how many board feet (if any) of each option would go unsold this quarter, add the resulting carrying cost to that option's total cost from D1, and divide by the board footage actually sold — not the board footage produced — to get each option's real net cost per board foot sold.</w:t>
      </w:r>
    </w:p>
    <w:p>
      <w:pPr>
        <w:pStyle w:val="ListParagraph"/>
        <w:numPr>
          <w:ilvl w:val="0"/>
          <w:numId w:val="2"/>
        </w:numPr>
        <w:spacing w:after="80"/>
      </w:pPr>
      <w:r>
        <w:t xml:space="preserve">D5. An original visual display (a graph of A(x), built in Desmos or by hand, or an equivalent chart) showing average cost versus batch size, with x*, The Steady Order's board footage, and The Full Kiln's board footage all labeled.</w:t>
      </w:r>
    </w:p>
    <w:p>
      <w:pPr>
        <w:pStyle w:val="ListParagraph"/>
        <w:numPr>
          <w:ilvl w:val="0"/>
          <w:numId w:val="2"/>
        </w:numPr>
        <w:spacing w:after="80"/>
      </w:pPr>
      <w:r>
        <w:t xml:space="preserve">D6. A one-paragraph financing memo: using Appendix D's deposit percentages and credit-line limit, calculate in dollars how much additional financing The Full Kiln requires beyond the existing credit line, and state what happens to the deposit already committed if the bank call does not clear before the mill's last slot fills.</w:t>
      </w:r>
    </w:p>
    <w:p>
      <w:pPr>
        <w:spacing w:after="160"/>
      </w:pPr>
      <w:r>
        <w:t xml:space="preserve">4.) An appendix showing evidence of your original thinking, work, calculations and processes you used to complete the challenges (pictures, screenshots, notes, etc.). Your work in the appendix does not count toward your word count.</w:t>
      </w:r>
    </w:p>
    <w:p>
      <w:pPr>
        <w:spacing w:after="160"/>
      </w:pPr>
      <w:r>
        <w:t xml:space="preserve">5.) Participate twice or more in the Case Study discussion. *If you are absent the day of a discussion post 500 "excellent" words on the questions above.</w:t>
      </w:r>
    </w:p>
    <w:p>
      <w:pPr>
        <w:pStyle w:val="Heading2"/>
        <w:spacing w:after="120" w:before="240"/>
      </w:pPr>
      <w:r>
        <w:t xml:space="preserve">Appendix A — Production Cost Structure</w:t>
      </w:r>
    </w:p>
    <w:p>
      <w:pPr>
        <w:spacing w:after="160"/>
      </w:pPr>
      <w:r>
        <w:rPr>
          <w:i/>
          <w:iCs/>
          <w:color w:val="5B6472"/>
          <w:sz w:val="20"/>
          <w:szCs w:val="20"/>
        </w:rPr>
        <w:t xml:space="preserve">The three cost components that combine into the run's total cost, C(x), where x is board feet of black walnut locked into today's run. Referenced from Background and Dilemma; forces Challenge 3 (D1, D2, D3).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600"/>
        <w:gridCol w:w="2800"/>
      </w:tblGrid>
      <w:tr>
        <w:trPr>
          <w:tblHeader/>
        </w:trPr>
        <w:tc>
          <w:tcPr>
            <w:tcW w:type="dxa" w:w="6600"/>
            <w:shd w:fill="1A3A5C" w:color="auto" w:val="clear"/>
          </w:tcPr>
          <w:p>
            <w:r>
              <w:rPr>
                <w:b/>
                <w:bCs/>
                <w:color w:val="FFFFFF"/>
              </w:rPr>
              <w:t xml:space="preserve"/>
            </w:r>
          </w:p>
        </w:tc>
        <w:tc>
          <w:tcPr>
            <w:tcW w:type="dxa" w:w="2800"/>
            <w:shd w:fill="1A3A5C" w:color="auto" w:val="clear"/>
          </w:tcPr>
          <w:p>
            <w:r>
              <w:rPr>
                <w:b/>
                <w:bCs/>
                <w:color w:val="FFFFFF"/>
              </w:rPr>
              <w:t xml:space="preserve">Value</w:t>
            </w:r>
          </w:p>
        </w:tc>
      </w:tr>
      <w:tr>
        <w:tc>
          <w:tcPr>
            <w:tcW w:type="dxa" w:w="6600"/>
          </w:tcPr>
          <w:p>
            <w:r>
              <w:t xml:space="preserve">Fixed cost per kiln-drying run (mill run-booking/scheduling fee plus the shop's own line changeover and setup labor, independent of run size)</w:t>
            </w:r>
          </w:p>
        </w:tc>
        <w:tc>
          <w:tcPr>
            <w:tcW w:type="dxa" w:w="2800"/>
          </w:tcPr>
          <w:p>
            <w:r>
              <w:t xml:space="preserve">$1,800 (MA1)</w:t>
            </w:r>
          </w:p>
        </w:tc>
      </w:tr>
      <w:tr>
        <w:tc>
          <w:tcPr>
            <w:tcW w:type="dxa" w:w="6600"/>
          </w:tcPr>
          <w:p>
            <w:r>
              <w:t xml:space="preserve">Variable cost per board foot at standard (non-overtime) capacity (kiln-dried lumber $14.00/bf [S1] + kiln-drying $0.90/bf [S2] + standard-shift labor $2.50/bf, derived from [S3] — MA2)</w:t>
            </w:r>
          </w:p>
        </w:tc>
        <w:tc>
          <w:tcPr>
            <w:tcW w:type="dxa" w:w="2800"/>
          </w:tcPr>
          <w:p>
            <w:r>
              <w:t xml:space="preserve">$17.40/bf</w:t>
            </w:r>
          </w:p>
        </w:tc>
      </w:tr>
      <w:tr>
        <w:tc>
          <w:tcPr>
            <w:tcW w:type="dxa" w:w="6600"/>
          </w:tcPr>
          <w:p>
            <w:r>
              <w:t xml:space="preserve">Overtime-labor cost coefficient, k, in C(x) = F + vx + kx² (additional cost that scales with board feet once the run exceeds the shop's normal two-shift throughput capacity within the five-week window)</w:t>
            </w:r>
          </w:p>
        </w:tc>
        <w:tc>
          <w:tcPr>
            <w:tcW w:type="dxa" w:w="2800"/>
          </w:tcPr>
          <w:p>
            <w:r>
              <w:t xml:space="preserve">0.0001 $/bf² (MA3)</w:t>
            </w:r>
          </w:p>
        </w:tc>
      </w:tr>
    </w:tbl>
    <w:p>
      <w:pPr>
        <w:pStyle w:val="Heading2"/>
        <w:spacing w:after="120" w:before="240"/>
      </w:pPr>
      <w:r>
        <w:t xml:space="preserve">Appendix B — Renata's Two Batch Options</w:t>
      </w:r>
    </w:p>
    <w:p>
      <w:pPr>
        <w:spacing w:after="160"/>
      </w:pPr>
      <w:r>
        <w:rPr>
          <w:i/>
          <w:iCs/>
          <w:color w:val="5B6472"/>
          <w:sz w:val="20"/>
          <w:szCs w:val="20"/>
        </w:rPr>
        <w:t xml:space="preserve">The two real batch sizes on the table. Referenced from Background and Dilemma; forces Challenge 3 (D2, D3, D4, D5).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600"/>
        <w:gridCol w:w="2800"/>
      </w:tblGrid>
      <w:tr>
        <w:trPr>
          <w:tblHeader/>
        </w:trPr>
        <w:tc>
          <w:tcPr>
            <w:tcW w:type="dxa" w:w="6600"/>
            <w:shd w:fill="1A3A5C" w:color="auto" w:val="clear"/>
          </w:tcPr>
          <w:p>
            <w:r>
              <w:rPr>
                <w:b/>
                <w:bCs/>
                <w:color w:val="FFFFFF"/>
              </w:rPr>
              <w:t xml:space="preserve"/>
            </w:r>
          </w:p>
        </w:tc>
        <w:tc>
          <w:tcPr>
            <w:tcW w:type="dxa" w:w="2800"/>
            <w:shd w:fill="1A3A5C" w:color="auto" w:val="clear"/>
          </w:tcPr>
          <w:p>
            <w:r>
              <w:rPr>
                <w:b/>
                <w:bCs/>
                <w:color w:val="FFFFFF"/>
              </w:rPr>
              <w:t xml:space="preserve">Board feet</w:t>
            </w:r>
          </w:p>
        </w:tc>
      </w:tr>
      <w:tr>
        <w:tc>
          <w:tcPr>
            <w:tcW w:type="dxa" w:w="6600"/>
          </w:tcPr>
          <w:p>
            <w:r>
              <w:t xml:space="preserve">The Steady Order (the shop's usual run size, ordered from this mill for years)</w:t>
            </w:r>
          </w:p>
        </w:tc>
        <w:tc>
          <w:tcPr>
            <w:tcW w:type="dxa" w:w="2800"/>
          </w:tcPr>
          <w:p>
            <w:r>
              <w:t xml:space="preserve">2,000 bf (MA4)</w:t>
            </w:r>
          </w:p>
        </w:tc>
      </w:tr>
      <w:tr>
        <w:tc>
          <w:tcPr>
            <w:tcW w:type="dxa" w:w="6600"/>
          </w:tcPr>
          <w:p>
            <w:r>
              <w:t xml:space="preserve">The Full Kiln (the larger run size the mill's last slot this season can support at its deep-discount threshold)</w:t>
            </w:r>
          </w:p>
        </w:tc>
        <w:tc>
          <w:tcPr>
            <w:tcW w:type="dxa" w:w="2800"/>
          </w:tcPr>
          <w:p>
            <w:r>
              <w:t xml:space="preserve">3,000 bf (MA5)</w:t>
            </w:r>
          </w:p>
        </w:tc>
      </w:tr>
    </w:tbl>
    <w:p>
      <w:pPr>
        <w:pStyle w:val="Heading2"/>
        <w:spacing w:after="120" w:before="240"/>
      </w:pPr>
      <w:r>
        <w:t xml:space="preserve">Appendix C — This Quarter's Sellable Limit and Carrying Cost</w:t>
      </w:r>
    </w:p>
    <w:p>
      <w:pPr>
        <w:spacing w:after="160"/>
      </w:pPr>
      <w:r>
        <w:rPr>
          <w:i/>
          <w:iCs/>
          <w:color w:val="5B6472"/>
          <w:sz w:val="20"/>
          <w:szCs w:val="20"/>
        </w:rPr>
        <w:t xml:space="preserve">The ceiling on how much of either batch can actually be sold this quarter, and what it costs to hold anything beyond that ceiling. Referenced from Background; forces Challenge 3 (D4).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600"/>
        <w:gridCol w:w="2800"/>
      </w:tblGrid>
      <w:tr>
        <w:trPr>
          <w:tblHeader/>
        </w:trPr>
        <w:tc>
          <w:tcPr>
            <w:tcW w:type="dxa" w:w="6600"/>
            <w:shd w:fill="1A3A5C" w:color="auto" w:val="clear"/>
          </w:tcPr>
          <w:p>
            <w:r>
              <w:rPr>
                <w:b/>
                <w:bCs/>
                <w:color w:val="FFFFFF"/>
              </w:rPr>
              <w:t xml:space="preserve"/>
            </w:r>
          </w:p>
        </w:tc>
        <w:tc>
          <w:tcPr>
            <w:tcW w:type="dxa" w:w="2800"/>
            <w:shd w:fill="1A3A5C" w:color="auto" w:val="clear"/>
          </w:tcPr>
          <w:p>
            <w:r>
              <w:rPr>
                <w:b/>
                <w:bCs/>
                <w:color w:val="FFFFFF"/>
              </w:rPr>
              <w:t xml:space="preserve">Value</w:t>
            </w:r>
          </w:p>
        </w:tc>
      </w:tr>
      <w:tr>
        <w:tc>
          <w:tcPr>
            <w:tcW w:type="dxa" w:w="6600"/>
          </w:tcPr>
          <w:p>
            <w:r>
              <w:t xml:space="preserve">Total board feet of finished walnut furniture the hotel's bulk order plus the shop's existing standing accounts will consume within the five-week ship window</w:t>
            </w:r>
          </w:p>
        </w:tc>
        <w:tc>
          <w:tcPr>
            <w:tcW w:type="dxa" w:w="2800"/>
          </w:tcPr>
          <w:p>
            <w:r>
              <w:t xml:space="preserve">2,700 bf (MA6)</w:t>
            </w:r>
          </w:p>
        </w:tc>
      </w:tr>
      <w:tr>
        <w:tc>
          <w:tcPr>
            <w:tcW w:type="dxa" w:w="6600"/>
          </w:tcPr>
          <w:p>
            <w:r>
              <w:t xml:space="preserve">Carrying cost per unsold board foot, per quarter (storage, tied-up capital, and spoilage/obsolescence risk)</w:t>
            </w:r>
          </w:p>
        </w:tc>
        <w:tc>
          <w:tcPr>
            <w:tcW w:type="dxa" w:w="2800"/>
          </w:tcPr>
          <w:p>
            <w:r>
              <w:t xml:space="preserve">5% of the $17.40/bf variable unit cost per quarter [S4] = $0.87/bf</w:t>
            </w:r>
          </w:p>
        </w:tc>
      </w:tr>
    </w:tbl>
    <w:p>
      <w:pPr>
        <w:pStyle w:val="Heading2"/>
        <w:spacing w:after="120" w:before="240"/>
      </w:pPr>
      <w:r>
        <w:t xml:space="preserve">Appendix D — The Clock and the Money</w:t>
      </w:r>
    </w:p>
    <w:p>
      <w:pPr>
        <w:spacing w:after="160"/>
      </w:pPr>
      <w:r>
        <w:rPr>
          <w:i/>
          <w:iCs/>
          <w:color w:val="5B6472"/>
          <w:sz w:val="20"/>
          <w:szCs w:val="20"/>
        </w:rPr>
        <w:t xml:space="preserve">The financing and timing constraints Renata is deciding under. Referenced from Background and Dilemma; forces Challenge 3 (D6).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600"/>
        <w:gridCol w:w="2800"/>
      </w:tblGrid>
      <w:tr>
        <w:trPr>
          <w:tblHeader/>
        </w:trPr>
        <w:tc>
          <w:tcPr>
            <w:tcW w:type="dxa" w:w="6600"/>
            <w:shd w:fill="1A3A5C" w:color="auto" w:val="clear"/>
          </w:tcPr>
          <w:p>
            <w:r>
              <w:rPr>
                <w:b/>
                <w:bCs/>
                <w:color w:val="FFFFFF"/>
              </w:rPr>
              <w:t xml:space="preserve"/>
            </w:r>
          </w:p>
        </w:tc>
        <w:tc>
          <w:tcPr>
            <w:tcW w:type="dxa" w:w="2800"/>
            <w:shd w:fill="1A3A5C" w:color="auto" w:val="clear"/>
          </w:tcPr>
          <w:p>
            <w:r>
              <w:rPr>
                <w:b/>
                <w:bCs/>
                <w:color w:val="FFFFFF"/>
              </w:rPr>
              <w:t xml:space="preserve">Value</w:t>
            </w:r>
          </w:p>
        </w:tc>
      </w:tr>
      <w:tr>
        <w:tc>
          <w:tcPr>
            <w:tcW w:type="dxa" w:w="6600"/>
          </w:tcPr>
          <w:p>
            <w:r>
              <w:t xml:space="preserve">Ship deadline</w:t>
            </w:r>
          </w:p>
        </w:tc>
        <w:tc>
          <w:tcPr>
            <w:tcW w:type="dxa" w:w="2800"/>
          </w:tcPr>
          <w:p>
            <w:r>
              <w:t xml:space="preserve">5 weeks from today (MA7 — matches Background's narrative)</w:t>
            </w:r>
          </w:p>
        </w:tc>
      </w:tr>
      <w:tr>
        <w:tc>
          <w:tcPr>
            <w:tcW w:type="dxa" w:w="6600"/>
          </w:tcPr>
          <w:p>
            <w:r>
              <w:t xml:space="preserve">Available headroom on the shop's existing business line of credit (the line is otherwise drawn for ongoing payroll and materials)</w:t>
            </w:r>
          </w:p>
        </w:tc>
        <w:tc>
          <w:tcPr>
            <w:tcW w:type="dxa" w:w="2800"/>
          </w:tcPr>
          <w:p>
            <w:r>
              <w:t xml:space="preserve">$25,000 (MA8)</w:t>
            </w:r>
          </w:p>
        </w:tc>
      </w:tr>
      <w:tr>
        <w:tc>
          <w:tcPr>
            <w:tcW w:type="dxa" w:w="6600"/>
          </w:tcPr>
          <w:p>
            <w:r>
              <w:t xml:space="preserve">Deposit required to book a kiln-drying run at this mill, as a percent of that run's total cost</w:t>
            </w:r>
          </w:p>
        </w:tc>
        <w:tc>
          <w:tcPr>
            <w:tcW w:type="dxa" w:w="2800"/>
          </w:tcPr>
          <w:p>
            <w:r>
              <w:t xml:space="preserve">50% [S5]</w:t>
            </w:r>
          </w:p>
        </w:tc>
      </w:tr>
      <w:tr>
        <w:tc>
          <w:tcPr>
            <w:tcW w:type="dxa" w:w="6600"/>
          </w:tcPr>
          <w:p>
            <w:r>
              <w:t xml:space="preserve">Typical turnaround time for a small business to get bank approval on a line-of-credit increase</w:t>
            </w:r>
          </w:p>
        </w:tc>
        <w:tc>
          <w:tcPr>
            <w:tcW w:type="dxa" w:w="2800"/>
          </w:tcPr>
          <w:p>
            <w:r>
              <w:t xml:space="preserve">1–3 weeks (traditional bank) [S6]</w:t>
            </w:r>
          </w:p>
        </w:tc>
      </w:tr>
    </w:tbl>
    <w:p>
      <w:pPr>
        <w:pStyle w:val="Heading2"/>
        <w:spacing w:after="120" w:before="240"/>
      </w:pPr>
      <w:r>
        <w:t xml:space="preserve">Modeling Assumptions</w:t>
      </w:r>
    </w:p>
    <w:p>
      <w:pPr>
        <w:spacing w:after="160"/>
      </w:pPr>
      <w:r>
        <w:rPr>
          <w:i/>
          <w:iCs/>
        </w:rPr>
        <w:t xml:space="preserve">These figures are not sourced. They are stated scenario assumptions chosen by the case author/researcher, because a genuine multi-tier search found no public source publishing them for a private mill or a specific small furniture shop. A Hero may challenge them in discussion — that is a legitimate move.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400"/>
        <w:gridCol w:w="2900"/>
        <w:gridCol w:w="2000"/>
      </w:tblGrid>
      <w:tr>
        <w:trPr>
          <w:tblHeader/>
        </w:trPr>
        <w:tc>
          <w:tcPr>
            <w:tcW w:type="dxa" w:w="700"/>
            <w:shd w:fill="1A3A5C" w:color="auto" w:val="clear"/>
          </w:tcPr>
          <w:p>
            <w:r>
              <w:rPr>
                <w:b/>
                <w:bCs/>
                <w:color w:val="FFFFFF"/>
              </w:rPr>
              <w:t xml:space="preserve">#</w:t>
            </w:r>
          </w:p>
        </w:tc>
        <w:tc>
          <w:tcPr>
            <w:tcW w:type="dxa" w:w="2400"/>
            <w:shd w:fill="1A3A5C" w:color="auto" w:val="clear"/>
          </w:tcPr>
          <w:p>
            <w:r>
              <w:rPr>
                <w:b/>
                <w:bCs/>
                <w:color w:val="FFFFFF"/>
              </w:rPr>
              <w:t xml:space="preserve">Assumption</w:t>
            </w:r>
          </w:p>
        </w:tc>
        <w:tc>
          <w:tcPr>
            <w:tcW w:type="dxa" w:w="1400"/>
            <w:shd w:fill="1A3A5C" w:color="auto" w:val="clear"/>
          </w:tcPr>
          <w:p>
            <w:r>
              <w:rPr>
                <w:b/>
                <w:bCs/>
                <w:color w:val="FFFFFF"/>
              </w:rPr>
              <w:t xml:space="preserve">Value used</w:t>
            </w:r>
          </w:p>
        </w:tc>
        <w:tc>
          <w:tcPr>
            <w:tcW w:type="dxa" w:w="2900"/>
            <w:shd w:fill="1A3A5C" w:color="auto" w:val="clear"/>
          </w:tcPr>
          <w:p>
            <w:r>
              <w:rPr>
                <w:b/>
                <w:bCs/>
                <w:color w:val="FFFFFF"/>
              </w:rPr>
              <w:t xml:space="preserve">Basis</w:t>
            </w:r>
          </w:p>
        </w:tc>
        <w:tc>
          <w:tcPr>
            <w:tcW w:type="dxa" w:w="2000"/>
            <w:shd w:fill="1A3A5C" w:color="auto" w:val="clear"/>
          </w:tcPr>
          <w:p>
            <w:r>
              <w:rPr>
                <w:b/>
                <w:bCs/>
                <w:color w:val="FFFFFF"/>
              </w:rPr>
              <w:t xml:space="preserve">Sensitivity</w:t>
            </w:r>
          </w:p>
        </w:tc>
      </w:tr>
      <w:tr>
        <w:tc>
          <w:tcPr>
            <w:tcW w:type="dxa" w:w="700"/>
          </w:tcPr>
          <w:p>
            <w:r>
              <w:t xml:space="preserve">MA1</w:t>
            </w:r>
          </w:p>
        </w:tc>
        <w:tc>
          <w:tcPr>
            <w:tcW w:type="dxa" w:w="2400"/>
          </w:tcPr>
          <w:p>
            <w:r>
              <w:t xml:space="preserve">Fixed cost per kiln-drying run (mill run-booking fee + shop changeover/setup labor)</w:t>
            </w:r>
          </w:p>
        </w:tc>
        <w:tc>
          <w:tcPr>
            <w:tcW w:type="dxa" w:w="1400"/>
          </w:tcPr>
          <w:p>
            <w:r>
              <w:t xml:space="preserve">$1,800</w:t>
            </w:r>
          </w:p>
        </w:tc>
        <w:tc>
          <w:tcPr>
            <w:tcW w:type="dxa" w:w="2900"/>
          </w:tcPr>
          <w:p>
            <w:r>
              <w:t xml:space="preserve">Neither hardwood-kiln operator found in research (Kitsap Dry Kiln, Timms Sawmill) charges a separate flat run-booking fee — both price per board foot or a small flat processing charge — so no public figure exists for this specific line item. $1,800 combines a modest kiln-scheduling fee with roughly a day of shop changeover/setup labor at a blended shop rate.</w:t>
            </w:r>
          </w:p>
        </w:tc>
        <w:tc>
          <w:tcPr>
            <w:tcW w:type="dxa" w:w="2000"/>
          </w:tcPr>
          <w:p>
            <w:r>
              <w:t xml:space="preserve">This term sets the scale at which average cost is minimized (x* = √(F/k)) — a Hero who argues F should be materially higher or lower changes where the theoretical minimum falls, though not which of the two real options wins.</w:t>
            </w:r>
          </w:p>
        </w:tc>
      </w:tr>
      <w:tr>
        <w:tc>
          <w:tcPr>
            <w:tcW w:type="dxa" w:w="700"/>
          </w:tcPr>
          <w:p>
            <w:r>
              <w:t xml:space="preserve">MA2</w:t>
            </w:r>
          </w:p>
        </w:tc>
        <w:tc>
          <w:tcPr>
            <w:tcW w:type="dxa" w:w="2400"/>
          </w:tcPr>
          <w:p>
            <w:r>
              <w:t xml:space="preserve">Board feet of finished stock processed per labor-hour at standard capacity, used to convert [S3]'s $21.79/hr wage into a per-board-foot labor cost</w:t>
            </w:r>
          </w:p>
        </w:tc>
        <w:tc>
          <w:tcPr>
            <w:tcW w:type="dxa" w:w="1400"/>
          </w:tcPr>
          <w:p>
            <w:r>
              <w:t xml:space="preserve">≈8.7 bf/hour ($2.50/bf)</w:t>
            </w:r>
          </w:p>
        </w:tc>
        <w:tc>
          <w:tcPr>
            <w:tcW w:type="dxa" w:w="2900"/>
          </w:tcPr>
          <w:p>
            <w:r>
              <w:t xml:space="preserve">No public source publishes a per-board-foot labor-hour standard for furniture-grade black walnut processing; this rate is chosen to keep the derived $2.50/bf labor cost in a plausible range alongside the sourced lumber and kiln-drying figures.</w:t>
            </w:r>
          </w:p>
        </w:tc>
        <w:tc>
          <w:tcPr>
            <w:tcW w:type="dxa" w:w="2000"/>
          </w:tcPr>
          <w:p>
            <w:r>
              <w:t xml:space="preserve">Not dilemma-flipping on its own — it sets the flat v term, which shifts both options' cost equally rather than changing the gap between them.</w:t>
            </w:r>
          </w:p>
        </w:tc>
      </w:tr>
      <w:tr>
        <w:tc>
          <w:tcPr>
            <w:tcW w:type="dxa" w:w="700"/>
          </w:tcPr>
          <w:p>
            <w:r>
              <w:t xml:space="preserve">MA3</w:t>
            </w:r>
          </w:p>
        </w:tc>
        <w:tc>
          <w:tcPr>
            <w:tcW w:type="dxa" w:w="2400"/>
          </w:tcPr>
          <w:p>
            <w:r>
              <w:t xml:space="preserve">Overtime-labor cost coefficient, k, in C(x) = F + vx + kx²</w:t>
            </w:r>
          </w:p>
        </w:tc>
        <w:tc>
          <w:tcPr>
            <w:tcW w:type="dxa" w:w="1400"/>
          </w:tcPr>
          <w:p>
            <w:r>
              <w:t xml:space="preserve">0.0001 $/bf²</w:t>
            </w:r>
          </w:p>
        </w:tc>
        <w:tc>
          <w:tcPr>
            <w:tcW w:type="dxa" w:w="2900"/>
          </w:tcPr>
          <w:p>
            <w:r>
              <w:t xml:space="preserve">No public source models capacity-constrained marginal cost as a precise function for a small furniture shop. The coefficient is a smooth, continuous approximation of a real, well-documented mechanism — federal law requires 1.5× pay for hours worked beyond the standard workweek — applied here as a stated scenario simplification rather than a literal payroll calculation.</w:t>
            </w:r>
          </w:p>
        </w:tc>
        <w:tc>
          <w:tcPr>
            <w:tcW w:type="dxa" w:w="2000"/>
          </w:tcPr>
          <w:p>
            <w:r>
              <w:t xml:space="preserve">This is the assumption the case's raw average-cost curve is most sensitive to: it sets both the location of x* and how steeply average cost rises past it.</w:t>
            </w:r>
          </w:p>
        </w:tc>
      </w:tr>
      <w:tr>
        <w:tc>
          <w:tcPr>
            <w:tcW w:type="dxa" w:w="700"/>
          </w:tcPr>
          <w:p>
            <w:r>
              <w:t xml:space="preserve">MA4</w:t>
            </w:r>
          </w:p>
        </w:tc>
        <w:tc>
          <w:tcPr>
            <w:tcW w:type="dxa" w:w="2400"/>
          </w:tcPr>
          <w:p>
            <w:r>
              <w:t xml:space="preserve">The Steady Order's board footage</w:t>
            </w:r>
          </w:p>
        </w:tc>
        <w:tc>
          <w:tcPr>
            <w:tcW w:type="dxa" w:w="1400"/>
          </w:tcPr>
          <w:p>
            <w:r>
              <w:t xml:space="preserve">2,000 bf</w:t>
            </w:r>
          </w:p>
        </w:tc>
        <w:tc>
          <w:tcPr>
            <w:tcW w:type="dxa" w:w="2900"/>
          </w:tcPr>
          <w:p>
            <w:r>
              <w:t xml:space="preserve">Protagonist-specific: the shop's standing order size with this mill, built up over years of smaller custom runs.</w:t>
            </w:r>
          </w:p>
        </w:tc>
        <w:tc>
          <w:tcPr>
            <w:tcW w:type="dxa" w:w="2000"/>
          </w:tcPr>
          <w:p>
            <w:r>
              <w:t xml:space="preserve">Changes both options' raw average cost and (if it approached Appendix C's 2,700 bf limit) could remove the unsold-inventory penalty from the comparison entirely.</w:t>
            </w:r>
          </w:p>
        </w:tc>
      </w:tr>
      <w:tr>
        <w:tc>
          <w:tcPr>
            <w:tcW w:type="dxa" w:w="700"/>
          </w:tcPr>
          <w:p>
            <w:r>
              <w:t xml:space="preserve">MA5</w:t>
            </w:r>
          </w:p>
        </w:tc>
        <w:tc>
          <w:tcPr>
            <w:tcW w:type="dxa" w:w="2400"/>
          </w:tcPr>
          <w:p>
            <w:r>
              <w:t xml:space="preserve">The Full Kiln's board footage</w:t>
            </w:r>
          </w:p>
        </w:tc>
        <w:tc>
          <w:tcPr>
            <w:tcW w:type="dxa" w:w="1400"/>
          </w:tcPr>
          <w:p>
            <w:r>
              <w:t xml:space="preserve">3,000 bf</w:t>
            </w:r>
          </w:p>
        </w:tc>
        <w:tc>
          <w:tcPr>
            <w:tcW w:type="dxa" w:w="2900"/>
          </w:tcPr>
          <w:p>
            <w:r>
              <w:t xml:space="preserve">Protagonist-specific: stated as the mill's minimum board footage to qualify for its last, deep-discount kiln run this season — the run size both Renata and the competing national chain are bidding for.</w:t>
            </w:r>
          </w:p>
        </w:tc>
        <w:tc>
          <w:tcPr>
            <w:tcW w:type="dxa" w:w="2000"/>
          </w:tcPr>
          <w:p>
            <w:r>
              <w:t xml:space="preserve">The single most load-bearing protagonist-specific number in the case: it is the batch size compared against Appendix C's 2,700 bf sellable limit, which is what determines how much of this option's production goes unsold.</w:t>
            </w:r>
          </w:p>
        </w:tc>
      </w:tr>
      <w:tr>
        <w:tc>
          <w:tcPr>
            <w:tcW w:type="dxa" w:w="700"/>
          </w:tcPr>
          <w:p>
            <w:r>
              <w:t xml:space="preserve">MA6</w:t>
            </w:r>
          </w:p>
        </w:tc>
        <w:tc>
          <w:tcPr>
            <w:tcW w:type="dxa" w:w="2400"/>
          </w:tcPr>
          <w:p>
            <w:r>
              <w:t xml:space="preserve">This quarter's sellable limit (hotel order + standing accounts)</w:t>
            </w:r>
          </w:p>
        </w:tc>
        <w:tc>
          <w:tcPr>
            <w:tcW w:type="dxa" w:w="1400"/>
          </w:tcPr>
          <w:p>
            <w:r>
              <w:t xml:space="preserve">2,700 bf</w:t>
            </w:r>
          </w:p>
        </w:tc>
        <w:tc>
          <w:tcPr>
            <w:tcW w:type="dxa" w:w="2900"/>
          </w:tcPr>
          <w:p>
            <w:r>
              <w:t xml:space="preserve">Protagonist-specific: the total finished-furniture board footage the hotel's bulk order and the shop's other standing accounts will realistically consume within the five-week window.</w:t>
            </w:r>
          </w:p>
        </w:tc>
        <w:tc>
          <w:tcPr>
            <w:tcW w:type="dxa" w:w="2000"/>
          </w:tcPr>
          <w:p>
            <w:r>
              <w:t xml:space="preserve">Directly sets how many of The Full Kiln's 3,000 board feet go unsold (300 bf at the stated value) — a Hero arguing this limit is higher changes how much of D4's carrying-cost penalty applies, and could flip which option D4 favors.</w:t>
            </w:r>
          </w:p>
        </w:tc>
      </w:tr>
      <w:tr>
        <w:tc>
          <w:tcPr>
            <w:tcW w:type="dxa" w:w="700"/>
          </w:tcPr>
          <w:p>
            <w:r>
              <w:t xml:space="preserve">MA7</w:t>
            </w:r>
          </w:p>
        </w:tc>
        <w:tc>
          <w:tcPr>
            <w:tcW w:type="dxa" w:w="2400"/>
          </w:tcPr>
          <w:p>
            <w:r>
              <w:t xml:space="preserve">Ship deadline</w:t>
            </w:r>
          </w:p>
        </w:tc>
        <w:tc>
          <w:tcPr>
            <w:tcW w:type="dxa" w:w="1400"/>
          </w:tcPr>
          <w:p>
            <w:r>
              <w:t xml:space="preserve">5 weeks from today</w:t>
            </w:r>
          </w:p>
        </w:tc>
        <w:tc>
          <w:tcPr>
            <w:tcW w:type="dxa" w:w="2900"/>
          </w:tcPr>
          <w:p>
            <w:r>
              <w:t xml:space="preserve">Matches the Background's own stated deadline verbatim — not an independent estimate.</w:t>
            </w:r>
          </w:p>
        </w:tc>
        <w:tc>
          <w:tcPr>
            <w:tcW w:type="dxa" w:w="2000"/>
          </w:tcPr>
          <w:p>
            <w:r>
              <w:t xml:space="preserve">None — fixed by the narrative, not a sensitivity lever.</w:t>
            </w:r>
          </w:p>
        </w:tc>
      </w:tr>
      <w:tr>
        <w:tc>
          <w:tcPr>
            <w:tcW w:type="dxa" w:w="700"/>
          </w:tcPr>
          <w:p>
            <w:r>
              <w:t xml:space="preserve">MA8</w:t>
            </w:r>
          </w:p>
        </w:tc>
        <w:tc>
          <w:tcPr>
            <w:tcW w:type="dxa" w:w="2400"/>
          </w:tcPr>
          <w:p>
            <w:r>
              <w:t xml:space="preserve">Available headroom on the shop's existing line of credit</w:t>
            </w:r>
          </w:p>
        </w:tc>
        <w:tc>
          <w:tcPr>
            <w:tcW w:type="dxa" w:w="1400"/>
          </w:tcPr>
          <w:p>
            <w:r>
              <w:t xml:space="preserve">$25,000</w:t>
            </w:r>
          </w:p>
        </w:tc>
        <w:tc>
          <w:tcPr>
            <w:tcW w:type="dxa" w:w="2900"/>
          </w:tcPr>
          <w:p>
            <w:r>
              <w:t xml:space="preserve">Protagonist-specific: the shop's credit line carries an unstated total limit but is already partially drawn for ongoing payroll and materials, leaving this much available for a new deposit.</w:t>
            </w:r>
          </w:p>
        </w:tc>
        <w:tc>
          <w:tcPr>
            <w:tcW w:type="dxa" w:w="2000"/>
          </w:tcPr>
          <w:p>
            <w:r>
              <w:t xml:space="preserve">Sets the exact dollar gap D6 asks students to compute for The Full Kiln's financing risk; does not change the D3/D4 cost-per-board-foot math.</w:t>
            </w:r>
          </w:p>
        </w:tc>
      </w:tr>
    </w:tbl>
    <w:p>
      <w:pPr>
        <w:pStyle w:val="Heading2"/>
        <w:spacing w:after="120" w:before="240"/>
      </w:pPr>
      <w:r>
        <w:t xml:space="preserve">Appendix E — Sources</w:t>
      </w:r>
    </w:p>
    <w:p>
      <w:pPr>
        <w:spacing w:after="160"/>
      </w:pPr>
      <w:r>
        <w:rPr>
          <w:i/>
          <w:iCs/>
          <w:color w:val="5B6472"/>
          <w:sz w:val="20"/>
          <w:szCs w:val="20"/>
        </w:rPr>
        <w:t xml:space="preserve">All sourced (non-assumption) figures in this case are cited here (SEE APPENDIX E).</w:t>
      </w:r>
    </w:p>
    <w:p>
      <w:pPr>
        <w:spacing w:after="100"/>
      </w:pPr>
      <w:r>
        <w:t xml:space="preserve">[S1] Kiln-dried black walnut lumber price, surfaced (S2S/S4S), hardwood dealer, national — $10–$18/bf, midpoint $14.00/bf used. CustomWoodQuote — </w:t>
      </w:r>
      <w:hyperlink w:history="1" r:id="rIdytgy8y55fkadjbbf9mzf7">
        <w:r>
          <w:rPr>
            <w:rStyle w:val="Hyperlink"/>
          </w:rPr>
          <w:t xml:space="preserve">Hardwood Prices Per Board Foot: 2026 Pricing Guide</w:t>
        </w:r>
      </w:hyperlink>
      <w:r>
        <w:t xml:space="preserve"> (Updated Mar 2026, MEDIUM confidence).</w:t>
      </w:r>
    </w:p>
    <w:p>
      <w:pPr>
        <w:spacing w:after="100"/>
      </w:pPr>
      <w:r>
        <w:t xml:space="preserve">[S2] Kiln-drying service cost per board foot, 1"–2" lumber — $0.59–$1.21/bf, midpoint $0.90/bf used. Kitsap Dry Kiln — </w:t>
      </w:r>
      <w:hyperlink w:history="1" r:id="rIdpvqqddb8uv1e5uy5wxogl">
        <w:r>
          <w:rPr>
            <w:rStyle w:val="Hyperlink"/>
          </w:rPr>
          <w:t xml:space="preserve">Kiln Drying Price</w:t>
        </w:r>
      </w:hyperlink>
      <w:r>
        <w:t xml:space="preserve"> (accessed 2026-09-05, MEDIUM confidence).</w:t>
      </w:r>
    </w:p>
    <w:p>
      <w:pPr>
        <w:spacing w:after="100"/>
      </w:pPr>
      <w:r>
        <w:t xml:space="preserve">[S3] Median wage, Woodworkers occupation — $21.79/hour ($45,310/year), May 2025. U.S. Bureau of Labor Statistics — </w:t>
      </w:r>
      <w:hyperlink w:history="1" r:id="rIdtgp6kp-mxmbegi3h4swpa">
        <w:r>
          <w:rPr>
            <w:rStyle w:val="Hyperlink"/>
          </w:rPr>
          <w:t xml:space="preserve">Occupational Outlook Handbook: Woodworkers</w:t>
        </w:r>
      </w:hyperlink>
      <w:r>
        <w:t xml:space="preserve"> (May 2025, HIGH confidence).</w:t>
      </w:r>
    </w:p>
    <w:p>
      <w:pPr>
        <w:spacing w:after="100"/>
      </w:pPr>
      <w:r>
        <w:t xml:space="preserve">[S4] Inventory carrying cost as a percent of inventory value, general benchmark — ≈20%/year. VNDLY — </w:t>
      </w:r>
      <w:hyperlink w:history="1" r:id="rIdrg1nfecqdao3hiiaevii0">
        <w:r>
          <w:rPr>
            <w:rStyle w:val="Hyperlink"/>
          </w:rPr>
          <w:t xml:space="preserve">20% Inventory Carrying Costs: 2026 Data &amp; Ways to Cut Them</w:t>
        </w:r>
      </w:hyperlink>
      <w:r>
        <w:t xml:space="preserve"> (2026, MEDIUM confidence).</w:t>
      </w:r>
    </w:p>
    <w:p>
      <w:pPr>
        <w:spacing w:after="100"/>
      </w:pPr>
      <w:r>
        <w:t xml:space="preserve">[S5] Deposit percentage, custom furniture/manufacturing order — 50% upfront (industry standard). Luke's Furniture Company — </w:t>
      </w:r>
      <w:hyperlink w:history="1" r:id="rIdvmioujjkayjmbcqll9inh">
        <w:r>
          <w:rPr>
            <w:rStyle w:val="Hyperlink"/>
          </w:rPr>
          <w:t xml:space="preserve">What Deposit Should I Expect to Pay for Custom Furniture?</w:t>
        </w:r>
      </w:hyperlink>
      <w:r>
        <w:t xml:space="preserve"> (2026-05-18, MEDIUM confidence).</w:t>
      </w:r>
    </w:p>
    <w:p>
      <w:pPr>
        <w:spacing w:after="200"/>
      </w:pPr>
      <w:r>
        <w:t xml:space="preserve">[S6] Traditional-bank business line-of-credit approval turnaround — 1–3 weeks. Crestmont Capital — </w:t>
      </w:r>
      <w:hyperlink w:history="1" r:id="rIdznlohhzs9flz3j4vungeq">
        <w:r>
          <w:rPr>
            <w:rStyle w:val="Hyperlink"/>
          </w:rPr>
          <w:t xml:space="preserve">Business Loan Approval Time: How Long Does It Take?</w:t>
        </w:r>
      </w:hyperlink>
      <w:r>
        <w:t xml:space="preserve"> (2026, MEDIUM confidence).</w:t>
      </w:r>
    </w:p>
    <w:p>
      <w:pPr>
        <w:spacing w:after="160"/>
      </w:pPr>
      <w:r>
        <w:rPr>
          <w:b/>
          <w:bCs/>
        </w:rPr>
        <w:t xml:space="preserve">Notes:</w:t>
      </w:r>
    </w:p>
    <w:p>
      <w:pPr>
        <w:pStyle w:val="ListParagraph"/>
        <w:numPr>
          <w:ilvl w:val="0"/>
          <w:numId w:val="2"/>
        </w:numPr>
        <w:spacing w:after="80"/>
      </w:pPr>
      <w:r>
        <w:t xml:space="preserve">S1 note: a general hardwood-dealer pricing guide, not a mill-specific quote; not species-availability- or region-specific beyond "national." Walnut can run higher for wide, figured, or FAS-grade stock — $14.00/bf is the surfaced-grade midpoint, not a ceiling.</w:t>
      </w:r>
    </w:p>
    <w:p>
      <w:pPr>
        <w:pStyle w:val="ListParagraph"/>
        <w:numPr>
          <w:ilvl w:val="0"/>
          <w:numId w:val="2"/>
        </w:numPr>
        <w:spacing w:after="80"/>
      </w:pPr>
      <w:r>
        <w:t xml:space="preserve">S2 note: one regional kiln operator's own posted price page (a primary source for that business), but the page carries no explicit last-updated date and is not necessarily representative of every mill nationally — graded MEDIUM for that reason, used here as the most concrete public per-board-foot kiln-drying figure found.</w:t>
      </w:r>
    </w:p>
    <w:p>
      <w:pPr>
        <w:pStyle w:val="ListParagraph"/>
        <w:numPr>
          <w:ilvl w:val="0"/>
          <w:numId w:val="2"/>
        </w:numPr>
        <w:spacing w:after="80"/>
      </w:pPr>
      <w:r>
        <w:t xml:space="preserve">S4 note: a general inventory-management benchmark, not specific to furniture manufacturing or hardwood inventory; applied to this case at one-quarter of the annual rate (5% per quarter) to match the case's one-quarter planning horizon — that quarterly conversion is this case's own arithmetic, not part of the cited figure.</w:t>
      </w:r>
    </w:p>
    <w:p>
      <w:pPr>
        <w:pStyle w:val="ListParagraph"/>
        <w:numPr>
          <w:ilvl w:val="0"/>
          <w:numId w:val="2"/>
        </w:numPr>
        <w:spacing w:after="80"/>
      </w:pPr>
      <w:r>
        <w:t xml:space="preserve">S5 note: describes the standard deposit a furniture buyer pays a furniture maker — not a mill's deposit terms for a wholesale lumber/kiln-drying run, which no public source publishes. Used here as the closest available proxy for a large custom order's deposit norm, disclosed rather than presented as an exact match.</w:t>
      </w:r>
    </w:p>
    <w:p>
      <w:pPr>
        <w:pStyle w:val="Heading2"/>
        <w:spacing w:after="120" w:before="240"/>
      </w:pPr>
      <w:r>
        <w:t xml:space="preserve">Appendix F — "How To…" Math Questions To Research</w:t>
      </w:r>
    </w:p>
    <w:p>
      <w:pPr>
        <w:spacing w:after="160"/>
      </w:pPr>
      <w:r>
        <w:rPr>
          <w:b/>
          <w:bCs/>
        </w:rPr>
        <w:t xml:space="preserve">Vocabulary terms</w:t>
      </w:r>
    </w:p>
    <w:p>
      <w:pPr>
        <w:pStyle w:val="ListParagraph"/>
        <w:numPr>
          <w:ilvl w:val="0"/>
          <w:numId w:val="2"/>
        </w:numPr>
        <w:spacing w:after="80"/>
      </w:pPr>
      <w:r>
        <w:t xml:space="preserve">Derivative</w:t>
      </w:r>
    </w:p>
    <w:p>
      <w:pPr>
        <w:pStyle w:val="ListParagraph"/>
        <w:numPr>
          <w:ilvl w:val="0"/>
          <w:numId w:val="2"/>
        </w:numPr>
        <w:spacing w:after="80"/>
      </w:pPr>
      <w:r>
        <w:t xml:space="preserve">Critical Point</w:t>
      </w:r>
    </w:p>
    <w:p>
      <w:pPr>
        <w:pStyle w:val="ListParagraph"/>
        <w:numPr>
          <w:ilvl w:val="0"/>
          <w:numId w:val="2"/>
        </w:numPr>
        <w:spacing w:after="80"/>
      </w:pPr>
      <w:r>
        <w:t xml:space="preserve">Local Minimum</w:t>
      </w:r>
    </w:p>
    <w:p>
      <w:pPr>
        <w:spacing w:after="160"/>
      </w:pPr>
      <w:r>
        <w:rPr>
          <w:b/>
          <w:bCs/>
        </w:rPr>
        <w:t xml:space="preserve">"How to…" questions</w:t>
      </w:r>
    </w:p>
    <w:p>
      <w:pPr>
        <w:pStyle w:val="ListParagraph"/>
        <w:numPr>
          <w:ilvl w:val="0"/>
          <w:numId w:val="2"/>
        </w:numPr>
        <w:spacing w:after="80"/>
      </w:pPr>
      <w:r>
        <w:t xml:space="preserve">How to find a derivative using the power rule</w:t>
      </w:r>
    </w:p>
    <w:p>
      <w:pPr>
        <w:pStyle w:val="ListParagraph"/>
        <w:numPr>
          <w:ilvl w:val="0"/>
          <w:numId w:val="2"/>
        </w:numPr>
        <w:spacing w:after="80"/>
      </w:pPr>
      <w:r>
        <w:t xml:space="preserve">How to use the quotient rule to differentiate a quotient of functions</w:t>
      </w:r>
    </w:p>
    <w:p>
      <w:pPr>
        <w:pStyle w:val="ListParagraph"/>
        <w:numPr>
          <w:ilvl w:val="0"/>
          <w:numId w:val="2"/>
        </w:numPr>
        <w:spacing w:after="80"/>
      </w:pPr>
      <w:r>
        <w:t xml:space="preserve">How to find critical points of a function</w:t>
      </w:r>
    </w:p>
    <w:p>
      <w:pPr>
        <w:pStyle w:val="ListParagraph"/>
        <w:numPr>
          <w:ilvl w:val="0"/>
          <w:numId w:val="2"/>
        </w:numPr>
        <w:spacing w:after="80"/>
      </w:pPr>
      <w:r>
        <w:t xml:space="preserve">How to use the first derivative test to classify a critical point</w:t>
      </w:r>
    </w:p>
    <w:p>
      <w:pPr>
        <w:pStyle w:val="ListParagraph"/>
        <w:numPr>
          <w:ilvl w:val="0"/>
          <w:numId w:val="2"/>
        </w:numPr>
        <w:spacing w:after="80"/>
      </w:pPr>
      <w:r>
        <w:t xml:space="preserve">How to solve an optimization problem using derivatives</w:t>
      </w:r>
    </w:p>
    <w:p>
      <w:pPr>
        <w:pStyle w:val="ListParagraph"/>
        <w:numPr>
          <w:ilvl w:val="0"/>
          <w:numId w:val="2"/>
        </w:numPr>
        <w:spacing w:after="80"/>
      </w:pPr>
      <w:r>
        <w:t xml:space="preserve">How to find the percent of a number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tgy8y55fkadjbbf9mzf7" Type="http://schemas.openxmlformats.org/officeDocument/2006/relationships/hyperlink" Target="https://customwoodquote.com/wood-prices/" TargetMode="External"/><Relationship Id="rIdpvqqddb8uv1e5uy5wxogl" Type="http://schemas.openxmlformats.org/officeDocument/2006/relationships/hyperlink" Target="https://kitsapdrykiln.com/Kiln-Drying-Price.html" TargetMode="External"/><Relationship Id="rIdtgp6kp-mxmbegi3h4swpa" Type="http://schemas.openxmlformats.org/officeDocument/2006/relationships/hyperlink" Target="https://www.bls.gov/ooh/production/woodworkers.htm" TargetMode="External"/><Relationship Id="rIdrg1nfecqdao3hiiaevii0" Type="http://schemas.openxmlformats.org/officeDocument/2006/relationships/hyperlink" Target="https://www.vndly.io/blog/inventory-carrying-cost-statistics-2026" TargetMode="External"/><Relationship Id="rIdvmioujjkayjmbcqll9inh" Type="http://schemas.openxmlformats.org/officeDocument/2006/relationships/hyperlink" Target="https://www.lukesfurniturecompany.com/articles/blog/what-deposit-should-i-expect-to-pay-for-custom-furniture-and-is-that-normal" TargetMode="External"/><Relationship Id="rIdznlohhzs9flz3j4vungeq" Type="http://schemas.openxmlformats.org/officeDocument/2006/relationships/hyperlink" Target="https://www.crestmontcapital.com/blog/how-long-does-business-loan-approval-take"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2026-09-06T12:17:32.440Z</dcterms:created>
  <dcterms:modified xsi:type="dcterms:W3CDTF">2026-09-06T12:17:32.443Z</dcterms:modified>
</cp:coreProperties>
</file>

<file path=docProps/custom.xml><?xml version="1.0" encoding="utf-8"?>
<Properties xmlns="http://schemas.openxmlformats.org/officeDocument/2006/custom-properties" xmlns:vt="http://schemas.openxmlformats.org/officeDocument/2006/docPropsVTypes"/>
</file>