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rPr>
          <w:b/>
          <w:bCs/>
          <w:color w:val="1A3A5C"/>
          <w:sz w:val="40"/>
          <w:szCs w:val="40"/>
        </w:rPr>
        <w:t xml:space="preserve">Case Study: The Mirror Cut</w:t>
      </w:r>
    </w:p>
    <w:p>
      <w:pPr>
        <w:spacing w:after="300" w:before="0"/>
      </w:pPr>
      <w:r>
        <w:rPr>
          <w:i/>
          <w:iCs/>
          <w:color w:val="5B6472"/>
          <w:sz w:val="20"/>
          <w:szCs w:val="20"/>
        </w:rPr>
        <w:t xml:space="preserve">MS | Math | Case Study | 2026-27 | Heroes Academy</w:t>
      </w:r>
    </w:p>
    <w:p>
      <w:pPr>
        <w:pStyle w:val="Heading1"/>
        <w:spacing w:after="160" w:before="200"/>
      </w:pPr>
      <w:r>
        <w:t xml:space="preserve">Overview</w:t>
      </w:r>
    </w:p>
    <w:p>
      <w:pPr>
        <w:spacing w:after="160" w:before="0"/>
      </w:pPr>
      <w:r>
        <w:t xml:space="preserve">Sam Delgado has the nesting file open on one monitor and the bid deadline open on the other: 9:00 AM tomorrow.</w:t>
      </w:r>
    </w:p>
    <w:p>
      <w:pPr>
        <w:spacing w:after="160" w:before="0"/>
      </w:pPr>
      <w:r>
        <w:t xml:space="preserve">Sam runs production at Kestrel Sheet Metal, a six-person shop that has never bid on anything this big. The contract is for a regional solar installer's racking brackets — the same bracket, stamped and laser-cut from steel, year after year, mounted under every panel the company installs across the region. Whichever nesting layout the quote is built on tonight is the layout the shop runs for the life of the contract. Underquote the steel and Kestrel eats the difference on every bracket, for years. Overquote it and one of the two much bigger shops also bidding on this job wins on price alone, and Kestrel doesn't get a second chance at a contract this size.</w:t>
      </w:r>
    </w:p>
    <w:p>
      <w:pPr>
        <w:spacing w:after="160" w:before="0"/>
      </w:pPr>
      <w:r>
        <w:t xml:space="preserve">Sam pulls up both nesting files side by side on the cutting-software screen. One lays every bracket down the sheet in the same orientation, straight rows, easy to check at a glance — the programmer's first pass, the one anybody in the shop could run without a second look. The other alternates every other bracket upside-down, tucked into the gap the first one leaves — tighter, more steel actually turned into parts, but a longer, fussier toolpath that takes the machine more time to cut.</w:t>
      </w:r>
    </w:p>
    <w:p>
      <w:pPr>
        <w:spacing w:after="160" w:before="0"/>
      </w:pPr>
      <w:r>
        <w:t xml:space="preserve">The shop’s laser tech leans into the doorway. "Whichever file you send to the machine tonight is the one we’re quoting the customer on. Which one actually wins?"</w:t>
      </w:r>
    </w:p>
    <w:p>
      <w:pPr>
        <w:spacing w:after="160" w:before="0"/>
      </w:pPr>
      <w:r>
        <w:t xml:space="preserve">Sam pulls up the takeoff spreadsheet and starts counting brackets per sheet.</w:t>
      </w:r>
    </w:p>
    <w:p>
      <w:pPr>
        <w:pStyle w:val="Heading1"/>
        <w:spacing w:after="160" w:before="200"/>
      </w:pPr>
      <w:r>
        <w:t xml:space="preserve">Background</w:t>
      </w:r>
    </w:p>
    <w:p>
      <w:pPr>
        <w:spacing w:after="160" w:before="0"/>
      </w:pPr>
      <w:r>
        <w:t xml:space="preserve">Sam Delgado is the production lead at Kestrel Sheet Metal, a small job shop that fabricates custom steel brackets and mounting hardware. Sam is responsible for the number that goes on tomorrow's bid: the true cost to cut one finished bracket, because that number becomes the price Kestrel quotes for the entire contract — a fixed quantity of 40,000 identical brackets every year, for three years, the largest order the shop has ever bid on.</w:t>
      </w:r>
    </w:p>
    <w:p>
      <w:pPr>
        <w:spacing w:after="160" w:before="0"/>
      </w:pPr>
      <w:r>
        <w:t xml:space="preserve">A laser-cutting nesting file is the arrangement of parts on a steel sheet before the machine ever fires. Nesting software lays copies of a part down on a rectangular sheet using translations (sliding a copy to a new position without turning it), reflections (flipping a copy over a line, producing its mirror image), rotations (turning a copy about a fixed point), and dilations (scaling a copy up or down by a scale factor, used here to build the small checking gauges the shop verifies parts against, not the production parts themselves). Two nesting files are on the table for the same bracket.</w:t>
      </w:r>
    </w:p>
    <w:p>
      <w:pPr>
        <w:spacing w:after="160" w:before="0"/>
      </w:pPr>
      <w:r>
        <w:t xml:space="preserve">The Straight Run repeats the bracket down the sheet in the same orientation every time — every copy is a plain translation of the one before it. It is the layout a new hire could run on day one: nothing to double-check, nothing that can be loaded upside-down by mistake.</w:t>
      </w:r>
    </w:p>
    <w:p>
      <w:pPr>
        <w:spacing w:after="160" w:before="0"/>
      </w:pPr>
      <w:r>
        <w:t xml:space="preserve">The Mirror Cut alternates the bracket's orientation from row to row — every other copy is a reflection of its neighbor across the seam between them, tucked so its narrow end nests into the wide end of the row above. That interlocking is what turns more of each sheet into finished brackets instead of scrap — but it is a longer, more careful toolpath: more places the laser has to lift and re-pierce the metal instead of cutting one long continuous line, and a slower pass near every seam where two mirrored brackets sit close enough together that heat from one cut can warp the part waiting next to it (see Appendix E).</w:t>
      </w:r>
    </w:p>
    <w:p>
      <w:pPr>
        <w:spacing w:after="160" w:before="0"/>
      </w:pPr>
      <w:r>
        <w:t xml:space="preserve">The bracket itself is Sam's own part drawing, not a public design: a single flat trapezoid, corners at exact coordinates on a plan-view coordinate grid, in inches (see Appendix A). Every sheet is the same commercially stocked 48 in × 120 in steel sheet, 16-gauge cold-rolled (see Appendix B), priced by the pound. Every cut — simple or mirrored — costs the shop machine time at the laser's real cutting speed and pierce time, priced at the shop's blended machine-and-labor rate (see Appendix C). The full sheet-by-sheet comparison, including how many finished brackets each layout actually yields per sheet, is in Appendix D. All figures in this case are sourced in Appendix F, or stated as an explicit modeling assumption in Appendix E where no public figure exists for this exact shop, this exact part. The vocabulary and the “how to…” skills this case will ask of you are listed in Appendix H — that is where Challenge 1 sends you. (See Appendix G for further reading on nesting software and laser-cutting cost.)</w:t>
      </w:r>
    </w:p>
    <w:p>
      <w:pPr>
        <w:pStyle w:val="Heading1"/>
        <w:spacing w:after="160" w:before="200"/>
      </w:pPr>
      <w:r>
        <w:t xml:space="preserve">Dilemma</w:t>
      </w:r>
    </w:p>
    <w:p>
      <w:pPr>
        <w:spacing w:after="160" w:before="0"/>
      </w:pPr>
      <w:r>
        <w:rPr>
          <w:b/>
          <w:bCs/>
        </w:rPr>
        <w:t xml:space="preserve">You are Sam Delgado.</w:t>
      </w:r>
    </w:p>
    <w:p>
      <w:pPr>
        <w:spacing w:after="160" w:before="0"/>
      </w:pPr>
      <w:r>
        <w:t xml:space="preserve">Do you:</w:t>
      </w:r>
    </w:p>
    <w:p>
      <w:pPr>
        <w:spacing w:after="160" w:before="0"/>
      </w:pPr>
      <w:r>
        <w:t xml:space="preserve">A.) Send The Mirror Cut to the machine tonight — every other bracket reflected and interlocked, more brackets per sheet, a longer and more careful toolpath OR</w:t>
      </w:r>
    </w:p>
    <w:p>
      <w:pPr>
        <w:spacing w:after="160" w:before="0"/>
      </w:pPr>
      <w:r>
        <w:t xml:space="preserve">B.) Send The Straight Run to the machine tonight — every bracket in the same orientation, simpler and faster to program and to run, more scrap per sheet</w:t>
      </w:r>
    </w:p>
    <w:p>
      <w:pPr>
        <w:pStyle w:val="Heading1"/>
        <w:spacing w:after="160" w:before="200"/>
      </w:pPr>
      <w:r>
        <w:t xml:space="preserve">Challenges</w:t>
      </w:r>
    </w:p>
    <w:p>
      <w:pPr>
        <w:spacing w:after="160" w:before="0"/>
      </w:pPr>
      <w:r>
        <w:t xml:space="preserve">1.) Research and find an online resource that answers one of the "how to…" questions from the case study launch. Post a link to the resource as your submission.</w:t>
      </w:r>
    </w:p>
    <w:p>
      <w:pPr>
        <w:spacing w:after="160" w:before="0"/>
      </w:pPr>
      <w:r>
        <w:t xml:space="preserve">2.) Post 250 or more "excellent" words pitching a firm stance to your audience on which you would choose and why. Your pitch must include:</w:t>
      </w:r>
    </w:p>
    <w:p>
      <w:pPr>
        <w:spacing w:after="160" w:before="0"/>
      </w:pPr>
      <w:r>
        <w:t xml:space="preserve">    a.) Use of the "how to…" resource you researched in Challenge 1.</w:t>
      </w:r>
    </w:p>
    <w:p>
      <w:pPr>
        <w:spacing w:after="160" w:before="0"/>
      </w:pPr>
      <w:r>
        <w:t xml:space="preserve">    b.) At least one original visual display of the data.</w:t>
      </w:r>
    </w:p>
    <w:p>
      <w:pPr>
        <w:spacing w:after="160" w:before="0"/>
      </w:pPr>
      <w:r>
        <w:t xml:space="preserve">3.) Your pitch must include:</w:t>
      </w:r>
    </w:p>
    <w:p>
      <w:pPr>
        <w:spacing w:after="160" w:before="0"/>
      </w:pPr>
      <w:r>
        <w:t xml:space="preserve">    D1. A coordinate-plane sketch (or plot) of the bracket's four vertices (see Appendix A), showing The Straight Run layout built by translating the bracket twice down the sheet — label each translated copy's new vertex coordinates directly on the sketch.</w:t>
      </w:r>
    </w:p>
    <w:p>
      <w:pPr>
        <w:spacing w:after="160" w:before="0"/>
      </w:pPr>
      <w:r>
        <w:t xml:space="preserve">    D2. A coordinate-plane sketch showing The Mirror Cut's interlocking pair: reflect the bracket across the x-axis, then translate the reflected copy by the stated kerf spacing (see Appendix E) so it nests against the original. Give the new copy's four vertex coordinates, identify the line of symmetry of the two-part interlocked pair, and verify with coordinates that the pair is actually symmetric about that line.</w:t>
      </w:r>
    </w:p>
    <w:p>
      <w:pPr>
        <w:spacing w:after="160" w:before="0"/>
      </w:pPr>
      <w:r>
        <w:t xml:space="preserve">    D3. Show that rotating the original bracket 180° about the midpoint you identified in D2 produces the exact same interlocked outline (as a set of points) that D2's reflection-then-translation produced — compute the rotated coordinates and compare them directly to D2's.</w:t>
      </w:r>
    </w:p>
    <w:p>
      <w:pPr>
        <w:spacing w:after="160" w:before="0"/>
      </w:pPr>
      <w:r>
        <w:t xml:space="preserve">    D4. The two-part interlocked block from D2/D3 has to fit the laser bed either way it's loaded. Rotate the block's bounding-box corners 90° counterclockwise about the origin and give the new bounding box's dimensions.</w:t>
      </w:r>
    </w:p>
    <w:p>
      <w:pPr>
        <w:spacing w:after="160" w:before="0"/>
      </w:pPr>
      <w:r>
        <w:t xml:space="preserve">    D5. The shop's quality-control station checks a sample bracket against a scaled-down gauge (see Appendix A). Find the scale factor of the dilation that maps the full-size bracket to the existing gauge, then use a stated new scale factor to dilate the bracket's coordinates and find the vertices of a second gauge at that new size.</w:t>
      </w:r>
    </w:p>
    <w:p>
      <w:pPr>
        <w:spacing w:after="160" w:before="0"/>
      </w:pPr>
      <w:r>
        <w:t xml:space="preserve">    D6. A full nesting takeoff comparing both layouts: brackets per sheet, material cost per bracket, and machine-time cost per bracket for each layout (see Appendix D) — combined into net cost per finished bracket, the case's primary comparison number. State which layout wins on that number and by how much.</w:t>
      </w:r>
    </w:p>
    <w:p>
      <w:pPr>
        <w:spacing w:after="160" w:before="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before="0"/>
      </w:pPr>
      <w:r>
        <w:t xml:space="preserve">5.) Participate twice or more in the Case Study discussion. *If you are absent the day of a discussion post 500 "excellent" words on the questions above.</w:t>
      </w:r>
    </w:p>
    <w:p>
      <w:pPr>
        <w:pStyle w:val="Heading1"/>
        <w:spacing w:after="160" w:before="200"/>
      </w:pPr>
      <w:r>
        <w:t xml:space="preserve">Appendix A — Bracket Coordinate Reference</w:t>
      </w:r>
    </w:p>
    <w:p>
      <w:pPr>
        <w:spacing w:after="160" w:before="0"/>
      </w:pPr>
      <w:r>
        <w:t xml:space="preserve">Sam's own part drawing for this contract — not a public design, but built entirely from real, standard coordinate-plane geometry. All coordinates are plan-view, in inches, one grid unit = 1 in.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1A3A5C" w:color="auto" w:val="clear"/>
          </w:tcPr>
          <w:p>
            <w:r>
              <w:rPr>
                <w:b/>
                <w:bCs/>
                <w:color w:val="FFFFFF"/>
                <w:sz w:val="18"/>
                <w:szCs w:val="18"/>
              </w:rPr>
              <w:t xml:space="preserve">Vertex</w:t>
            </w:r>
          </w:p>
        </w:tc>
        <w:tc>
          <w:tcPr>
            <w:tcW w:type="dxa" w:w="3000"/>
            <w:shd w:fill="1A3A5C" w:color="auto" w:val="clear"/>
          </w:tcPr>
          <w:p>
            <w:r>
              <w:rPr>
                <w:b/>
                <w:bCs/>
                <w:color w:val="FFFFFF"/>
                <w:sz w:val="18"/>
                <w:szCs w:val="18"/>
              </w:rPr>
              <w:t xml:space="preserve">Coordinates (in)</w:t>
            </w:r>
          </w:p>
        </w:tc>
      </w:tr>
      <w:tr>
        <w:tc>
          <w:tcPr>
            <w:tcW w:type="dxa" w:w="3000"/>
          </w:tcPr>
          <w:p>
            <w:r>
              <w:rPr>
                <w:sz w:val="18"/>
                <w:szCs w:val="18"/>
              </w:rPr>
              <w:t xml:space="preserve">A (bottom-left)</w:t>
            </w:r>
          </w:p>
        </w:tc>
        <w:tc>
          <w:tcPr>
            <w:tcW w:type="dxa" w:w="3000"/>
          </w:tcPr>
          <w:p>
            <w:r>
              <w:rPr>
                <w:sz w:val="18"/>
                <w:szCs w:val="18"/>
              </w:rPr>
              <w:t xml:space="preserve">(0, 0)</w:t>
            </w:r>
          </w:p>
        </w:tc>
      </w:tr>
      <w:tr>
        <w:tc>
          <w:tcPr>
            <w:tcW w:type="dxa" w:w="3000"/>
          </w:tcPr>
          <w:p>
            <w:r>
              <w:rPr>
                <w:sz w:val="18"/>
                <w:szCs w:val="18"/>
              </w:rPr>
              <w:t xml:space="preserve">B (bottom-right)</w:t>
            </w:r>
          </w:p>
        </w:tc>
        <w:tc>
          <w:tcPr>
            <w:tcW w:type="dxa" w:w="3000"/>
          </w:tcPr>
          <w:p>
            <w:r>
              <w:rPr>
                <w:sz w:val="18"/>
                <w:szCs w:val="18"/>
              </w:rPr>
              <w:t xml:space="preserve">(6, 0)</w:t>
            </w:r>
          </w:p>
        </w:tc>
      </w:tr>
      <w:tr>
        <w:tc>
          <w:tcPr>
            <w:tcW w:type="dxa" w:w="3000"/>
          </w:tcPr>
          <w:p>
            <w:r>
              <w:rPr>
                <w:sz w:val="18"/>
                <w:szCs w:val="18"/>
              </w:rPr>
              <w:t xml:space="preserve">C (top-right)</w:t>
            </w:r>
          </w:p>
        </w:tc>
        <w:tc>
          <w:tcPr>
            <w:tcW w:type="dxa" w:w="3000"/>
          </w:tcPr>
          <w:p>
            <w:r>
              <w:rPr>
                <w:sz w:val="18"/>
                <w:szCs w:val="18"/>
              </w:rPr>
              <w:t xml:space="preserve">(4.5, 4)</w:t>
            </w:r>
          </w:p>
        </w:tc>
      </w:tr>
      <w:tr>
        <w:tc>
          <w:tcPr>
            <w:tcW w:type="dxa" w:w="3000"/>
          </w:tcPr>
          <w:p>
            <w:r>
              <w:rPr>
                <w:sz w:val="18"/>
                <w:szCs w:val="18"/>
              </w:rPr>
              <w:t xml:space="preserve">D (top-left)</w:t>
            </w:r>
          </w:p>
        </w:tc>
        <w:tc>
          <w:tcPr>
            <w:tcW w:type="dxa" w:w="3000"/>
          </w:tcPr>
          <w:p>
            <w:r>
              <w:rPr>
                <w:sz w:val="18"/>
                <w:szCs w:val="18"/>
              </w:rPr>
              <w:t xml:space="preserve">(1.5, 4)</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A3A5C" w:color="auto" w:val="clear"/>
          </w:tcPr>
          <w:p>
            <w:r>
              <w:rPr>
                <w:b/>
                <w:bCs/>
                <w:color w:val="FFFFFF"/>
                <w:sz w:val="18"/>
                <w:szCs w:val="18"/>
              </w:rPr>
              <w:t xml:space="preserve"/>
            </w:r>
          </w:p>
        </w:tc>
        <w:tc>
          <w:tcPr>
            <w:tcW w:type="dxa" w:w="5760"/>
            <w:shd w:fill="1A3A5C" w:color="auto" w:val="clear"/>
          </w:tcPr>
          <w:p>
            <w:r>
              <w:rPr>
                <w:b/>
                <w:bCs/>
                <w:color w:val="FFFFFF"/>
                <w:sz w:val="18"/>
                <w:szCs w:val="18"/>
              </w:rPr>
              <w:t xml:space="preserve">Value</w:t>
            </w:r>
          </w:p>
        </w:tc>
      </w:tr>
      <w:tr>
        <w:tc>
          <w:tcPr>
            <w:tcW w:type="dxa" w:w="3600"/>
          </w:tcPr>
          <w:p>
            <w:r>
              <w:rPr>
                <w:sz w:val="18"/>
                <w:szCs w:val="18"/>
              </w:rPr>
              <w:t xml:space="preserve">Shape</w:t>
            </w:r>
          </w:p>
        </w:tc>
        <w:tc>
          <w:tcPr>
            <w:tcW w:type="dxa" w:w="5760"/>
          </w:tcPr>
          <w:p>
            <w:r>
              <w:rPr>
                <w:sz w:val="18"/>
                <w:szCs w:val="18"/>
              </w:rPr>
              <w:t xml:space="preserve">Isosceles trapezoid, bottom edge AB parallel to top edge DC</w:t>
            </w:r>
          </w:p>
        </w:tc>
      </w:tr>
      <w:tr>
        <w:tc>
          <w:tcPr>
            <w:tcW w:type="dxa" w:w="3600"/>
          </w:tcPr>
          <w:p>
            <w:r>
              <w:rPr>
                <w:sz w:val="18"/>
                <w:szCs w:val="18"/>
              </w:rPr>
              <w:t xml:space="preserve">Bottom width (AB)</w:t>
            </w:r>
          </w:p>
        </w:tc>
        <w:tc>
          <w:tcPr>
            <w:tcW w:type="dxa" w:w="5760"/>
          </w:tcPr>
          <w:p>
            <w:r>
              <w:rPr>
                <w:sz w:val="18"/>
                <w:szCs w:val="18"/>
              </w:rPr>
              <w:t xml:space="preserve">6.0 in</w:t>
            </w:r>
          </w:p>
        </w:tc>
      </w:tr>
      <w:tr>
        <w:tc>
          <w:tcPr>
            <w:tcW w:type="dxa" w:w="3600"/>
          </w:tcPr>
          <w:p>
            <w:r>
              <w:rPr>
                <w:sz w:val="18"/>
                <w:szCs w:val="18"/>
              </w:rPr>
              <w:t xml:space="preserve">Top width (DC)</w:t>
            </w:r>
          </w:p>
        </w:tc>
        <w:tc>
          <w:tcPr>
            <w:tcW w:type="dxa" w:w="5760"/>
          </w:tcPr>
          <w:p>
            <w:r>
              <w:rPr>
                <w:sz w:val="18"/>
                <w:szCs w:val="18"/>
              </w:rPr>
              <w:t xml:space="preserve">3.0 in</w:t>
            </w:r>
          </w:p>
        </w:tc>
      </w:tr>
      <w:tr>
        <w:tc>
          <w:tcPr>
            <w:tcW w:type="dxa" w:w="3600"/>
          </w:tcPr>
          <w:p>
            <w:r>
              <w:rPr>
                <w:sz w:val="18"/>
                <w:szCs w:val="18"/>
              </w:rPr>
              <w:t xml:space="preserve">Height</w:t>
            </w:r>
          </w:p>
        </w:tc>
        <w:tc>
          <w:tcPr>
            <w:tcW w:type="dxa" w:w="5760"/>
          </w:tcPr>
          <w:p>
            <w:r>
              <w:rPr>
                <w:sz w:val="18"/>
                <w:szCs w:val="18"/>
              </w:rPr>
              <w:t xml:space="preserve">4.0 in</w:t>
            </w:r>
          </w:p>
        </w:tc>
      </w:tr>
      <w:tr>
        <w:tc>
          <w:tcPr>
            <w:tcW w:type="dxa" w:w="3600"/>
          </w:tcPr>
          <w:p>
            <w:r>
              <w:rPr>
                <w:sz w:val="18"/>
                <w:szCs w:val="18"/>
              </w:rPr>
              <w:t xml:space="preserve">Perimeter</w:t>
            </w:r>
          </w:p>
        </w:tc>
        <w:tc>
          <w:tcPr>
            <w:tcW w:type="dxa" w:w="5760"/>
          </w:tcPr>
          <w:p>
            <w:r>
              <w:rPr>
                <w:sz w:val="18"/>
                <w:szCs w:val="18"/>
              </w:rPr>
              <w:t xml:space="preserve">17.544 in</w:t>
            </w:r>
          </w:p>
        </w:tc>
      </w:tr>
      <w:tr>
        <w:tc>
          <w:tcPr>
            <w:tcW w:type="dxa" w:w="3600"/>
          </w:tcPr>
          <w:p>
            <w:r>
              <w:rPr>
                <w:sz w:val="18"/>
                <w:szCs w:val="18"/>
              </w:rPr>
              <w:t xml:space="preserve">Area (shoelace formula on A, B, C, D)</w:t>
            </w:r>
          </w:p>
        </w:tc>
        <w:tc>
          <w:tcPr>
            <w:tcW w:type="dxa" w:w="5760"/>
          </w:tcPr>
          <w:p>
            <w:r>
              <w:rPr>
                <w:sz w:val="18"/>
                <w:szCs w:val="18"/>
              </w:rPr>
              <w:t xml:space="preserve">18.0 sq in</w:t>
            </w:r>
          </w:p>
        </w:tc>
      </w:tr>
      <w:tr>
        <w:tc>
          <w:tcPr>
            <w:tcW w:type="dxa" w:w="3600"/>
          </w:tcPr>
          <w:p>
            <w:r>
              <w:rPr>
                <w:sz w:val="18"/>
                <w:szCs w:val="18"/>
              </w:rPr>
              <w:t xml:space="preserve">Bounding box</w:t>
            </w:r>
          </w:p>
        </w:tc>
        <w:tc>
          <w:tcPr>
            <w:tcW w:type="dxa" w:w="5760"/>
          </w:tcPr>
          <w:p>
            <w:r>
              <w:rPr>
                <w:sz w:val="18"/>
                <w:szCs w:val="18"/>
              </w:rPr>
              <w:t xml:space="preserve">6.0 in wide × 4.0 in tall</w:t>
            </w:r>
          </w:p>
        </w:tc>
      </w:tr>
    </w:tbl>
    <w:p>
      <w:pPr>
        <w:spacing w:after="100" w:before="0"/>
      </w:pPr>
      <w:r>
        <w:t xml:space="preserve"/>
      </w:r>
    </w:p>
    <w:p>
      <w:pPr>
        <w:spacing w:after="160" w:before="0"/>
      </w:pPr>
      <w:r>
        <w:t xml:space="preserve">QC checking gauge. The shop's existing quality-control gauge is a scaled-down copy of this same outline, used to spot-check a sample bracket at the machine without pulling out the full-size drawing: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1A3A5C" w:color="auto" w:val="clear"/>
          </w:tcPr>
          <w:p>
            <w:r>
              <w:rPr>
                <w:b/>
                <w:bCs/>
                <w:color w:val="FFFFFF"/>
                <w:sz w:val="18"/>
                <w:szCs w:val="18"/>
              </w:rPr>
              <w:t xml:space="preserve">Vertex</w:t>
            </w:r>
          </w:p>
        </w:tc>
        <w:tc>
          <w:tcPr>
            <w:tcW w:type="dxa" w:w="3000"/>
            <w:shd w:fill="1A3A5C" w:color="auto" w:val="clear"/>
          </w:tcPr>
          <w:p>
            <w:r>
              <w:rPr>
                <w:b/>
                <w:bCs/>
                <w:color w:val="FFFFFF"/>
                <w:sz w:val="18"/>
                <w:szCs w:val="18"/>
              </w:rPr>
              <w:t xml:space="preserve">Gauge coordinates (in)</w:t>
            </w:r>
          </w:p>
        </w:tc>
      </w:tr>
      <w:tr>
        <w:tc>
          <w:tcPr>
            <w:tcW w:type="dxa" w:w="3000"/>
          </w:tcPr>
          <w:p>
            <w:r>
              <w:rPr>
                <w:sz w:val="18"/>
                <w:szCs w:val="18"/>
              </w:rPr>
              <w:t xml:space="preserve">A′</w:t>
            </w:r>
          </w:p>
        </w:tc>
        <w:tc>
          <w:tcPr>
            <w:tcW w:type="dxa" w:w="3000"/>
          </w:tcPr>
          <w:p>
            <w:r>
              <w:rPr>
                <w:sz w:val="18"/>
                <w:szCs w:val="18"/>
              </w:rPr>
              <w:t xml:space="preserve">(0, 0)</w:t>
            </w:r>
          </w:p>
        </w:tc>
      </w:tr>
      <w:tr>
        <w:tc>
          <w:tcPr>
            <w:tcW w:type="dxa" w:w="3000"/>
          </w:tcPr>
          <w:p>
            <w:r>
              <w:rPr>
                <w:sz w:val="18"/>
                <w:szCs w:val="18"/>
              </w:rPr>
              <w:t xml:space="preserve">B′</w:t>
            </w:r>
          </w:p>
        </w:tc>
        <w:tc>
          <w:tcPr>
            <w:tcW w:type="dxa" w:w="3000"/>
          </w:tcPr>
          <w:p>
            <w:r>
              <w:rPr>
                <w:sz w:val="18"/>
                <w:szCs w:val="18"/>
              </w:rPr>
              <w:t xml:space="preserve">(3, 0)</w:t>
            </w:r>
          </w:p>
        </w:tc>
      </w:tr>
      <w:tr>
        <w:tc>
          <w:tcPr>
            <w:tcW w:type="dxa" w:w="3000"/>
          </w:tcPr>
          <w:p>
            <w:r>
              <w:rPr>
                <w:sz w:val="18"/>
                <w:szCs w:val="18"/>
              </w:rPr>
              <w:t xml:space="preserve">C′</w:t>
            </w:r>
          </w:p>
        </w:tc>
        <w:tc>
          <w:tcPr>
            <w:tcW w:type="dxa" w:w="3000"/>
          </w:tcPr>
          <w:p>
            <w:r>
              <w:rPr>
                <w:sz w:val="18"/>
                <w:szCs w:val="18"/>
              </w:rPr>
              <w:t xml:space="preserve">(2.25, 2)</w:t>
            </w:r>
          </w:p>
        </w:tc>
      </w:tr>
      <w:tr>
        <w:tc>
          <w:tcPr>
            <w:tcW w:type="dxa" w:w="3000"/>
          </w:tcPr>
          <w:p>
            <w:r>
              <w:rPr>
                <w:sz w:val="18"/>
                <w:szCs w:val="18"/>
              </w:rPr>
              <w:t xml:space="preserve">D′</w:t>
            </w:r>
          </w:p>
        </w:tc>
        <w:tc>
          <w:tcPr>
            <w:tcW w:type="dxa" w:w="3000"/>
          </w:tcPr>
          <w:p>
            <w:r>
              <w:rPr>
                <w:sz w:val="18"/>
                <w:szCs w:val="18"/>
              </w:rPr>
              <w:t xml:space="preserve">(0.75, 2)</w:t>
            </w:r>
          </w:p>
        </w:tc>
      </w:tr>
    </w:tbl>
    <w:p>
      <w:pPr>
        <w:pStyle w:val="Heading1"/>
        <w:spacing w:after="160" w:before="200"/>
      </w:pPr>
      <w:r>
        <w:t xml:space="preserve">Appendix B — Sheet Stock &amp; Material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shd w:fill="1A3A5C" w:color="auto" w:val="clear"/>
          </w:tcPr>
          <w:p>
            <w:r>
              <w:rPr>
                <w:b/>
                <w:bCs/>
                <w:color w:val="FFFFFF"/>
                <w:sz w:val="18"/>
                <w:szCs w:val="18"/>
              </w:rPr>
              <w:t xml:space="preserve"/>
            </w:r>
          </w:p>
        </w:tc>
        <w:tc>
          <w:tcPr>
            <w:tcW w:type="dxa" w:w="4560"/>
            <w:shd w:fill="1A3A5C" w:color="auto" w:val="clear"/>
          </w:tcPr>
          <w:p>
            <w:r>
              <w:rPr>
                <w:b/>
                <w:bCs/>
                <w:color w:val="FFFFFF"/>
                <w:sz w:val="18"/>
                <w:szCs w:val="18"/>
              </w:rPr>
              <w:t xml:space="preserve">Value</w:t>
            </w:r>
          </w:p>
        </w:tc>
      </w:tr>
      <w:tr>
        <w:tc>
          <w:tcPr>
            <w:tcW w:type="dxa" w:w="4800"/>
          </w:tcPr>
          <w:p>
            <w:r>
              <w:rPr>
                <w:sz w:val="18"/>
                <w:szCs w:val="18"/>
              </w:rPr>
              <w:t xml:space="preserve">Sheet size, both layouts</w:t>
            </w:r>
          </w:p>
        </w:tc>
        <w:tc>
          <w:tcPr>
            <w:tcW w:type="dxa" w:w="4560"/>
          </w:tcPr>
          <w:p>
            <w:r>
              <w:rPr>
                <w:sz w:val="18"/>
                <w:szCs w:val="18"/>
              </w:rPr>
              <w:t xml:space="preserve">48 in × 120 in [S1]</w:t>
            </w:r>
          </w:p>
        </w:tc>
      </w:tr>
      <w:tr>
        <w:tc>
          <w:tcPr>
            <w:tcW w:type="dxa" w:w="4800"/>
          </w:tcPr>
          <w:p>
            <w:r>
              <w:rPr>
                <w:sz w:val="18"/>
                <w:szCs w:val="18"/>
              </w:rPr>
              <w:t xml:space="preserve">Sheet thickness / gauge</w:t>
            </w:r>
          </w:p>
        </w:tc>
        <w:tc>
          <w:tcPr>
            <w:tcW w:type="dxa" w:w="4560"/>
          </w:tcPr>
          <w:p>
            <w:r>
              <w:rPr>
                <w:sz w:val="18"/>
                <w:szCs w:val="18"/>
              </w:rPr>
              <w:t xml:space="preserve">16-gauge (0.060 in) cold-rolled steel [S2]</w:t>
            </w:r>
          </w:p>
        </w:tc>
      </w:tr>
      <w:tr>
        <w:tc>
          <w:tcPr>
            <w:tcW w:type="dxa" w:w="4800"/>
          </w:tcPr>
          <w:p>
            <w:r>
              <w:rPr>
                <w:sz w:val="18"/>
                <w:szCs w:val="18"/>
              </w:rPr>
              <w:t xml:space="preserve">Weight per square inch</w:t>
            </w:r>
          </w:p>
        </w:tc>
        <w:tc>
          <w:tcPr>
            <w:tcW w:type="dxa" w:w="4560"/>
          </w:tcPr>
          <w:p>
            <w:r>
              <w:rPr>
                <w:sz w:val="18"/>
                <w:szCs w:val="18"/>
              </w:rPr>
              <w:t xml:space="preserve">0.017 lb/sq in [S2]</w:t>
            </w:r>
          </w:p>
        </w:tc>
      </w:tr>
      <w:tr>
        <w:tc>
          <w:tcPr>
            <w:tcW w:type="dxa" w:w="4800"/>
          </w:tcPr>
          <w:p>
            <w:r>
              <w:rPr>
                <w:sz w:val="18"/>
                <w:szCs w:val="18"/>
              </w:rPr>
              <w:t xml:space="preserve">Sheet weight (48 in × 120 in)</w:t>
            </w:r>
          </w:p>
        </w:tc>
        <w:tc>
          <w:tcPr>
            <w:tcW w:type="dxa" w:w="4560"/>
          </w:tcPr>
          <w:p>
            <w:r>
              <w:rPr>
                <w:sz w:val="18"/>
                <w:szCs w:val="18"/>
              </w:rPr>
              <w:t xml:space="preserve">97.92 lb</w:t>
            </w:r>
          </w:p>
        </w:tc>
      </w:tr>
      <w:tr>
        <w:tc>
          <w:tcPr>
            <w:tcW w:type="dxa" w:w="4800"/>
          </w:tcPr>
          <w:p>
            <w:r>
              <w:rPr>
                <w:sz w:val="18"/>
                <w:szCs w:val="18"/>
              </w:rPr>
              <w:t xml:space="preserve">Price per pound</w:t>
            </w:r>
          </w:p>
        </w:tc>
        <w:tc>
          <w:tcPr>
            <w:tcW w:type="dxa" w:w="4560"/>
          </w:tcPr>
          <w:p>
            <w:r>
              <w:rPr>
                <w:sz w:val="18"/>
                <w:szCs w:val="18"/>
              </w:rPr>
              <w:t xml:space="preserve">$2.94/lb [S2]</w:t>
            </w:r>
          </w:p>
        </w:tc>
      </w:tr>
      <w:tr>
        <w:tc>
          <w:tcPr>
            <w:tcW w:type="dxa" w:w="4800"/>
          </w:tcPr>
          <w:p>
            <w:r>
              <w:rPr>
                <w:sz w:val="18"/>
                <w:szCs w:val="18"/>
              </w:rPr>
              <w:t xml:space="preserve">Material cost per sheet</w:t>
            </w:r>
          </w:p>
        </w:tc>
        <w:tc>
          <w:tcPr>
            <w:tcW w:type="dxa" w:w="4560"/>
          </w:tcPr>
          <w:p>
            <w:r>
              <w:rPr>
                <w:sz w:val="18"/>
                <w:szCs w:val="18"/>
              </w:rPr>
              <w:t xml:space="preserve">$287.88</w:t>
            </w:r>
          </w:p>
        </w:tc>
      </w:tr>
      <w:tr>
        <w:tc>
          <w:tcPr>
            <w:tcW w:type="dxa" w:w="4800"/>
          </w:tcPr>
          <w:p>
            <w:r>
              <w:rPr>
                <w:sz w:val="18"/>
                <w:szCs w:val="18"/>
              </w:rPr>
              <w:t xml:space="preserve">Kerf / part-to-part spacing margin used in the takeoff</w:t>
            </w:r>
          </w:p>
        </w:tc>
        <w:tc>
          <w:tcPr>
            <w:tcW w:type="dxa" w:w="4560"/>
          </w:tcPr>
          <w:p>
            <w:r>
              <w:rPr>
                <w:sz w:val="18"/>
                <w:szCs w:val="18"/>
              </w:rPr>
              <w:t xml:space="preserve">0.25 in, both layouts</w:t>
            </w:r>
          </w:p>
        </w:tc>
      </w:tr>
    </w:tbl>
    <w:p>
      <w:pPr>
        <w:pStyle w:val="Heading1"/>
        <w:spacing w:after="160" w:before="200"/>
      </w:pPr>
      <w:r>
        <w:t xml:space="preserve">Appendix C — Cutting, Piercing &amp; Machine-Rate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shd w:fill="1A3A5C" w:color="auto" w:val="clear"/>
          </w:tcPr>
          <w:p>
            <w:r>
              <w:rPr>
                <w:b/>
                <w:bCs/>
                <w:color w:val="FFFFFF"/>
                <w:sz w:val="18"/>
                <w:szCs w:val="18"/>
              </w:rPr>
              <w:t xml:space="preserve"/>
            </w:r>
          </w:p>
        </w:tc>
        <w:tc>
          <w:tcPr>
            <w:tcW w:type="dxa" w:w="3600"/>
            <w:shd w:fill="1A3A5C" w:color="auto" w:val="clear"/>
          </w:tcPr>
          <w:p>
            <w:r>
              <w:rPr>
                <w:b/>
                <w:bCs/>
                <w:color w:val="FFFFFF"/>
                <w:sz w:val="18"/>
                <w:szCs w:val="18"/>
              </w:rPr>
              <w:t xml:space="preserve">Value</w:t>
            </w:r>
          </w:p>
        </w:tc>
      </w:tr>
      <w:tr>
        <w:tc>
          <w:tcPr>
            <w:tcW w:type="dxa" w:w="5760"/>
          </w:tcPr>
          <w:p>
            <w:r>
              <w:rPr>
                <w:sz w:val="18"/>
                <w:szCs w:val="18"/>
              </w:rPr>
              <w:t xml:space="preserve">Laser cutting speed, The Straight Run, 16-gauge mild steel</w:t>
            </w:r>
          </w:p>
        </w:tc>
        <w:tc>
          <w:tcPr>
            <w:tcW w:type="dxa" w:w="3600"/>
          </w:tcPr>
          <w:p>
            <w:r>
              <w:rPr>
                <w:sz w:val="18"/>
                <w:szCs w:val="18"/>
              </w:rPr>
              <w:t xml:space="preserve">25 m/min → 984.25 in/min [S3]</w:t>
            </w:r>
          </w:p>
        </w:tc>
      </w:tr>
      <w:tr>
        <w:tc>
          <w:tcPr>
            <w:tcW w:type="dxa" w:w="5760"/>
          </w:tcPr>
          <w:p>
            <w:r>
              <w:rPr>
                <w:sz w:val="18"/>
                <w:szCs w:val="18"/>
              </w:rPr>
              <w:t xml:space="preserve">Pierce time per pierce, thin-gauge steel</w:t>
            </w:r>
          </w:p>
        </w:tc>
        <w:tc>
          <w:tcPr>
            <w:tcW w:type="dxa" w:w="3600"/>
          </w:tcPr>
          <w:p>
            <w:r>
              <w:rPr>
                <w:sz w:val="18"/>
                <w:szCs w:val="18"/>
              </w:rPr>
              <w:t xml:space="preserve">0.3 sec [S4]</w:t>
            </w:r>
          </w:p>
        </w:tc>
      </w:tr>
      <w:tr>
        <w:tc>
          <w:tcPr>
            <w:tcW w:type="dxa" w:w="5760"/>
          </w:tcPr>
          <w:p>
            <w:r>
              <w:rPr>
                <w:sz w:val="18"/>
                <w:szCs w:val="18"/>
              </w:rPr>
              <w:t xml:space="preserve">Wage, metal and plastic machine workers (U.S. median)</w:t>
            </w:r>
          </w:p>
        </w:tc>
        <w:tc>
          <w:tcPr>
            <w:tcW w:type="dxa" w:w="3600"/>
          </w:tcPr>
          <w:p>
            <w:r>
              <w:rPr>
                <w:sz w:val="18"/>
                <w:szCs w:val="18"/>
              </w:rPr>
              <w:t xml:space="preserve">$22.94/hr [S5]</w:t>
            </w:r>
          </w:p>
        </w:tc>
      </w:tr>
      <w:tr>
        <w:tc>
          <w:tcPr>
            <w:tcW w:type="dxa" w:w="5760"/>
          </w:tcPr>
          <w:p>
            <w:r>
              <w:rPr>
                <w:sz w:val="18"/>
                <w:szCs w:val="18"/>
              </w:rPr>
              <w:t xml:space="preserve">Fiber-laser machine operating cost (oxygen assist, carbon steel)</w:t>
            </w:r>
          </w:p>
        </w:tc>
        <w:tc>
          <w:tcPr>
            <w:tcW w:type="dxa" w:w="3600"/>
          </w:tcPr>
          <w:p>
            <w:r>
              <w:rPr>
                <w:sz w:val="18"/>
                <w:szCs w:val="18"/>
              </w:rPr>
              <w:t xml:space="preserve">$7.00/hr [S6]</w:t>
            </w:r>
          </w:p>
        </w:tc>
      </w:tr>
      <w:tr>
        <w:tc>
          <w:tcPr>
            <w:tcW w:type="dxa" w:w="5760"/>
          </w:tcPr>
          <w:p>
            <w:r>
              <w:rPr>
                <w:sz w:val="18"/>
                <w:szCs w:val="18"/>
              </w:rPr>
              <w:t xml:space="preserve">Blended machine-and-labor rate used in this case</w:t>
            </w:r>
          </w:p>
        </w:tc>
        <w:tc>
          <w:tcPr>
            <w:tcW w:type="dxa" w:w="3600"/>
          </w:tcPr>
          <w:p>
            <w:r>
              <w:rPr>
                <w:sz w:val="18"/>
                <w:szCs w:val="18"/>
              </w:rPr>
              <w:t xml:space="preserve">$29.94/hr</w:t>
            </w:r>
          </w:p>
        </w:tc>
      </w:tr>
      <w:tr>
        <w:tc>
          <w:tcPr>
            <w:tcW w:type="dxa" w:w="5760"/>
          </w:tcPr>
          <w:p>
            <w:r>
              <w:rPr>
                <w:sz w:val="18"/>
                <w:szCs w:val="18"/>
              </w:rPr>
              <w:t xml:space="preserve">Real-world material-yield improvement, mirrored vs. simple nesting</w:t>
            </w:r>
          </w:p>
        </w:tc>
        <w:tc>
          <w:tcPr>
            <w:tcW w:type="dxa" w:w="3600"/>
          </w:tcPr>
          <w:p>
            <w:r>
              <w:rPr>
                <w:sz w:val="18"/>
                <w:szCs w:val="18"/>
              </w:rPr>
              <w:t xml:space="preserve">10–15%, case uses 12% [S7]</w:t>
            </w:r>
          </w:p>
        </w:tc>
      </w:tr>
    </w:tbl>
    <w:p>
      <w:pPr>
        <w:pStyle w:val="Heading1"/>
        <w:spacing w:after="160" w:before="200"/>
      </w:pPr>
      <w:r>
        <w:t xml:space="preserve">Appendix D — Nesting Takeoff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c>
          <w:tcPr>
            <w:tcW w:type="dxa" w:w="4160"/>
            <w:shd w:fill="1A3A5C" w:color="auto" w:val="clear"/>
          </w:tcPr>
          <w:p>
            <w:r>
              <w:rPr>
                <w:b/>
                <w:bCs/>
                <w:color w:val="FFFFFF"/>
                <w:sz w:val="18"/>
                <w:szCs w:val="18"/>
              </w:rPr>
              <w:t xml:space="preserve"/>
            </w:r>
          </w:p>
        </w:tc>
        <w:tc>
          <w:tcPr>
            <w:tcW w:type="dxa" w:w="2600"/>
            <w:shd w:fill="1A3A5C" w:color="auto" w:val="clear"/>
          </w:tcPr>
          <w:p>
            <w:r>
              <w:rPr>
                <w:b/>
                <w:bCs/>
                <w:color w:val="FFFFFF"/>
                <w:sz w:val="18"/>
                <w:szCs w:val="18"/>
              </w:rPr>
              <w:t xml:space="preserve">The Straight Run (B)</w:t>
            </w:r>
          </w:p>
        </w:tc>
        <w:tc>
          <w:tcPr>
            <w:tcW w:type="dxa" w:w="2600"/>
            <w:shd w:fill="1A3A5C" w:color="auto" w:val="clear"/>
          </w:tcPr>
          <w:p>
            <w:r>
              <w:rPr>
                <w:b/>
                <w:bCs/>
                <w:color w:val="FFFFFF"/>
                <w:sz w:val="18"/>
                <w:szCs w:val="18"/>
              </w:rPr>
              <w:t xml:space="preserve">The Mirror Cut (A)</w:t>
            </w:r>
          </w:p>
        </w:tc>
      </w:tr>
      <w:tr>
        <w:tc>
          <w:tcPr>
            <w:tcW w:type="dxa" w:w="4160"/>
          </w:tcPr>
          <w:p>
            <w:r>
              <w:rPr>
                <w:sz w:val="18"/>
                <w:szCs w:val="18"/>
              </w:rPr>
              <w:t xml:space="preserve">Slot per bracket (bounding box + 0.25 in margin)</w:t>
            </w:r>
          </w:p>
        </w:tc>
        <w:tc>
          <w:tcPr>
            <w:tcW w:type="dxa" w:w="2600"/>
          </w:tcPr>
          <w:p>
            <w:r>
              <w:rPr>
                <w:sz w:val="18"/>
                <w:szCs w:val="18"/>
              </w:rPr>
              <w:t xml:space="preserve">6.25 in × 4.25 in</w:t>
            </w:r>
          </w:p>
        </w:tc>
        <w:tc>
          <w:tcPr>
            <w:tcW w:type="dxa" w:w="2600"/>
          </w:tcPr>
          <w:p>
            <w:r>
              <w:rPr>
                <w:sz w:val="18"/>
                <w:szCs w:val="18"/>
              </w:rPr>
              <w:t xml:space="preserve">6.25 in × 4.25 in (pre-yield)</w:t>
            </w:r>
          </w:p>
        </w:tc>
      </w:tr>
      <w:tr>
        <w:tc>
          <w:tcPr>
            <w:tcW w:type="dxa" w:w="4160"/>
          </w:tcPr>
          <w:p>
            <w:r>
              <w:rPr>
                <w:sz w:val="18"/>
                <w:szCs w:val="18"/>
              </w:rPr>
              <w:t xml:space="preserve">Brackets per sheet</w:t>
            </w:r>
          </w:p>
        </w:tc>
        <w:tc>
          <w:tcPr>
            <w:tcW w:type="dxa" w:w="2600"/>
          </w:tcPr>
          <w:p>
            <w:r>
              <w:rPr>
                <w:sz w:val="18"/>
                <w:szCs w:val="18"/>
              </w:rPr>
              <w:t xml:space="preserve">196</w:t>
            </w:r>
          </w:p>
        </w:tc>
        <w:tc>
          <w:tcPr>
            <w:tcW w:type="dxa" w:w="2600"/>
          </w:tcPr>
          <w:p>
            <w:r>
              <w:rPr>
                <w:sz w:val="18"/>
                <w:szCs w:val="18"/>
              </w:rPr>
              <w:t xml:space="preserve">219</w:t>
            </w:r>
          </w:p>
        </w:tc>
      </w:tr>
      <w:tr>
        <w:tc>
          <w:tcPr>
            <w:tcW w:type="dxa" w:w="4160"/>
          </w:tcPr>
          <w:p>
            <w:r>
              <w:rPr>
                <w:sz w:val="18"/>
                <w:szCs w:val="18"/>
              </w:rPr>
              <w:t xml:space="preserve">Material cost per sheet</w:t>
            </w:r>
          </w:p>
        </w:tc>
        <w:tc>
          <w:tcPr>
            <w:tcW w:type="dxa" w:w="2600"/>
          </w:tcPr>
          <w:p>
            <w:r>
              <w:rPr>
                <w:sz w:val="18"/>
                <w:szCs w:val="18"/>
              </w:rPr>
              <w:t xml:space="preserve">$287.88</w:t>
            </w:r>
          </w:p>
        </w:tc>
        <w:tc>
          <w:tcPr>
            <w:tcW w:type="dxa" w:w="2600"/>
          </w:tcPr>
          <w:p>
            <w:r>
              <w:rPr>
                <w:sz w:val="18"/>
                <w:szCs w:val="18"/>
              </w:rPr>
              <w:t xml:space="preserve">$287.88</w:t>
            </w:r>
          </w:p>
        </w:tc>
      </w:tr>
      <w:tr>
        <w:tc>
          <w:tcPr>
            <w:tcW w:type="dxa" w:w="4160"/>
          </w:tcPr>
          <w:p>
            <w:r>
              <w:rPr>
                <w:sz w:val="18"/>
                <w:szCs w:val="18"/>
              </w:rPr>
              <w:t xml:space="preserve">Material cost per bracket</w:t>
            </w:r>
          </w:p>
        </w:tc>
        <w:tc>
          <w:tcPr>
            <w:tcW w:type="dxa" w:w="2600"/>
          </w:tcPr>
          <w:p>
            <w:r>
              <w:rPr>
                <w:sz w:val="18"/>
                <w:szCs w:val="18"/>
              </w:rPr>
              <w:t xml:space="preserve">$1.4688</w:t>
            </w:r>
          </w:p>
        </w:tc>
        <w:tc>
          <w:tcPr>
            <w:tcW w:type="dxa" w:w="2600"/>
          </w:tcPr>
          <w:p>
            <w:r>
              <w:rPr>
                <w:sz w:val="18"/>
                <w:szCs w:val="18"/>
              </w:rPr>
              <w:t xml:space="preserve">$1.31454</w:t>
            </w:r>
          </w:p>
        </w:tc>
      </w:tr>
      <w:tr>
        <w:tc>
          <w:tcPr>
            <w:tcW w:type="dxa" w:w="4160"/>
          </w:tcPr>
          <w:p>
            <w:r>
              <w:rPr>
                <w:sz w:val="18"/>
                <w:szCs w:val="18"/>
              </w:rPr>
              <w:t xml:space="preserve">Pierces per bracket (see Appendix E, MA1)</w:t>
            </w:r>
          </w:p>
        </w:tc>
        <w:tc>
          <w:tcPr>
            <w:tcW w:type="dxa" w:w="2600"/>
          </w:tcPr>
          <w:p>
            <w:r>
              <w:rPr>
                <w:sz w:val="18"/>
                <w:szCs w:val="18"/>
              </w:rPr>
              <w:t xml:space="preserve">1</w:t>
            </w:r>
          </w:p>
        </w:tc>
        <w:tc>
          <w:tcPr>
            <w:tcW w:type="dxa" w:w="2600"/>
          </w:tcPr>
          <w:p>
            <w:r>
              <w:rPr>
                <w:sz w:val="18"/>
                <w:szCs w:val="18"/>
              </w:rPr>
              <w:t xml:space="preserve">2</w:t>
            </w:r>
          </w:p>
        </w:tc>
      </w:tr>
      <w:tr>
        <w:tc>
          <w:tcPr>
            <w:tcW w:type="dxa" w:w="4160"/>
          </w:tcPr>
          <w:p>
            <w:r>
              <w:rPr>
                <w:sz w:val="18"/>
                <w:szCs w:val="18"/>
              </w:rPr>
              <w:t xml:space="preserve">Cut speed used (see Appendix E, MA2)</w:t>
            </w:r>
          </w:p>
        </w:tc>
        <w:tc>
          <w:tcPr>
            <w:tcW w:type="dxa" w:w="2600"/>
          </w:tcPr>
          <w:p>
            <w:r>
              <w:rPr>
                <w:sz w:val="18"/>
                <w:szCs w:val="18"/>
              </w:rPr>
              <w:t xml:space="preserve">984.25 in/min (full speed)</w:t>
            </w:r>
          </w:p>
        </w:tc>
        <w:tc>
          <w:tcPr>
            <w:tcW w:type="dxa" w:w="2600"/>
          </w:tcPr>
          <w:p>
            <w:r>
              <w:rPr>
                <w:sz w:val="18"/>
                <w:szCs w:val="18"/>
              </w:rPr>
              <w:t xml:space="preserve">688.975 in/min (70% of full speed)</w:t>
            </w:r>
          </w:p>
        </w:tc>
      </w:tr>
      <w:tr>
        <w:tc>
          <w:tcPr>
            <w:tcW w:type="dxa" w:w="4160"/>
          </w:tcPr>
          <w:p>
            <w:r>
              <w:rPr>
                <w:sz w:val="18"/>
                <w:szCs w:val="18"/>
              </w:rPr>
              <w:t xml:space="preserve">Cut time per bracket</w:t>
            </w:r>
          </w:p>
        </w:tc>
        <w:tc>
          <w:tcPr>
            <w:tcW w:type="dxa" w:w="2600"/>
          </w:tcPr>
          <w:p>
            <w:r>
              <w:rPr>
                <w:sz w:val="18"/>
                <w:szCs w:val="18"/>
              </w:rPr>
              <w:t xml:space="preserve">1.0695 sec</w:t>
            </w:r>
          </w:p>
        </w:tc>
        <w:tc>
          <w:tcPr>
            <w:tcW w:type="dxa" w:w="2600"/>
          </w:tcPr>
          <w:p>
            <w:r>
              <w:rPr>
                <w:sz w:val="18"/>
                <w:szCs w:val="18"/>
              </w:rPr>
              <w:t xml:space="preserve">1.5278 sec</w:t>
            </w:r>
          </w:p>
        </w:tc>
      </w:tr>
      <w:tr>
        <w:tc>
          <w:tcPr>
            <w:tcW w:type="dxa" w:w="4160"/>
          </w:tcPr>
          <w:p>
            <w:r>
              <w:rPr>
                <w:sz w:val="18"/>
                <w:szCs w:val="18"/>
              </w:rPr>
              <w:t xml:space="preserve">Pierce time per bracket</w:t>
            </w:r>
          </w:p>
        </w:tc>
        <w:tc>
          <w:tcPr>
            <w:tcW w:type="dxa" w:w="2600"/>
          </w:tcPr>
          <w:p>
            <w:r>
              <w:rPr>
                <w:sz w:val="18"/>
                <w:szCs w:val="18"/>
              </w:rPr>
              <w:t xml:space="preserve">0.3 sec</w:t>
            </w:r>
          </w:p>
        </w:tc>
        <w:tc>
          <w:tcPr>
            <w:tcW w:type="dxa" w:w="2600"/>
          </w:tcPr>
          <w:p>
            <w:r>
              <w:rPr>
                <w:sz w:val="18"/>
                <w:szCs w:val="18"/>
              </w:rPr>
              <w:t xml:space="preserve">0.6 sec</w:t>
            </w:r>
          </w:p>
        </w:tc>
      </w:tr>
      <w:tr>
        <w:tc>
          <w:tcPr>
            <w:tcW w:type="dxa" w:w="4160"/>
          </w:tcPr>
          <w:p>
            <w:r>
              <w:rPr>
                <w:sz w:val="18"/>
                <w:szCs w:val="18"/>
              </w:rPr>
              <w:t xml:space="preserve">Machine-time cost per bracket</w:t>
            </w:r>
          </w:p>
        </w:tc>
        <w:tc>
          <w:tcPr>
            <w:tcW w:type="dxa" w:w="2600"/>
          </w:tcPr>
          <w:p>
            <w:r>
              <w:rPr>
                <w:sz w:val="18"/>
                <w:szCs w:val="18"/>
              </w:rPr>
              <w:t xml:space="preserve">$0.01139</w:t>
            </w:r>
          </w:p>
        </w:tc>
        <w:tc>
          <w:tcPr>
            <w:tcW w:type="dxa" w:w="2600"/>
          </w:tcPr>
          <w:p>
            <w:r>
              <w:rPr>
                <w:sz w:val="18"/>
                <w:szCs w:val="18"/>
              </w:rPr>
              <w:t xml:space="preserve">$0.01770</w:t>
            </w:r>
          </w:p>
        </w:tc>
      </w:tr>
      <w:tr>
        <w:tc>
          <w:tcPr>
            <w:tcW w:type="dxa" w:w="4160"/>
          </w:tcPr>
          <w:p>
            <w:r>
              <w:rPr>
                <w:sz w:val="18"/>
                <w:szCs w:val="18"/>
              </w:rPr>
              <w:t xml:space="preserve">Net cost per finished bracket (material + machine time)</w:t>
            </w:r>
          </w:p>
        </w:tc>
        <w:tc>
          <w:tcPr>
            <w:tcW w:type="dxa" w:w="2600"/>
          </w:tcPr>
          <w:p>
            <w:r>
              <w:rPr>
                <w:sz w:val="18"/>
                <w:szCs w:val="18"/>
              </w:rPr>
              <w:t xml:space="preserve">$1.48019</w:t>
            </w:r>
          </w:p>
        </w:tc>
        <w:tc>
          <w:tcPr>
            <w:tcW w:type="dxa" w:w="2600"/>
          </w:tcPr>
          <w:p>
            <w:r>
              <w:rPr>
                <w:sz w:val="18"/>
                <w:szCs w:val="18"/>
              </w:rPr>
              <w:t xml:space="preserve">$1.33224</w:t>
            </w:r>
          </w:p>
        </w:tc>
      </w:tr>
      <w:tr>
        <w:tc>
          <w:tcPr>
            <w:tcW w:type="dxa" w:w="4160"/>
          </w:tcPr>
          <w:p>
            <w:r>
              <w:rPr>
                <w:sz w:val="18"/>
                <w:szCs w:val="18"/>
              </w:rPr>
              <w:t xml:space="preserve">Brackets needed per year</w:t>
            </w:r>
          </w:p>
        </w:tc>
        <w:tc>
          <w:tcPr>
            <w:tcW w:type="dxa" w:w="2600"/>
          </w:tcPr>
          <w:p>
            <w:r>
              <w:rPr>
                <w:sz w:val="18"/>
                <w:szCs w:val="18"/>
              </w:rPr>
              <w:t xml:space="preserve">40,000</w:t>
            </w:r>
          </w:p>
        </w:tc>
        <w:tc>
          <w:tcPr>
            <w:tcW w:type="dxa" w:w="2600"/>
          </w:tcPr>
          <w:p>
            <w:r>
              <w:rPr>
                <w:sz w:val="18"/>
                <w:szCs w:val="18"/>
              </w:rPr>
              <w:t xml:space="preserve">40,000</w:t>
            </w:r>
          </w:p>
        </w:tc>
      </w:tr>
      <w:tr>
        <w:tc>
          <w:tcPr>
            <w:tcW w:type="dxa" w:w="4160"/>
          </w:tcPr>
          <w:p>
            <w:r>
              <w:rPr>
                <w:sz w:val="18"/>
                <w:szCs w:val="18"/>
              </w:rPr>
              <w:t xml:space="preserve">Sheets needed per year</w:t>
            </w:r>
          </w:p>
        </w:tc>
        <w:tc>
          <w:tcPr>
            <w:tcW w:type="dxa" w:w="2600"/>
          </w:tcPr>
          <w:p>
            <w:r>
              <w:rPr>
                <w:sz w:val="18"/>
                <w:szCs w:val="18"/>
              </w:rPr>
              <w:t xml:space="preserve">204.1</w:t>
            </w:r>
          </w:p>
        </w:tc>
        <w:tc>
          <w:tcPr>
            <w:tcW w:type="dxa" w:w="2600"/>
          </w:tcPr>
          <w:p>
            <w:r>
              <w:rPr>
                <w:sz w:val="18"/>
                <w:szCs w:val="18"/>
              </w:rPr>
              <w:t xml:space="preserve">182.6</w:t>
            </w:r>
          </w:p>
        </w:tc>
      </w:tr>
    </w:tbl>
    <w:p>
      <w:pPr>
        <w:pStyle w:val="Heading1"/>
        <w:spacing w:after="160" w:before="200"/>
      </w:pPr>
      <w:r>
        <w:t xml:space="preserve">Appendix E — Modeling Assumptions</w:t>
      </w:r>
    </w:p>
    <w:p>
      <w:pPr>
        <w:pBdr>
          <w:left w:val="single" w:color="C9A227" w:sz="18" w:space="8"/>
        </w:pBdr>
        <w:spacing w:after="160"/>
      </w:pPr>
      <w:r>
        <w:rPr>
          <w:i/>
          <w:iCs/>
          <w:color w:val="5B6472"/>
        </w:rPr>
        <w:t xml:space="preserve">These figures are not sourced. They are stated scenario assumptions chosen by the case author, each with a real basis named below. A Hero may challenge them in discussion — that is a legitimate move, and Appendix H names the skills a Hero would need to test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800"/>
        <w:gridCol w:w="3200"/>
        <w:gridCol w:w="1260"/>
      </w:tblGrid>
      <w:tr>
        <w:tc>
          <w:tcPr>
            <w:tcW w:type="dxa" w:w="500"/>
            <w:shd w:fill="1A3A5C" w:color="auto" w:val="clear"/>
          </w:tcPr>
          <w:p>
            <w:r>
              <w:rPr>
                <w:b/>
                <w:bCs/>
                <w:color w:val="FFFFFF"/>
                <w:sz w:val="18"/>
                <w:szCs w:val="18"/>
              </w:rPr>
              <w:t xml:space="preserve">#</w:t>
            </w:r>
          </w:p>
        </w:tc>
        <w:tc>
          <w:tcPr>
            <w:tcW w:type="dxa" w:w="2600"/>
            <w:shd w:fill="1A3A5C" w:color="auto" w:val="clear"/>
          </w:tcPr>
          <w:p>
            <w:r>
              <w:rPr>
                <w:b/>
                <w:bCs/>
                <w:color w:val="FFFFFF"/>
                <w:sz w:val="18"/>
                <w:szCs w:val="18"/>
              </w:rPr>
              <w:t xml:space="preserve">Assumption</w:t>
            </w:r>
          </w:p>
        </w:tc>
        <w:tc>
          <w:tcPr>
            <w:tcW w:type="dxa" w:w="1800"/>
            <w:shd w:fill="1A3A5C" w:color="auto" w:val="clear"/>
          </w:tcPr>
          <w:p>
            <w:r>
              <w:rPr>
                <w:b/>
                <w:bCs/>
                <w:color w:val="FFFFFF"/>
                <w:sz w:val="18"/>
                <w:szCs w:val="18"/>
              </w:rPr>
              <w:t xml:space="preserve">Value used</w:t>
            </w:r>
          </w:p>
        </w:tc>
        <w:tc>
          <w:tcPr>
            <w:tcW w:type="dxa" w:w="3200"/>
            <w:shd w:fill="1A3A5C" w:color="auto" w:val="clear"/>
          </w:tcPr>
          <w:p>
            <w:r>
              <w:rPr>
                <w:b/>
                <w:bCs/>
                <w:color w:val="FFFFFF"/>
                <w:sz w:val="18"/>
                <w:szCs w:val="18"/>
              </w:rPr>
              <w:t xml:space="preserve">Basis</w:t>
            </w:r>
          </w:p>
        </w:tc>
        <w:tc>
          <w:tcPr>
            <w:tcW w:type="dxa" w:w="1260"/>
            <w:shd w:fill="1A3A5C" w:color="auto" w:val="clear"/>
          </w:tcPr>
          <w:p>
            <w:r>
              <w:rPr>
                <w:b/>
                <w:bCs/>
                <w:color w:val="FFFFFF"/>
                <w:sz w:val="18"/>
                <w:szCs w:val="18"/>
              </w:rPr>
              <w:t xml:space="preserve">Sensitivity</w:t>
            </w:r>
          </w:p>
        </w:tc>
      </w:tr>
      <w:tr>
        <w:tc>
          <w:tcPr>
            <w:tcW w:type="dxa" w:w="500"/>
          </w:tcPr>
          <w:p>
            <w:r>
              <w:rPr>
                <w:sz w:val="18"/>
                <w:szCs w:val="18"/>
              </w:rPr>
              <w:t xml:space="preserve">MA1</w:t>
            </w:r>
          </w:p>
        </w:tc>
        <w:tc>
          <w:tcPr>
            <w:tcW w:type="dxa" w:w="2600"/>
          </w:tcPr>
          <w:p>
            <w:r>
              <w:rPr>
                <w:sz w:val="18"/>
                <w:szCs w:val="18"/>
              </w:rPr>
              <w:t xml:space="preserve">Pierces per bracket, The Mirror Cut, as a multiple of The Straight Run's one pierce per bracket</w:t>
            </w:r>
          </w:p>
        </w:tc>
        <w:tc>
          <w:tcPr>
            <w:tcW w:type="dxa" w:w="1800"/>
          </w:tcPr>
          <w:p>
            <w:r>
              <w:rPr>
                <w:sz w:val="18"/>
                <w:szCs w:val="18"/>
              </w:rPr>
              <w:t xml:space="preserve">2× (2 pierces/bracket)</w:t>
            </w:r>
          </w:p>
        </w:tc>
        <w:tc>
          <w:tcPr>
            <w:tcW w:type="dxa" w:w="3200"/>
          </w:tcPr>
          <w:p>
            <w:r>
              <w:rPr>
                <w:sz w:val="18"/>
                <w:szCs w:val="18"/>
              </w:rPr>
              <w:t xml:space="preserve">Tightly interlocked, mirrored nests are commonly pre-pierced ahead of full contour cutting to manage heat buildup between closely spaced parts, rather than cut as one continuous pass — a real, documented nesting practice (see Appendix F). No public per-shop study times this exact multiplier for this exact part geometry; the 2× figure is the case author's own estimate from how the operation is actually sequenced.</w:t>
            </w:r>
          </w:p>
        </w:tc>
        <w:tc>
          <w:tcPr>
            <w:tcW w:type="dxa" w:w="1260"/>
          </w:tcPr>
          <w:p>
            <w:r>
              <w:rPr>
                <w:sz w:val="18"/>
                <w:szCs w:val="18"/>
              </w:rPr>
              <w:t xml:space="preserve">Not enough on its own to flip the primary metric (material cost dominates the per-bracket total). Flexed ±50% in Tier 2 probe 5.</w:t>
            </w:r>
          </w:p>
        </w:tc>
      </w:tr>
      <w:tr>
        <w:tc>
          <w:tcPr>
            <w:tcW w:type="dxa" w:w="500"/>
          </w:tcPr>
          <w:p>
            <w:r>
              <w:rPr>
                <w:sz w:val="18"/>
                <w:szCs w:val="18"/>
              </w:rPr>
              <w:t xml:space="preserve">MA2</w:t>
            </w:r>
          </w:p>
        </w:tc>
        <w:tc>
          <w:tcPr>
            <w:tcW w:type="dxa" w:w="2600"/>
          </w:tcPr>
          <w:p>
            <w:r>
              <w:rPr>
                <w:sz w:val="18"/>
                <w:szCs w:val="18"/>
              </w:rPr>
              <w:t xml:space="preserve">Cutting speed, The Mirror Cut, as a fraction of The Straight Run's sourced cutting speed</w:t>
            </w:r>
          </w:p>
        </w:tc>
        <w:tc>
          <w:tcPr>
            <w:tcW w:type="dxa" w:w="1800"/>
          </w:tcPr>
          <w:p>
            <w:r>
              <w:rPr>
                <w:sz w:val="18"/>
                <w:szCs w:val="18"/>
              </w:rPr>
              <w:t xml:space="preserve">70% (a 30% slowdown)</w:t>
            </w:r>
          </w:p>
        </w:tc>
        <w:tc>
          <w:tcPr>
            <w:tcW w:type="dxa" w:w="3200"/>
          </w:tcPr>
          <w:p>
            <w:r>
              <w:rPr>
                <w:sz w:val="18"/>
                <w:szCs w:val="18"/>
              </w:rPr>
              <w:t xml:space="preserve">Closely nested, alternating-orientation parts require the machine to sequence and pace cuts so heat has room to dissipate between adjacent brackets rather than building up and warping them — a real, documented general phenomenon in laser nesting (see Appendix F). No public per-shop study measures this exact slowdown for this exact geometry; 70% is the case author's own estimate.</w:t>
            </w:r>
          </w:p>
        </w:tc>
        <w:tc>
          <w:tcPr>
            <w:tcW w:type="dxa" w:w="1260"/>
          </w:tcPr>
          <w:p>
            <w:r>
              <w:rPr>
                <w:sz w:val="18"/>
                <w:szCs w:val="18"/>
              </w:rPr>
              <w:t xml:space="preserve">Same as MA1 — moves the machine-time line but does not by itself flip the primary metric. Flexed ±50% in Tier 2 probe 5.</w:t>
            </w:r>
          </w:p>
        </w:tc>
      </w:tr>
      <w:tr>
        <w:tc>
          <w:tcPr>
            <w:tcW w:type="dxa" w:w="500"/>
          </w:tcPr>
          <w:p>
            <w:r>
              <w:rPr>
                <w:sz w:val="18"/>
                <w:szCs w:val="18"/>
              </w:rPr>
              <w:t xml:space="preserve">MA3</w:t>
            </w:r>
          </w:p>
        </w:tc>
        <w:tc>
          <w:tcPr>
            <w:tcW w:type="dxa" w:w="2600"/>
          </w:tcPr>
          <w:p>
            <w:r>
              <w:rPr>
                <w:sz w:val="18"/>
                <w:szCs w:val="18"/>
              </w:rPr>
              <w:t xml:space="preserve">Rejected-part rate from heat-affected-zone distortion, each layout</w:t>
            </w:r>
          </w:p>
        </w:tc>
        <w:tc>
          <w:tcPr>
            <w:tcW w:type="dxa" w:w="1800"/>
          </w:tcPr>
          <w:p>
            <w:r>
              <w:rPr>
                <w:sz w:val="18"/>
                <w:szCs w:val="18"/>
              </w:rPr>
              <w:t xml:space="preserve">The Straight Run: 1%. The Mirror Cut: 4%.</w:t>
            </w:r>
          </w:p>
        </w:tc>
        <w:tc>
          <w:tcPr>
            <w:tcW w:type="dxa" w:w="3200"/>
          </w:tcPr>
          <w:p>
            <w:r>
              <w:rPr>
                <w:sz w:val="18"/>
                <w:szCs w:val="18"/>
              </w:rPr>
              <w:t xml:space="preserve">Heat-affected-zone buildup between closely nested, alternating-orientation parts is a real, documented distortion risk (see Appendix F); The Mirror Cut's tighter spacing carries more of that risk than The Straight Run's more open layout. No public per-shop reject-rate study exists for this exact part and nest, so both values are the case author's own estimate.</w:t>
            </w:r>
          </w:p>
        </w:tc>
        <w:tc>
          <w:tcPr>
            <w:tcW w:type="dxa" w:w="1260"/>
          </w:tcPr>
          <w:p>
            <w:r>
              <w:rPr>
                <w:sz w:val="18"/>
                <w:szCs w:val="18"/>
              </w:rPr>
              <w:t xml:space="preserve">The answer is sensitive to this value.</w:t>
            </w:r>
          </w:p>
        </w:tc>
      </w:tr>
    </w:tbl>
    <w:p>
      <w:pPr>
        <w:pStyle w:val="Heading1"/>
        <w:spacing w:after="160" w:before="200"/>
      </w:pPr>
      <w:r>
        <w:t xml:space="preserve">Appendix F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100"/>
        <w:gridCol w:w="2900"/>
        <w:gridCol w:w="900"/>
        <w:gridCol w:w="760"/>
      </w:tblGrid>
      <w:tr>
        <w:tc>
          <w:tcPr>
            <w:tcW w:type="dxa" w:w="500"/>
            <w:shd w:fill="1A3A5C" w:color="auto" w:val="clear"/>
          </w:tcPr>
          <w:p>
            <w:r>
              <w:rPr>
                <w:b/>
                <w:bCs/>
                <w:color w:val="FFFFFF"/>
                <w:sz w:val="18"/>
                <w:szCs w:val="18"/>
              </w:rPr>
              <w:t xml:space="preserve">id</w:t>
            </w:r>
          </w:p>
        </w:tc>
        <w:tc>
          <w:tcPr>
            <w:tcW w:type="dxa" w:w="2200"/>
            <w:shd w:fill="1A3A5C" w:color="auto" w:val="clear"/>
          </w:tcPr>
          <w:p>
            <w:r>
              <w:rPr>
                <w:b/>
                <w:bCs/>
                <w:color w:val="FFFFFF"/>
                <w:sz w:val="18"/>
                <w:szCs w:val="18"/>
              </w:rPr>
              <w:t xml:space="preserve">Claim</w:t>
            </w:r>
          </w:p>
        </w:tc>
        <w:tc>
          <w:tcPr>
            <w:tcW w:type="dxa" w:w="2100"/>
            <w:shd w:fill="1A3A5C" w:color="auto" w:val="clear"/>
          </w:tcPr>
          <w:p>
            <w:r>
              <w:rPr>
                <w:b/>
                <w:bCs/>
                <w:color w:val="FFFFFF"/>
                <w:sz w:val="18"/>
                <w:szCs w:val="18"/>
              </w:rPr>
              <w:t xml:space="preserve">Value</w:t>
            </w:r>
          </w:p>
        </w:tc>
        <w:tc>
          <w:tcPr>
            <w:tcW w:type="dxa" w:w="2900"/>
            <w:shd w:fill="1A3A5C" w:color="auto" w:val="clear"/>
          </w:tcPr>
          <w:p>
            <w:r>
              <w:rPr>
                <w:b/>
                <w:bCs/>
                <w:color w:val="FFFFFF"/>
                <w:sz w:val="18"/>
                <w:szCs w:val="18"/>
              </w:rPr>
              <w:t xml:space="preserve">Source</w:t>
            </w:r>
          </w:p>
        </w:tc>
        <w:tc>
          <w:tcPr>
            <w:tcW w:type="dxa" w:w="900"/>
            <w:shd w:fill="1A3A5C" w:color="auto" w:val="clear"/>
          </w:tcPr>
          <w:p>
            <w:r>
              <w:rPr>
                <w:b/>
                <w:bCs/>
                <w:color w:val="FFFFFF"/>
                <w:sz w:val="18"/>
                <w:szCs w:val="18"/>
              </w:rPr>
              <w:t xml:space="preserve">Accessed</w:t>
            </w:r>
          </w:p>
        </w:tc>
        <w:tc>
          <w:tcPr>
            <w:tcW w:type="dxa" w:w="760"/>
            <w:shd w:fill="1A3A5C" w:color="auto" w:val="clear"/>
          </w:tcPr>
          <w:p>
            <w:r>
              <w:rPr>
                <w:b/>
                <w:bCs/>
                <w:color w:val="FFFFFF"/>
                <w:sz w:val="18"/>
                <w:szCs w:val="18"/>
              </w:rPr>
              <w:t xml:space="preserve">Confidence</w:t>
            </w:r>
          </w:p>
        </w:tc>
      </w:tr>
      <w:tr>
        <w:tc>
          <w:tcPr>
            <w:tcW w:type="dxa" w:w="500"/>
          </w:tcPr>
          <w:p>
            <w:r>
              <w:rPr>
                <w:sz w:val="18"/>
                <w:szCs w:val="18"/>
              </w:rPr>
              <w:t xml:space="preserve">S1</w:t>
            </w:r>
          </w:p>
        </w:tc>
        <w:tc>
          <w:tcPr>
            <w:tcW w:type="dxa" w:w="2200"/>
          </w:tcPr>
          <w:p>
            <w:r>
              <w:rPr>
                <w:sz w:val="18"/>
                <w:szCs w:val="18"/>
              </w:rPr>
              <w:t xml:space="preserve">Standard stocked steel sheet size for laser cutting</w:t>
            </w:r>
          </w:p>
        </w:tc>
        <w:tc>
          <w:tcPr>
            <w:tcW w:type="dxa" w:w="2100"/>
          </w:tcPr>
          <w:p>
            <w:r>
              <w:rPr>
                <w:sz w:val="18"/>
                <w:szCs w:val="18"/>
              </w:rPr>
              <w:t xml:space="preserve">48 in × 120 in</w:t>
            </w:r>
          </w:p>
        </w:tc>
        <w:tc>
          <w:tcPr>
            <w:tcW w:type="dxa" w:w="2900"/>
          </w:tcPr>
          <w:p>
            <w:r>
              <w:rPr>
                <w:sz w:val="18"/>
                <w:szCs w:val="18"/>
              </w:rPr>
              <w:t xml:space="preserve">Fabworks, “Max Cuttable Size for Laser Cutting” (fabworks.com/faq/max-size)</w:t>
            </w:r>
          </w:p>
        </w:tc>
        <w:tc>
          <w:tcPr>
            <w:tcW w:type="dxa" w:w="900"/>
          </w:tcPr>
          <w:p>
            <w:r>
              <w:rPr>
                <w:sz w:val="18"/>
                <w:szCs w:val="18"/>
              </w:rPr>
              <w:t xml:space="preserve">2026-09-05</w:t>
            </w:r>
          </w:p>
        </w:tc>
        <w:tc>
          <w:tcPr>
            <w:tcW w:type="dxa" w:w="760"/>
          </w:tcPr>
          <w:p>
            <w:r>
              <w:rPr>
                <w:sz w:val="18"/>
                <w:szCs w:val="18"/>
              </w:rPr>
              <w:t xml:space="preserve">MEDIUM</w:t>
            </w:r>
          </w:p>
        </w:tc>
      </w:tr>
      <w:tr>
        <w:tc>
          <w:tcPr>
            <w:tcW w:type="dxa" w:w="500"/>
          </w:tcPr>
          <w:p>
            <w:r>
              <w:rPr>
                <w:sz w:val="18"/>
                <w:szCs w:val="18"/>
              </w:rPr>
              <w:t xml:space="preserve">S2</w:t>
            </w:r>
          </w:p>
        </w:tc>
        <w:tc>
          <w:tcPr>
            <w:tcW w:type="dxa" w:w="2200"/>
          </w:tcPr>
          <w:p>
            <w:r>
              <w:rPr>
                <w:sz w:val="18"/>
                <w:szCs w:val="18"/>
              </w:rPr>
              <w:t xml:space="preserve">16-gauge (0.060 in) cold-rolled steel sheet: price and weight-per-area</w:t>
            </w:r>
          </w:p>
        </w:tc>
        <w:tc>
          <w:tcPr>
            <w:tcW w:type="dxa" w:w="2100"/>
          </w:tcPr>
          <w:p>
            <w:r>
              <w:rPr>
                <w:sz w:val="18"/>
                <w:szCs w:val="18"/>
              </w:rPr>
              <w:t xml:space="preserve">$2.94/lb; 2.448 lb per 12 in × 12 in plate</w:t>
            </w:r>
          </w:p>
        </w:tc>
        <w:tc>
          <w:tcPr>
            <w:tcW w:type="dxa" w:w="2900"/>
          </w:tcPr>
          <w:p>
            <w:r>
              <w:rPr>
                <w:sz w:val="18"/>
                <w:szCs w:val="18"/>
              </w:rPr>
              <w:t xml:space="preserve">SpeedyMetals, “16ga (.060″) Cold Rolled, Steel Sheet” (speedymetals.com)</w:t>
            </w:r>
          </w:p>
        </w:tc>
        <w:tc>
          <w:tcPr>
            <w:tcW w:type="dxa" w:w="900"/>
          </w:tcPr>
          <w:p>
            <w:r>
              <w:rPr>
                <w:sz w:val="18"/>
                <w:szCs w:val="18"/>
              </w:rPr>
              <w:t xml:space="preserve">2026-09-05</w:t>
            </w:r>
          </w:p>
        </w:tc>
        <w:tc>
          <w:tcPr>
            <w:tcW w:type="dxa" w:w="760"/>
          </w:tcPr>
          <w:p>
            <w:r>
              <w:rPr>
                <w:sz w:val="18"/>
                <w:szCs w:val="18"/>
              </w:rPr>
              <w:t xml:space="preserve">MEDIUM</w:t>
            </w:r>
          </w:p>
        </w:tc>
      </w:tr>
      <w:tr>
        <w:tc>
          <w:tcPr>
            <w:tcW w:type="dxa" w:w="500"/>
          </w:tcPr>
          <w:p>
            <w:r>
              <w:rPr>
                <w:sz w:val="18"/>
                <w:szCs w:val="18"/>
              </w:rPr>
              <w:t xml:space="preserve">S3</w:t>
            </w:r>
          </w:p>
        </w:tc>
        <w:tc>
          <w:tcPr>
            <w:tcW w:type="dxa" w:w="2200"/>
          </w:tcPr>
          <w:p>
            <w:r>
              <w:rPr>
                <w:sz w:val="18"/>
                <w:szCs w:val="18"/>
              </w:rPr>
              <w:t xml:space="preserve">Fiber-laser cutting speed, ~1.5 mm (16-gauge) carbon steel, 2 kW, oxygen/air assist</w:t>
            </w:r>
          </w:p>
        </w:tc>
        <w:tc>
          <w:tcPr>
            <w:tcW w:type="dxa" w:w="2100"/>
          </w:tcPr>
          <w:p>
            <w:r>
              <w:rPr>
                <w:sz w:val="18"/>
                <w:szCs w:val="18"/>
              </w:rPr>
              <w:t xml:space="preserve">25–30 m/min (case uses 25 m/min, the low end)</w:t>
            </w:r>
          </w:p>
        </w:tc>
        <w:tc>
          <w:tcPr>
            <w:tcW w:type="dxa" w:w="2900"/>
          </w:tcPr>
          <w:p>
            <w:r>
              <w:rPr>
                <w:sz w:val="18"/>
                <w:szCs w:val="18"/>
              </w:rPr>
              <w:t xml:space="preserve">StyleCNC, “How Fast And Thick Can Fiber Lasers Cut Through Metal?” (stylecnc.com)</w:t>
            </w:r>
          </w:p>
        </w:tc>
        <w:tc>
          <w:tcPr>
            <w:tcW w:type="dxa" w:w="900"/>
          </w:tcPr>
          <w:p>
            <w:r>
              <w:rPr>
                <w:sz w:val="18"/>
                <w:szCs w:val="18"/>
              </w:rPr>
              <w:t xml:space="preserve">2026-09-05</w:t>
            </w:r>
          </w:p>
        </w:tc>
        <w:tc>
          <w:tcPr>
            <w:tcW w:type="dxa" w:w="760"/>
          </w:tcPr>
          <w:p>
            <w:r>
              <w:rPr>
                <w:sz w:val="18"/>
                <w:szCs w:val="18"/>
              </w:rPr>
              <w:t xml:space="preserve">MEDIUM</w:t>
            </w:r>
          </w:p>
        </w:tc>
      </w:tr>
      <w:tr>
        <w:tc>
          <w:tcPr>
            <w:tcW w:type="dxa" w:w="500"/>
          </w:tcPr>
          <w:p>
            <w:r>
              <w:rPr>
                <w:sz w:val="18"/>
                <w:szCs w:val="18"/>
              </w:rPr>
              <w:t xml:space="preserve">S4</w:t>
            </w:r>
          </w:p>
        </w:tc>
        <w:tc>
          <w:tcPr>
            <w:tcW w:type="dxa" w:w="2200"/>
          </w:tcPr>
          <w:p>
            <w:r>
              <w:rPr>
                <w:sz w:val="18"/>
                <w:szCs w:val="18"/>
              </w:rPr>
              <w:t xml:space="preserve">Pierce time, thin-gauge carbon steel</w:t>
            </w:r>
          </w:p>
        </w:tc>
        <w:tc>
          <w:tcPr>
            <w:tcW w:type="dxa" w:w="2100"/>
          </w:tcPr>
          <w:p>
            <w:r>
              <w:rPr>
                <w:sz w:val="18"/>
                <w:szCs w:val="18"/>
              </w:rPr>
              <w:t xml:space="preserve">0.3–3 sec, depending on thickness and power (case uses 0.3 sec, the low end)</w:t>
            </w:r>
          </w:p>
        </w:tc>
        <w:tc>
          <w:tcPr>
            <w:tcW w:type="dxa" w:w="2900"/>
          </w:tcPr>
          <w:p>
            <w:r>
              <w:rPr>
                <w:sz w:val="18"/>
                <w:szCs w:val="18"/>
              </w:rPr>
              <w:t xml:space="preserve">Kasu Laser, “How Long Does Laser Cutting Take? Speed &amp; Lead Times” (kasulaser.com)</w:t>
            </w:r>
          </w:p>
        </w:tc>
        <w:tc>
          <w:tcPr>
            <w:tcW w:type="dxa" w:w="900"/>
          </w:tcPr>
          <w:p>
            <w:r>
              <w:rPr>
                <w:sz w:val="18"/>
                <w:szCs w:val="18"/>
              </w:rPr>
              <w:t xml:space="preserve">2026-09-05</w:t>
            </w:r>
          </w:p>
        </w:tc>
        <w:tc>
          <w:tcPr>
            <w:tcW w:type="dxa" w:w="760"/>
          </w:tcPr>
          <w:p>
            <w:r>
              <w:rPr>
                <w:sz w:val="18"/>
                <w:szCs w:val="18"/>
              </w:rPr>
              <w:t xml:space="preserve">MEDIUM</w:t>
            </w:r>
          </w:p>
        </w:tc>
      </w:tr>
      <w:tr>
        <w:tc>
          <w:tcPr>
            <w:tcW w:type="dxa" w:w="500"/>
          </w:tcPr>
          <w:p>
            <w:r>
              <w:rPr>
                <w:sz w:val="18"/>
                <w:szCs w:val="18"/>
              </w:rPr>
              <w:t xml:space="preserve">S5</w:t>
            </w:r>
          </w:p>
        </w:tc>
        <w:tc>
          <w:tcPr>
            <w:tcW w:type="dxa" w:w="2200"/>
          </w:tcPr>
          <w:p>
            <w:r>
              <w:rPr>
                <w:sz w:val="18"/>
                <w:szCs w:val="18"/>
              </w:rPr>
              <w:t xml:space="preserve">Median wage, metal and plastic machine workers, United States</w:t>
            </w:r>
          </w:p>
        </w:tc>
        <w:tc>
          <w:tcPr>
            <w:tcW w:type="dxa" w:w="2100"/>
          </w:tcPr>
          <w:p>
            <w:r>
              <w:rPr>
                <w:sz w:val="18"/>
                <w:szCs w:val="18"/>
              </w:rPr>
              <w:t xml:space="preserve">$22.94/hr (median annual $47,700), May 2025</w:t>
            </w:r>
          </w:p>
        </w:tc>
        <w:tc>
          <w:tcPr>
            <w:tcW w:type="dxa" w:w="2900"/>
          </w:tcPr>
          <w:p>
            <w:r>
              <w:rPr>
                <w:sz w:val="18"/>
                <w:szCs w:val="18"/>
              </w:rPr>
              <w:t xml:space="preserve">U.S. Bureau of Labor Statistics, Occupational Outlook Handbook (bls.gov)</w:t>
            </w:r>
          </w:p>
        </w:tc>
        <w:tc>
          <w:tcPr>
            <w:tcW w:type="dxa" w:w="900"/>
          </w:tcPr>
          <w:p>
            <w:r>
              <w:rPr>
                <w:sz w:val="18"/>
                <w:szCs w:val="18"/>
              </w:rPr>
              <w:t xml:space="preserve">2026-09-05</w:t>
            </w:r>
          </w:p>
        </w:tc>
        <w:tc>
          <w:tcPr>
            <w:tcW w:type="dxa" w:w="760"/>
          </w:tcPr>
          <w:p>
            <w:r>
              <w:rPr>
                <w:sz w:val="18"/>
                <w:szCs w:val="18"/>
              </w:rPr>
              <w:t xml:space="preserve">HIGH</w:t>
            </w:r>
          </w:p>
        </w:tc>
      </w:tr>
      <w:tr>
        <w:tc>
          <w:tcPr>
            <w:tcW w:type="dxa" w:w="500"/>
          </w:tcPr>
          <w:p>
            <w:r>
              <w:rPr>
                <w:sz w:val="18"/>
                <w:szCs w:val="18"/>
              </w:rPr>
              <w:t xml:space="preserve">S6</w:t>
            </w:r>
          </w:p>
        </w:tc>
        <w:tc>
          <w:tcPr>
            <w:tcW w:type="dxa" w:w="2200"/>
          </w:tcPr>
          <w:p>
            <w:r>
              <w:rPr>
                <w:sz w:val="18"/>
                <w:szCs w:val="18"/>
              </w:rPr>
              <w:t xml:space="preserve">Fiber-laser operating cost, oxygen cutting, carbon steel, 6 kW machine</w:t>
            </w:r>
          </w:p>
        </w:tc>
        <w:tc>
          <w:tcPr>
            <w:tcW w:type="dxa" w:w="2100"/>
          </w:tcPr>
          <w:p>
            <w:r>
              <w:rPr>
                <w:sz w:val="18"/>
                <w:szCs w:val="18"/>
              </w:rPr>
              <w:t xml:space="preserve">$7.00/hr (excludes labor and depreciation)</w:t>
            </w:r>
          </w:p>
        </w:tc>
        <w:tc>
          <w:tcPr>
            <w:tcW w:type="dxa" w:w="2900"/>
          </w:tcPr>
          <w:p>
            <w:r>
              <w:rPr>
                <w:sz w:val="18"/>
                <w:szCs w:val="18"/>
              </w:rPr>
              <w:t xml:space="preserve">Arcus CNC, “Laser Cutter Cost Breakdown” (arcuscnc.com)</w:t>
            </w:r>
          </w:p>
        </w:tc>
        <w:tc>
          <w:tcPr>
            <w:tcW w:type="dxa" w:w="900"/>
          </w:tcPr>
          <w:p>
            <w:r>
              <w:rPr>
                <w:sz w:val="18"/>
                <w:szCs w:val="18"/>
              </w:rPr>
              <w:t xml:space="preserve">2026-09-05</w:t>
            </w:r>
          </w:p>
        </w:tc>
        <w:tc>
          <w:tcPr>
            <w:tcW w:type="dxa" w:w="760"/>
          </w:tcPr>
          <w:p>
            <w:r>
              <w:rPr>
                <w:sz w:val="18"/>
                <w:szCs w:val="18"/>
              </w:rPr>
              <w:t xml:space="preserve">MEDIUM</w:t>
            </w:r>
          </w:p>
        </w:tc>
      </w:tr>
      <w:tr>
        <w:tc>
          <w:tcPr>
            <w:tcW w:type="dxa" w:w="500"/>
          </w:tcPr>
          <w:p>
            <w:r>
              <w:rPr>
                <w:sz w:val="18"/>
                <w:szCs w:val="18"/>
              </w:rPr>
              <w:t xml:space="preserve">S7</w:t>
            </w:r>
          </w:p>
        </w:tc>
        <w:tc>
          <w:tcPr>
            <w:tcW w:type="dxa" w:w="2200"/>
          </w:tcPr>
          <w:p>
            <w:r>
              <w:rPr>
                <w:sz w:val="18"/>
                <w:szCs w:val="18"/>
              </w:rPr>
              <w:t xml:space="preserve">Real-world material-yield improvement from mirrored/advanced nesting vs. basic nesting</w:t>
            </w:r>
          </w:p>
        </w:tc>
        <w:tc>
          <w:tcPr>
            <w:tcW w:type="dxa" w:w="2100"/>
          </w:tcPr>
          <w:p>
            <w:r>
              <w:rPr>
                <w:sz w:val="18"/>
                <w:szCs w:val="18"/>
              </w:rPr>
              <w:t xml:space="preserve">10–15% (case uses 12%)</w:t>
            </w:r>
          </w:p>
        </w:tc>
        <w:tc>
          <w:tcPr>
            <w:tcW w:type="dxa" w:w="2900"/>
          </w:tcPr>
          <w:p>
            <w:r>
              <w:rPr>
                <w:sz w:val="18"/>
                <w:szCs w:val="18"/>
              </w:rPr>
              <w:t xml:space="preserve">SLTL Group, “Nesting Software and Material Optimization” (sltl.com)</w:t>
            </w:r>
          </w:p>
        </w:tc>
        <w:tc>
          <w:tcPr>
            <w:tcW w:type="dxa" w:w="900"/>
          </w:tcPr>
          <w:p>
            <w:r>
              <w:rPr>
                <w:sz w:val="18"/>
                <w:szCs w:val="18"/>
              </w:rPr>
              <w:t xml:space="preserve">2026-09-05</w:t>
            </w:r>
          </w:p>
        </w:tc>
        <w:tc>
          <w:tcPr>
            <w:tcW w:type="dxa" w:w="760"/>
          </w:tcPr>
          <w:p>
            <w:r>
              <w:rPr>
                <w:sz w:val="18"/>
                <w:szCs w:val="18"/>
              </w:rPr>
              <w:t xml:space="preserve">MEDIUM</w:t>
            </w:r>
          </w:p>
        </w:tc>
      </w:tr>
      <w:tr>
        <w:tc>
          <w:tcPr>
            <w:tcW w:type="dxa" w:w="500"/>
          </w:tcPr>
          <w:p>
            <w:r>
              <w:rPr>
                <w:sz w:val="18"/>
                <w:szCs w:val="18"/>
              </w:rPr>
              <w:t xml:space="preserve">S8</w:t>
            </w:r>
          </w:p>
        </w:tc>
        <w:tc>
          <w:tcPr>
            <w:tcW w:type="dxa" w:w="2200"/>
          </w:tcPr>
          <w:p>
            <w:r>
              <w:rPr>
                <w:sz w:val="18"/>
                <w:szCs w:val="18"/>
              </w:rPr>
              <w:t xml:space="preserve">Heat-affected-zone buildup and distortion risk between closely nested parts; cut-sequencing/cooling mitigation</w:t>
            </w:r>
          </w:p>
        </w:tc>
        <w:tc>
          <w:tcPr>
            <w:tcW w:type="dxa" w:w="2100"/>
          </w:tcPr>
          <w:p>
            <w:r>
              <w:rPr>
                <w:sz w:val="18"/>
                <w:szCs w:val="18"/>
              </w:rPr>
              <w:t xml:space="preserve">Qualitative — see case narrative</w:t>
            </w:r>
          </w:p>
        </w:tc>
        <w:tc>
          <w:tcPr>
            <w:tcW w:type="dxa" w:w="2900"/>
          </w:tcPr>
          <w:p>
            <w:r>
              <w:rPr>
                <w:sz w:val="18"/>
                <w:szCs w:val="18"/>
              </w:rPr>
              <w:t xml:space="preserve">Reger Laser (regerlaser.com); corroborated by Hightech Industry Group (htindustryco.com)</w:t>
            </w:r>
          </w:p>
        </w:tc>
        <w:tc>
          <w:tcPr>
            <w:tcW w:type="dxa" w:w="900"/>
          </w:tcPr>
          <w:p>
            <w:r>
              <w:rPr>
                <w:sz w:val="18"/>
                <w:szCs w:val="18"/>
              </w:rPr>
              <w:t xml:space="preserve">2026-09-05</w:t>
            </w:r>
          </w:p>
        </w:tc>
        <w:tc>
          <w:tcPr>
            <w:tcW w:type="dxa" w:w="760"/>
          </w:tcPr>
          <w:p>
            <w:r>
              <w:rPr>
                <w:sz w:val="18"/>
                <w:szCs w:val="18"/>
              </w:rPr>
              <w:t xml:space="preserve">MEDIUM</w:t>
            </w:r>
          </w:p>
        </w:tc>
      </w:tr>
    </w:tbl>
    <w:p>
      <w:pPr>
        <w:pStyle w:val="Heading1"/>
        <w:spacing w:after="160" w:before="200"/>
      </w:pPr>
      <w:r>
        <w:t xml:space="preserve">Appendix G — Learn More</w:t>
      </w:r>
    </w:p>
    <w:p>
      <w:pPr>
        <w:spacing w:after="160" w:before="0"/>
      </w:pPr>
      <w:r>
        <w:t xml:space="preserve">Curious about the real-world math and industry behind this case? These resources go beyond what the challenges require.</w:t>
      </w:r>
    </w:p>
    <w:p>
      <w:pPr>
        <w:pStyle w:val="ListParagraph"/>
        <w:numPr>
          <w:ilvl w:val="0"/>
          <w:numId w:val="1"/>
        </w:numPr>
        <w:spacing w:after="120"/>
      </w:pPr>
      <w:hyperlink w:history="1" r:id="rIdfr3yaclxputwa9aa6fcwy">
        <w:r>
          <w:rPr>
            <w:rStyle w:val="Hyperlink"/>
            <w:color w:val="1A3A5C"/>
            <w:u w:val="single"/>
          </w:rPr>
          <w:t xml:space="preserve">Nesting (manufacturing) — Wikipedia</w:t>
        </w:r>
      </w:hyperlink>
      <w:r>
        <w:t xml:space="preserve"> — background on nesting algorithms and why manufacturers optimize part layout on stock material.</w:t>
      </w:r>
    </w:p>
    <w:p>
      <w:pPr>
        <w:pStyle w:val="ListParagraph"/>
        <w:numPr>
          <w:ilvl w:val="0"/>
          <w:numId w:val="1"/>
        </w:numPr>
        <w:spacing w:after="120"/>
      </w:pPr>
      <w:hyperlink w:history="1" r:id="rId8kyzfx29jqv2kdovtc9at">
        <w:r>
          <w:rPr>
            <w:rStyle w:val="Hyperlink"/>
            <w:color w:val="1A3A5C"/>
            <w:u w:val="single"/>
          </w:rPr>
          <w:t xml:space="preserve">SigmaNEST — nesting software</w:t>
        </w:r>
      </w:hyperlink>
      <w:r>
        <w:t xml:space="preserve"> — a real, widely used commercial nesting package referenced throughout the sheet-metal fabrication industry.</w:t>
      </w:r>
    </w:p>
    <w:p>
      <w:pPr>
        <w:pStyle w:val="ListParagraph"/>
        <w:numPr>
          <w:ilvl w:val="0"/>
          <w:numId w:val="1"/>
        </w:numPr>
        <w:spacing w:after="120"/>
      </w:pPr>
      <w:hyperlink w:history="1" r:id="rIdu8otil3bccdn4a2nlrwba">
        <w:r>
          <w:rPr>
            <w:rStyle w:val="Hyperlink"/>
            <w:color w:val="1A3A5C"/>
            <w:u w:val="single"/>
          </w:rPr>
          <w:t xml:space="preserve">Laser cutting — Wikipedia</w:t>
        </w:r>
      </w:hyperlink>
      <w:r>
        <w:t xml:space="preserve"> — background on how a fiber laser cuts sheet metal, including piercing and kerf.</w:t>
      </w:r>
    </w:p>
    <w:p>
      <w:pPr>
        <w:pStyle w:val="ListParagraph"/>
        <w:numPr>
          <w:ilvl w:val="0"/>
          <w:numId w:val="1"/>
        </w:numPr>
        <w:spacing w:after="120"/>
      </w:pPr>
      <w:hyperlink w:history="1" r:id="rIdnxtpgye5uusuy6h1kgqgq">
        <w:r>
          <w:rPr>
            <w:rStyle w:val="Hyperlink"/>
            <w:color w:val="1A3A5C"/>
            <w:u w:val="single"/>
          </w:rPr>
          <w:t xml:space="preserve">Board foot / sheet-good pricing conventions</w:t>
        </w:r>
      </w:hyperlink>
      <w:r>
        <w:t xml:space="preserve"> — a related unit-pricing convention from a different material trade (lumber).</w:t>
      </w:r>
    </w:p>
    <w:p>
      <w:pPr>
        <w:pStyle w:val="ListParagraph"/>
        <w:numPr>
          <w:ilvl w:val="0"/>
          <w:numId w:val="1"/>
        </w:numPr>
        <w:spacing w:after="120"/>
      </w:pPr>
      <w:hyperlink w:history="1" r:id="rIdiot1dr8jcpuvlwabs8zuo">
        <w:r>
          <w:rPr>
            <w:rStyle w:val="Hyperlink"/>
            <w:color w:val="1A3A5C"/>
            <w:u w:val="single"/>
          </w:rPr>
          <w:t xml:space="preserve">Heat-affected zone — Wikipedia</w:t>
        </w:r>
      </w:hyperlink>
      <w:r>
        <w:t xml:space="preserve"> — the metallurgical effect behind Appendix E's MA1–MA3 heat-management assumptions.</w:t>
      </w:r>
    </w:p>
    <w:p>
      <w:pPr>
        <w:pStyle w:val="ListParagraph"/>
        <w:numPr>
          <w:ilvl w:val="0"/>
          <w:numId w:val="1"/>
        </w:numPr>
        <w:spacing w:after="120"/>
      </w:pPr>
      <w:hyperlink w:history="1" r:id="rIdmqfvkhk6j4ordzl5ks21d">
        <w:r>
          <w:rPr>
            <w:rStyle w:val="Hyperlink"/>
            <w:color w:val="1A3A5C"/>
            <w:u w:val="single"/>
          </w:rPr>
          <w:t xml:space="preserve">Rotation (mathematics) — Wikipedia</w:t>
        </w:r>
      </w:hyperlink>
      <w:r>
        <w:t xml:space="preserve"> — background on rotating coordinates about a fixed point, used in D3 and D4.</w:t>
      </w:r>
    </w:p>
    <w:p>
      <w:pPr>
        <w:pStyle w:val="Heading1"/>
        <w:spacing w:after="160" w:before="200"/>
      </w:pPr>
      <w:r>
        <w:t xml:space="preserve">Appendix H — “How To…” Math Questions To Research</w:t>
      </w:r>
    </w:p>
    <w:p>
      <w:pPr>
        <w:spacing w:after="80" w:before="0"/>
      </w:pPr>
      <w:r>
        <w:rPr>
          <w:b/>
          <w:bCs/>
        </w:rPr>
        <w:t xml:space="preserve">Vocabulary terms</w:t>
      </w:r>
    </w:p>
    <w:p>
      <w:pPr>
        <w:pStyle w:val="ListParagraph"/>
        <w:numPr>
          <w:ilvl w:val="0"/>
          <w:numId w:val="1"/>
        </w:numPr>
        <w:spacing w:after="60"/>
      </w:pPr>
      <w:r>
        <w:t xml:space="preserve">Translation</w:t>
      </w:r>
    </w:p>
    <w:p>
      <w:pPr>
        <w:pStyle w:val="ListParagraph"/>
        <w:numPr>
          <w:ilvl w:val="0"/>
          <w:numId w:val="1"/>
        </w:numPr>
        <w:spacing w:after="60"/>
      </w:pPr>
      <w:r>
        <w:t xml:space="preserve">Reflection</w:t>
      </w:r>
    </w:p>
    <w:p>
      <w:pPr>
        <w:pStyle w:val="ListParagraph"/>
        <w:numPr>
          <w:ilvl w:val="0"/>
          <w:numId w:val="1"/>
        </w:numPr>
        <w:spacing w:after="60"/>
      </w:pPr>
      <w:r>
        <w:t xml:space="preserve">Rotation</w:t>
      </w:r>
    </w:p>
    <w:p>
      <w:pPr>
        <w:pStyle w:val="ListParagraph"/>
        <w:numPr>
          <w:ilvl w:val="0"/>
          <w:numId w:val="1"/>
        </w:numPr>
        <w:spacing w:after="60"/>
      </w:pPr>
      <w:r>
        <w:t xml:space="preserve">Symmetry</w:t>
      </w:r>
    </w:p>
    <w:p>
      <w:pPr>
        <w:pStyle w:val="ListParagraph"/>
        <w:numPr>
          <w:ilvl w:val="0"/>
          <w:numId w:val="1"/>
        </w:numPr>
        <w:spacing w:after="60"/>
      </w:pPr>
      <w:r>
        <w:t xml:space="preserve">Line Of Symmetry</w:t>
      </w:r>
    </w:p>
    <w:p>
      <w:pPr>
        <w:pStyle w:val="ListParagraph"/>
        <w:numPr>
          <w:ilvl w:val="0"/>
          <w:numId w:val="1"/>
        </w:numPr>
        <w:spacing w:after="60"/>
      </w:pPr>
      <w:r>
        <w:t xml:space="preserve">Dilation</w:t>
      </w:r>
    </w:p>
    <w:p>
      <w:pPr>
        <w:pStyle w:val="ListParagraph"/>
        <w:numPr>
          <w:ilvl w:val="0"/>
          <w:numId w:val="1"/>
        </w:numPr>
        <w:spacing w:after="60"/>
      </w:pPr>
      <w:r>
        <w:t xml:space="preserve">Scale Factor</w:t>
      </w:r>
    </w:p>
    <w:p>
      <w:pPr>
        <w:spacing w:after="80" w:before="200"/>
      </w:pPr>
      <w:r>
        <w:rPr>
          <w:b/>
          <w:bCs/>
        </w:rPr>
        <w:t xml:space="preserve">"How to…" questions</w:t>
      </w:r>
    </w:p>
    <w:p>
      <w:pPr>
        <w:pStyle w:val="ListParagraph"/>
        <w:numPr>
          <w:ilvl w:val="0"/>
          <w:numId w:val="1"/>
        </w:numPr>
        <w:spacing w:after="60"/>
      </w:pPr>
      <w:r>
        <w:t xml:space="preserve">How to translate a figure on the coordinate plane</w:t>
      </w:r>
    </w:p>
    <w:p>
      <w:pPr>
        <w:pStyle w:val="ListParagraph"/>
        <w:numPr>
          <w:ilvl w:val="0"/>
          <w:numId w:val="1"/>
        </w:numPr>
        <w:spacing w:after="60"/>
      </w:pPr>
      <w:r>
        <w:t xml:space="preserve">How to reflect a figure across the X-Axis</w:t>
      </w:r>
    </w:p>
    <w:p>
      <w:pPr>
        <w:pStyle w:val="ListParagraph"/>
        <w:numPr>
          <w:ilvl w:val="0"/>
          <w:numId w:val="1"/>
        </w:numPr>
        <w:spacing w:after="60"/>
      </w:pPr>
      <w:r>
        <w:t xml:space="preserve">How to rotate a figure on the coordinate plane 90 degrees counterclockwise</w:t>
      </w:r>
    </w:p>
    <w:p>
      <w:pPr>
        <w:pStyle w:val="ListParagraph"/>
        <w:numPr>
          <w:ilvl w:val="0"/>
          <w:numId w:val="1"/>
        </w:numPr>
        <w:spacing w:after="60"/>
      </w:pPr>
      <w:r>
        <w:t xml:space="preserve">How to rotate a figure on the coordinate plane 180 degrees</w:t>
      </w:r>
    </w:p>
    <w:p>
      <w:pPr>
        <w:pStyle w:val="ListParagraph"/>
        <w:numPr>
          <w:ilvl w:val="0"/>
          <w:numId w:val="1"/>
        </w:numPr>
        <w:spacing w:after="60"/>
      </w:pPr>
      <w:r>
        <w:t xml:space="preserve">How to dilate a figure on the coordinate plane given a scale factor</w:t>
      </w:r>
    </w:p>
    <w:p>
      <w:pPr>
        <w:pStyle w:val="ListParagraph"/>
        <w:numPr>
          <w:ilvl w:val="0"/>
          <w:numId w:val="1"/>
        </w:numPr>
        <w:spacing w:after="60"/>
      </w:pPr>
      <w:r>
        <w:t xml:space="preserve">How to find the scale factor of a dilation</w:t>
      </w:r>
    </w:p>
    <w:p>
      <w:pPr>
        <w:pStyle w:val="ListParagraph"/>
        <w:numPr>
          <w:ilvl w:val="0"/>
          <w:numId w:val="1"/>
        </w:numPr>
        <w:spacing w:after="60"/>
      </w:pPr>
      <w:r>
        <w:t xml:space="preserve">How to multiply decimal numbers</w:t>
      </w:r>
    </w:p>
    <w:p>
      <w:pPr>
        <w:pStyle w:val="ListParagraph"/>
        <w:numPr>
          <w:ilvl w:val="0"/>
          <w:numId w:val="1"/>
        </w:numPr>
        <w:spacing w:after="60"/>
      </w:pPr>
      <w:r>
        <w:t xml:space="preserve">How to divide decimal numbers</w:t>
      </w:r>
    </w:p>
    <w:p>
      <w:pPr>
        <w:pStyle w:val="ListParagraph"/>
        <w:numPr>
          <w:ilvl w:val="0"/>
          <w:numId w:val="1"/>
        </w:numPr>
        <w:spacing w:after="60"/>
      </w:pPr>
      <w:r>
        <w:t xml:space="preserve">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r3yaclxputwa9aa6fcwy" Type="http://schemas.openxmlformats.org/officeDocument/2006/relationships/hyperlink" Target="https://en.wikipedia.org/wiki/Nesting_(process)" TargetMode="External"/><Relationship Id="rId8kyzfx29jqv2kdovtc9at" Type="http://schemas.openxmlformats.org/officeDocument/2006/relationships/hyperlink" Target="https://www.sigmanest.com/en/sigmanest" TargetMode="External"/><Relationship Id="rIdu8otil3bccdn4a2nlrwba" Type="http://schemas.openxmlformats.org/officeDocument/2006/relationships/hyperlink" Target="https://en.wikipedia.org/wiki/Laser_cutting" TargetMode="External"/><Relationship Id="rIdnxtpgye5uusuy6h1kgqgq" Type="http://schemas.openxmlformats.org/officeDocument/2006/relationships/hyperlink" Target="https://en.wikipedia.org/wiki/Board_foot" TargetMode="External"/><Relationship Id="rIdiot1dr8jcpuvlwabs8zuo" Type="http://schemas.openxmlformats.org/officeDocument/2006/relationships/hyperlink" Target="https://en.wikipedia.org/wiki/Heat-affected_zone" TargetMode="External"/><Relationship Id="rIdmqfvkhk6j4ordzl5ks21d" Type="http://schemas.openxmlformats.org/officeDocument/2006/relationships/hyperlink" Target="https://en.wikipedia.org/wiki/Rotation_(mathematic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2026-09-06T12:12:29.887Z</dcterms:created>
  <dcterms:modified xsi:type="dcterms:W3CDTF">2026-09-06T12:12:29.892Z</dcterms:modified>
</cp:coreProperties>
</file>

<file path=docProps/custom.xml><?xml version="1.0" encoding="utf-8"?>
<Properties xmlns="http://schemas.openxmlformats.org/officeDocument/2006/custom-properties" xmlns:vt="http://schemas.openxmlformats.org/officeDocument/2006/docPropsVTypes"/>
</file>