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rPr>
          <w:b/>
          <w:bCs/>
          <w:color w:val="1A3A5C"/>
          <w:sz w:val="40"/>
          <w:szCs w:val="40"/>
        </w:rPr>
        <w:t xml:space="preserve">Facilitator Guide: The Mirror Cut</w:t>
      </w:r>
    </w:p>
    <w:p>
      <w:pPr>
        <w:spacing w:after="300" w:before="0"/>
      </w:pPr>
      <w:r>
        <w:rPr>
          <w:i/>
          <w:iCs/>
          <w:color w:val="5B6472"/>
          <w:sz w:val="20"/>
          <w:szCs w:val="20"/>
        </w:rPr>
        <w:t xml:space="preserve">MS | Math | Case Study | 2026-27 | Heroes Academy — FACILITATOR ONLY, contains the trap and both balance arguments</w:t>
      </w:r>
    </w:p>
    <w:p>
      <w:pPr>
        <w:pStyle w:val="Heading1"/>
        <w:spacing w:after="160" w:before="100"/>
      </w:pPr>
      <w:r>
        <w:t xml:space="preserve">Sensitivity Note</w:t>
      </w:r>
    </w:p>
    <w:p>
      <w:pPr>
        <w:pBdr>
          <w:top w:val="single" w:color="C9A227" w:sz="6" w:space="8"/>
          <w:bottom w:val="single" w:color="C9A227" w:sz="6" w:space="8"/>
          <w:left w:val="single" w:color="C9A227" w:sz="18" w:space="8"/>
          <w:right w:val="single" w:color="C9A227" w:sz="6" w:space="8"/>
        </w:pBdr>
        <w:spacing w:after="200" w:before="100"/>
      </w:pPr>
      <w:r>
        <w:rPr>
          <w:i/>
          <w:iCs/>
        </w:rPr>
        <w:t xml:space="preserve">The graded primary metric (net cost per finished bracket) already includes machine-time cost (MA1/MA2), and remains stable under a ±50% flex of either assumption — The Mirror Cut wins by roughly 9–10% across the flex range. MA3's reject-rate assumption is not part of the graded metric at all; it is revealed only by the Twist, where it narrows (but per the base case's flex range, does not reverse) The Mirror Cut's advantage.</w:t>
      </w:r>
    </w:p>
    <w:p>
      <w:pPr>
        <w:pStyle w:val="Heading1"/>
        <w:spacing w:after="160" w:before="200"/>
      </w:pPr>
      <w:r>
        <w:t xml:space="preserve">The Margin</w:t>
      </w:r>
    </w:p>
    <w:p>
      <w:pPr>
        <w:spacing w:after="160" w:before="0"/>
      </w:pPr>
      <w:r>
        <w:t xml:space="preserve">Net cost per finished bracket (material cost + machine-time cost), computed in cases/the-mirror-cut/sensitivity_model.py, evaluate(PARAMS). The Mirror Cut wins by 9.99%: $1.33224/bracket vs. The Straight Run's $1.48019/bracket. After the Twist's reject-rate adjustment (evaluate_twist), the margin narrows to 7.18% but does not flip.</w:t>
      </w:r>
    </w:p>
    <w:p>
      <w:pPr>
        <w:pStyle w:val="Heading1"/>
        <w:spacing w:after="160" w:before="200"/>
      </w:pPr>
      <w:r>
        <w:t xml:space="preserve">The Two Arguments</w:t>
      </w:r>
    </w:p>
    <w:p>
      <w:pPr>
        <w:spacing w:after="80" w:before="0"/>
      </w:pPr>
      <w:r>
        <w:rPr>
          <w:b/>
          <w:bCs/>
        </w:rPr>
        <w:t xml:space="preserve">Argument A — The Mirror Cut</w:t>
      </w:r>
    </w:p>
    <w:p>
      <w:pPr>
        <w:spacing w:after="160" w:before="0"/>
      </w:pPr>
      <w:r>
        <w:t xml:space="preserve">The Mirror Cut yields 219 brackets per sheet (12% better than The Straight Run's 196, per the sourced real-world mirrored-nesting yield improvement) at a material cost of $1.31454/bracket — 10.5% cheaper on material alone than The Straight Run's $1.4688/bracket. Even after Appendix E's MA1/MA2 add real machine-time cost for the slower, more-pierced mirrored toolpath ($0.01770/bracket vs. $0.01139/bracket), The Mirror Cut still wins on the graded net-cost-per-bracket metric, $1.33224 vs. $1.48019 — a 9.99% win, not the full 10.5% material-only win, showing the machine-time cost is real but does not erase the material advantage.</w:t>
      </w:r>
    </w:p>
    <w:p>
      <w:pPr>
        <w:spacing w:after="80" w:before="0"/>
      </w:pPr>
      <w:r>
        <w:rPr>
          <w:b/>
          <w:bCs/>
        </w:rPr>
        <w:t xml:space="preserve">Argument B — The Straight Run</w:t>
      </w:r>
    </w:p>
    <w:p>
      <w:pPr>
        <w:spacing w:after="160" w:before="0"/>
      </w:pPr>
      <w:r>
        <w:t xml:space="preserve">The Straight Run needs zero of Appendix E's stated assumptions to defend its number — every bracket gets one pierce and the sourced full cutting speed, with no estimate standing between the appendix data and the $1.48019/bracket figure. The Mirror Cut's better number depends on three separate stated assumptions (MA1 pierce count, MA2 speed penalty, and MA3's reject rate revealed by the twist) all pointing the same direction; if a shop's real mirrored toolpath runs closer to Appendix E's more severe flex values, or if the customer's inspection tolerance is stricter than assumed, The Straight Run's plain, assumption-free number is the safer one to build a fixed three-year quote on.</w:t>
      </w:r>
    </w:p>
    <w:p>
      <w:pPr>
        <w:pStyle w:val="Heading1"/>
        <w:spacing w:after="160" w:before="200"/>
      </w:pPr>
      <w:r>
        <w:t xml:space="preserve">The Trap</w:t>
      </w:r>
    </w:p>
    <w:p>
      <w:pPr>
        <w:spacing w:after="160" w:before="0"/>
      </w:pPr>
      <w:r>
        <w:t xml:space="preserve">Most Heroes will look at the sourced 10–15% material-yield figure and assume the net-cost-per-bracket margin must be roughly that large too — treating a real, sourced material statistic as if it were already the answer to the graded question. Watch for a pitch that quotes “The Mirror Cut saves about 12% on the contract” without ever actually running D6's full takeoff — it has not distinguished material savings from net-cost savings, and the real number (9.99%, then 7.18% after the twist) is smaller both times.</w:t>
      </w:r>
    </w:p>
    <w:p>
      <w:pPr>
        <w:pStyle w:val="Heading1"/>
        <w:spacing w:after="160" w:before="20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3A5C" w:color="auto" w:val="clear"/>
          </w:tcPr>
          <w:p>
            <w:r>
              <w:rPr>
                <w:b/>
                <w:bCs/>
                <w:color w:val="FFFFFF"/>
                <w:sz w:val="18"/>
                <w:szCs w:val="18"/>
              </w:rPr>
              <w:t xml:space="preserve">Time</w:t>
            </w:r>
          </w:p>
        </w:tc>
        <w:tc>
          <w:tcPr>
            <w:tcW w:type="dxa" w:w="7160"/>
            <w:shd w:fill="1A3A5C" w:color="auto" w:val="clear"/>
          </w:tcPr>
          <w:p>
            <w:r>
              <w:rPr>
                <w:b/>
                <w:bCs/>
                <w:color w:val="FFFFFF"/>
                <w:sz w:val="18"/>
                <w:szCs w:val="18"/>
              </w:rPr>
              <w:t xml:space="preserve">Move</w:t>
            </w:r>
          </w:p>
        </w:tc>
      </w:tr>
      <w:tr>
        <w:tc>
          <w:tcPr>
            <w:tcW w:type="dxa" w:w="2200"/>
          </w:tcPr>
          <w:p>
            <w:r>
              <w:rPr>
                <w:sz w:val="18"/>
                <w:szCs w:val="18"/>
              </w:rPr>
              <w:t xml:space="preserve">0:00–3:00</w:t>
            </w:r>
          </w:p>
        </w:tc>
        <w:tc>
          <w:tcPr>
            <w:tcW w:type="dxa" w:w="7160"/>
          </w:tcPr>
          <w:p>
            <w:r>
              <w:rPr>
                <w:sz w:val="18"/>
                <w:szCs w:val="18"/>
              </w:rPr>
              <w:t xml:space="preserve">Launch — show both nesting files, cold-call for a gut read, no formulas yet</w:t>
            </w:r>
          </w:p>
        </w:tc>
      </w:tr>
      <w:tr>
        <w:tc>
          <w:tcPr>
            <w:tcW w:type="dxa" w:w="2200"/>
          </w:tcPr>
          <w:p>
            <w:r>
              <w:rPr>
                <w:sz w:val="18"/>
                <w:szCs w:val="18"/>
              </w:rPr>
              <w:t xml:space="preserve">3:00–10:00</w:t>
            </w:r>
          </w:p>
        </w:tc>
        <w:tc>
          <w:tcPr>
            <w:tcW w:type="dxa" w:w="7160"/>
          </w:tcPr>
          <w:p>
            <w:r>
              <w:rPr>
                <w:sz w:val="18"/>
                <w:szCs w:val="18"/>
              </w:rPr>
              <w:t xml:space="preserve">Position defense — “Convince us the graded number is the number that matters”</w:t>
            </w:r>
          </w:p>
        </w:tc>
      </w:tr>
      <w:tr>
        <w:tc>
          <w:tcPr>
            <w:tcW w:type="dxa" w:w="2200"/>
          </w:tcPr>
          <w:p>
            <w:r>
              <w:rPr>
                <w:sz w:val="18"/>
                <w:szCs w:val="18"/>
              </w:rPr>
              <w:t xml:space="preserve">10:00–15:00</w:t>
            </w:r>
          </w:p>
        </w:tc>
        <w:tc>
          <w:tcPr>
            <w:tcW w:type="dxa" w:w="7160"/>
          </w:tcPr>
          <w:p>
            <w:r>
              <w:rPr>
                <w:sz w:val="18"/>
                <w:szCs w:val="18"/>
              </w:rPr>
              <w:t xml:space="preserve">Pressure-test the models — “Whose nesting file is most fragile to a bad assumption?”</w:t>
            </w:r>
          </w:p>
        </w:tc>
      </w:tr>
      <w:tr>
        <w:tc>
          <w:tcPr>
            <w:tcW w:type="dxa" w:w="2200"/>
          </w:tcPr>
          <w:p>
            <w:r>
              <w:rPr>
                <w:sz w:val="18"/>
                <w:szCs w:val="18"/>
              </w:rPr>
              <w:t xml:space="preserve">15:00</w:t>
            </w:r>
          </w:p>
        </w:tc>
        <w:tc>
          <w:tcPr>
            <w:tcW w:type="dxa" w:w="7160"/>
          </w:tcPr>
          <w:p>
            <w:r>
              <w:rPr>
                <w:sz w:val="18"/>
                <w:szCs w:val="18"/>
              </w:rPr>
              <w:t xml:space="preserve">DROP THE TWIST — the inspection contract and reject clause, delivered slowly</w:t>
            </w:r>
          </w:p>
        </w:tc>
      </w:tr>
      <w:tr>
        <w:tc>
          <w:tcPr>
            <w:tcW w:type="dxa" w:w="2200"/>
          </w:tcPr>
          <w:p>
            <w:r>
              <w:rPr>
                <w:sz w:val="18"/>
                <w:szCs w:val="18"/>
              </w:rPr>
              <w:t xml:space="preserve">15:00–20:00</w:t>
            </w:r>
          </w:p>
        </w:tc>
        <w:tc>
          <w:tcPr>
            <w:tcW w:type="dxa" w:w="7160"/>
          </w:tcPr>
          <w:p>
            <w:r>
              <w:rPr>
                <w:sz w:val="18"/>
                <w:szCs w:val="18"/>
              </w:rPr>
              <w:t xml:space="preserve">Immediate recommit — who reverses, and why</w:t>
            </w:r>
          </w:p>
        </w:tc>
      </w:tr>
      <w:tr>
        <w:tc>
          <w:tcPr>
            <w:tcW w:type="dxa" w:w="2200"/>
          </w:tcPr>
          <w:p>
            <w:r>
              <w:rPr>
                <w:sz w:val="18"/>
                <w:szCs w:val="18"/>
              </w:rPr>
              <w:t xml:space="preserve">20:00–30:00</w:t>
            </w:r>
          </w:p>
        </w:tc>
        <w:tc>
          <w:tcPr>
            <w:tcW w:type="dxa" w:w="7160"/>
          </w:tcPr>
          <w:p>
            <w:r>
              <w:rPr>
                <w:sz w:val="18"/>
                <w:szCs w:val="18"/>
              </w:rPr>
              <w:t xml:space="preserve">Threaded deep conflict (yield% vs. net-cost%; three assumptions vs. zero; whose multiplier)</w:t>
            </w:r>
          </w:p>
        </w:tc>
      </w:tr>
      <w:tr>
        <w:tc>
          <w:tcPr>
            <w:tcW w:type="dxa" w:w="2200"/>
          </w:tcPr>
          <w:p>
            <w:r>
              <w:rPr>
                <w:sz w:val="18"/>
                <w:szCs w:val="18"/>
              </w:rPr>
              <w:t xml:space="preserve">30:00–45:00</w:t>
            </w:r>
          </w:p>
        </w:tc>
        <w:tc>
          <w:tcPr>
            <w:tcW w:type="dxa" w:w="7160"/>
          </w:tcPr>
          <w:p>
            <w:r>
              <w:rPr>
                <w:sz w:val="18"/>
                <w:szCs w:val="18"/>
              </w:rPr>
              <w:t xml:space="preserve">Close, re-vote, reflection, lessons learned</w:t>
            </w:r>
          </w:p>
        </w:tc>
      </w:tr>
    </w:tbl>
    <w:p>
      <w:pPr>
        <w:pStyle w:val="Heading1"/>
        <w:spacing w:after="160" w:before="200"/>
      </w:pPr>
      <w:r>
        <w:t xml:space="preserve">Run of Show</w:t>
      </w:r>
    </w:p>
    <w:p>
      <w:pPr>
        <w:spacing w:after="80" w:before="0"/>
      </w:pPr>
      <w:r>
        <w:rPr>
          <w:b/>
          <w:bCs/>
        </w:rPr>
        <w:t xml:space="preserve">Intro</w:t>
      </w:r>
    </w:p>
    <w:p>
      <w:pPr>
        <w:spacing w:after="160" w:before="0"/>
      </w:pPr>
      <w:r>
        <w:t xml:space="preserve">Frame the format before anything else: this is a real production-cost decision with a fixed quote deadline, not a worksheet. Name the opener — "You are the production lead with a bid due at 9 AM. Whichever file you send to the machine tonight is the number your shop lives with for years." Let the stakes land before moving to the Launch.</w:t>
      </w:r>
    </w:p>
    <w:p>
      <w:pPr>
        <w:spacing w:after="80" w:before="160"/>
      </w:pPr>
      <w:r>
        <w:rPr>
          <w:b/>
          <w:bCs/>
        </w:rPr>
        <w:t xml:space="preserve">Launch</w:t>
      </w:r>
    </w:p>
    <w:p>
      <w:pPr>
        <w:spacing w:after="160" w:before="0"/>
      </w:pPr>
      <w:r>
        <w:t xml:space="preserve">Show both nesting files side by side (the same pair described in the Overview) with no numbers labeled — just the layouts. Ask: "Which one do you think actually costs less per bracket, just from looking at it?" Do not confirm or correct answers here. Most rooms will guess the tighter, mirrored layout is the obvious win because it "clearly" uses less steel — that gut read is close to right on material, but it is worth recording out loud before anyone touches a calculator, because the room is about to learn that "uses less material" and "costs less per part" are not automatically the same statement.</w:t>
      </w:r>
    </w:p>
    <w:p>
      <w:pPr>
        <w:spacing w:after="80" w:before="160"/>
      </w:pPr>
      <w:r>
        <w:rPr>
          <w:b/>
          <w:bCs/>
        </w:rPr>
        <w:t xml:space="preserve">Anchor 1 — Take a stand and vote</w:t>
      </w:r>
    </w:p>
    <w:p>
      <w:pPr>
        <w:spacing w:after="160" w:before="0"/>
      </w:pPr>
      <w:r>
        <w:t xml:space="preserve">TAKE A STAND AND VOTE. No reasoning yet, just commit. "Is anyone courageous enough to stand with Sam on The Straight Run — the plain layout everyone assumes must lose?" Show of hands, both options, no discussion. Record the count — Close will ask them to vote again.</w:t>
      </w:r>
    </w:p>
    <w:p>
      <w:pPr>
        <w:spacing w:after="80" w:before="160"/>
      </w:pPr>
      <w:r>
        <w:rPr>
          <w:b/>
          <w:bCs/>
        </w:rPr>
        <w:t xml:space="preserve">Anchor 2 — What is the problem we're solving?</w:t>
      </w:r>
    </w:p>
    <w:p>
      <w:pPr>
        <w:spacing w:after="160" w:before="0"/>
      </w:pPr>
      <w:r>
        <w:t xml:space="preserve">"Is this the right question?" / "What do you mean by 'better'?" Let confusion grow here — this is deliberate. Heroes will want to jump straight to "which one uses less steel" or "which one looks more efficient," but the case only grades one specific number: net cost per finished bracket, material plus machine time combined. Push on it: "Sam's boss doesn't care which file looks more clever. Sam's boss cares what the shop can promise a customer for three years." If the room lands on "efficient nesting and cheap-per-bracket are related but not identical" on its own, the case is working as designed.</w:t>
      </w:r>
    </w:p>
    <w:p>
      <w:pPr>
        <w:spacing w:after="80" w:before="160"/>
      </w:pPr>
      <w:r>
        <w:rPr>
          <w:b/>
          <w:bCs/>
        </w:rPr>
        <w:t xml:space="preserve">Anchor 3 — What is the process?</w:t>
      </w:r>
    </w:p>
    <w:p>
      <w:pPr>
        <w:spacing w:after="160" w:before="0"/>
      </w:pPr>
      <w:r>
        <w:t xml:space="preserve">"If we go through this process and find the data, how will we decide?" Once the room separates "looks efficient" from "the graded number," ask them to name the actual steps before touching the appendices: correctly translate the bracket to build The Straight Run (D1), reflect and translate to build The Mirror Cut's interlocked pair and verify its symmetry (D2), confirm the 180° rotation gives the same result a second way (D3), check the block still fits the laser bed rotated (D4), find and use a dilation scale factor for the QC gauges (D5), and only then run the full nesting takeoff (D6). Re-ask: "Is our question still the right one, now that we can see the steps?"</w:t>
      </w:r>
    </w:p>
    <w:p>
      <w:pPr>
        <w:spacing w:after="80" w:before="160"/>
      </w:pPr>
      <w:r>
        <w:rPr>
          <w:b/>
          <w:bCs/>
        </w:rPr>
        <w:t xml:space="preserve">Anchor 4 — What don't we know?</w:t>
      </w:r>
    </w:p>
    <w:p>
      <w:pPr>
        <w:spacing w:after="160" w:before="0"/>
      </w:pPr>
      <w:r>
        <w:t xml:space="preserve">"Do we need to make assumptions? Which ones are critical?" Surface the real gap honestly: Appendix E's three Modeling Assumptions (MA1 the pierce-count multiplier, MA2 the cutting-speed penalty, MA3 the reject rates) are stated, not sourced — no public per-shop study exists for any of them at this exact part and nest. Ask which ones change the graded number if they move. The honest answer: MA1 and MA2 do enter the graded net-cost-per-bracket metric (they set the machine-time side of it), but flexing either one ±50% does not flip the winner — material cost dominates the total too heavily. MA3 doesn't touch the graded metric at all; it only matters once the Twist lands. Let a sharp Hero find this themselves before confirming it — it is a genuine, useful finding, not a gotcha.</w:t>
      </w:r>
    </w:p>
    <w:p>
      <w:pPr>
        <w:spacing w:after="80" w:before="160"/>
      </w:pPr>
      <w:r>
        <w:rPr>
          <w:b/>
          <w:bCs/>
        </w:rPr>
        <w:t xml:space="preserve">Data Deep Dive</w:t>
      </w:r>
    </w:p>
    <w:p>
      <w:pPr>
        <w:spacing w:after="160" w:before="0"/>
      </w:pPr>
      <w:r>
        <w:t xml:space="preserve">Now, and only now, the numbers. Walk D1's translated coordinates, D2's reflection and symmetry check, D3's rotation cross-check, D4's bounding-box rotation, D5's scale-factor/dilation pair, and D6's takeoff together as a room, cold-calling for D2 and D3 specifically — these are where a Hero who never actually reflected the coordinates (just eyeballed "it flips") or never actually rotated them 180° to check the match (just assumed it would match) will visibly struggle, which is useful information for the facilitator, not a moment to rescue.</w:t>
      </w:r>
    </w:p>
    <w:p>
      <w:pPr>
        <w:spacing w:after="40" w:before="120"/>
      </w:pPr>
      <w:r>
        <w:rPr>
          <w:b/>
          <w:bCs/>
        </w:rPr>
        <w:t xml:space="preserve">Facilitator-only geometry note.</w:t>
      </w:r>
    </w:p>
    <w:p>
      <w:pPr>
        <w:spacing w:after="160" w:before="0"/>
      </w:pPr>
      <w:r>
        <w:t xml:space="preserve">Reflecting bracket A(0,0) B(6,0) C(4.5,4) D(1.5,4) across the x-axis gives (0,0),(6,0),(4.5,−4),(1.5,−4); translating that copy down 0.25 in (the kerf margin) gives the interlocked partner (0,−0.25),(6,−0.25),(4.5,−4.25),(1.5,−4.25). The line of symmetry between the two is y = −0.125 — every original vertex reflects onto its partner's matching vertex exactly across that line (D2). Rotating the original bracket 180° about the point (3, −0.125) gives (6,−0.25),(0,−0.25),(1.5,−4.25),(4.5,−4.25) — the same four points as D2's construction, just listed in reverse winding order (D3): reflection reverses orientation, 180° rotation preserves it, and for this specific interlocked pair both routes land on the same outline. Rotating the combined block's bounding box ((0,−4.25) to (6,4)) 90° CCW about the origin swaps its 6 in × 8.25 in footprint to 8.25 in × 6 in (D4) — same footprint, rotated.</w:t>
      </w:r>
    </w:p>
    <w:p>
      <w:pPr>
        <w:spacing w:after="40" w:before="120"/>
      </w:pPr>
      <w:r>
        <w:rPr>
          <w:b/>
          <w:bCs/>
        </w:rPr>
        <w:t xml:space="preserve">Facilitator-only cost note.</w:t>
      </w:r>
    </w:p>
    <w:p>
      <w:pPr>
        <w:spacing w:after="160" w:before="0"/>
      </w:pPr>
      <w:r>
        <w:t xml:space="preserve">The Straight Run: 196 brackets/sheet, $1.4688 material + $0.01139 machine time = $1.48019/bracket. The Mirror Cut: 219 brackets/sheet (the sourced 12% real-world mirrored-nesting yield gain applied to 196), $1.31454 material + $0.01770 machine time (MA1's extra pierce, MA2's slower cut) = $1.33224/bracket. Margin: 9.99%, The Mirror Cut wins. The machine-time cost is real (55.4% higher per bracket than The Straight Run's) but it is small next to material cost, so it narrows the win from the 10.5%-material-only figure down to 9.99% net — it does not come close to erasing it. The single biggest lever on this number, if a Hero wants to argue with it, is the sourced 10–15% yield range itself (S7) — a Hero who picks 10% instead of the case's 12% gets a real, slightly smaller margin; a Hero who picks 15% gets a real, slightly larger one — not either Modeling Assumption in Appendix E.</w:t>
      </w:r>
    </w:p>
    <w:p>
      <w:pPr>
        <w:spacing w:after="80" w:before="160"/>
      </w:pPr>
      <w:r>
        <w:rPr>
          <w:b/>
          <w:bCs/>
        </w:rPr>
        <w:t xml:space="preserve">Twist — drop this at ~15 minutes into the discussion</w:t>
      </w:r>
    </w:p>
    <w:p>
      <w:pPr>
        <w:spacing w:after="160" w:before="0"/>
      </w:pPr>
      <w:r>
        <w:t xml:space="preserve">Deliver slowly, with pauses: "Sam sends the net-cost-per-bracket numbers to the shop owner. She nods, then hands over something else: the solar installer's inspection contract, and a note from the shop's own quality tech about the last time they ran a tightly mirrored nest on a job this size. 'Some of those brackets came back warped. Read the reject clause before you sign anything.'" "Does the reject clause change what Sam should actually recommend?"</w:t>
      </w:r>
    </w:p>
    <w:p>
      <w:pPr>
        <w:spacing w:after="40" w:before="120"/>
      </w:pPr>
      <w:r>
        <w:rPr>
          <w:b/>
          <w:bCs/>
        </w:rPr>
        <w:t xml:space="preserve">Facilitator-only: what the numbers actually do.</w:t>
      </w:r>
    </w:p>
    <w:p>
      <w:pPr>
        <w:spacing w:after="160" w:before="0"/>
      </w:pPr>
      <w:r>
        <w:t xml:space="preserve">Using Appendix E's stated reject-rate assumptions (MA3: The Straight Run 1%, The Mirror Cut 4%, based on the real, documented heat-affected-zone distortion risk in tightly nested cuts), the cost of a good bracket rises for both layouts, but rises more for The Mirror Cut: The Straight Run's good-part cost becomes $1.48019 / 0.99 = $1.495141; The Mirror Cut's becomes $1.33224 / 0.96 = $1.387749. The Mirror Cut still wins — but the margin narrows from 9.99% to 7.18%. The twist does not flip the verdict; it erodes it, which is itself the point: the room's naive read of the sourced 10–15% material-yield number would suggest a similarly large net win, and the twist shows the real margin is smaller than that at every stage — first machine time, now reject risk — without ever actually reversing the decision. Do not hand this reasoning over unprompted; let a Hero who took Anchor 4's finding seriously (that MA1/MA2 don't flip the graded metric) reason toward why MA3 might behave differently — it's a genuinely separate assumption, revealed later, not baked into the graded number at all.</w:t>
      </w:r>
    </w:p>
    <w:p>
      <w:pPr>
        <w:spacing w:after="80" w:before="160"/>
      </w:pPr>
      <w:r>
        <w:rPr>
          <w:b/>
          <w:bCs/>
        </w:rPr>
        <w:t xml:space="preserve">Immediate recommit</w:t>
      </w:r>
    </w:p>
    <w:p>
      <w:pPr>
        <w:spacing w:after="160" w:before="0"/>
      </w:pPr>
      <w:r>
        <w:t xml:space="preserve">Re-vote immediately. Ask by name: "Does the reject clause change your vote — or does it just tell you the margin you were quoting on was thinner than it looked?" That distinction is the transferable skill, not the vote itself.</w:t>
      </w:r>
    </w:p>
    <w:p>
      <w:pPr>
        <w:spacing w:after="80" w:before="160"/>
      </w:pPr>
      <w:r>
        <w:rPr>
          <w:b/>
          <w:bCs/>
        </w:rPr>
        <w:t xml:space="preserve">Deep conflict — three threads (20–30 min)</w:t>
      </w:r>
    </w:p>
    <w:p>
      <w:pPr>
        <w:pStyle w:val="ListParagraph"/>
        <w:numPr>
          <w:ilvl w:val="0"/>
          <w:numId w:val="1"/>
        </w:numPr>
        <w:spacing w:after="160" w:before="0"/>
      </w:pPr>
      <w:r>
        <w:t xml:space="preserve">Yield percent isn't net-cost percent. The sourced material-yield improvement is 10–15%, and the case's own graded net-cost win is 9.99% — close, but not the same number, and the twist narrows it further to 7.18%. Why does a real percentage improvement in one part of a cost model not automatically show up as the same percentage in the bottom line?</w:t>
      </w:r>
    </w:p>
    <w:p>
      <w:pPr>
        <w:pStyle w:val="ListParagraph"/>
        <w:numPr>
          <w:ilvl w:val="0"/>
          <w:numId w:val="1"/>
        </w:numPr>
        <w:spacing w:after="160" w:before="0"/>
      </w:pPr>
      <w:r>
        <w:t xml:space="preserve">Three assumptions vs. zero. The Straight Run's number depends on no stated assumption at all; The Mirror Cut's better number depends on three (MA1, MA2, and — once the twist lands — MA3). Does "wins by a real margin, but needs more assumptions to defend it" change how confident Sam should sound quoting it for three years?</w:t>
      </w:r>
    </w:p>
    <w:p>
      <w:pPr>
        <w:pStyle w:val="ListParagraph"/>
        <w:numPr>
          <w:ilvl w:val="0"/>
          <w:numId w:val="1"/>
        </w:numPr>
        <w:spacing w:after="160" w:before="0"/>
      </w:pPr>
      <w:r>
        <w:t xml:space="preserve">Whose multiplier, whose rate. MA1's 2× pierce count and MA2's 70% speed factor are the case author's own estimates, not timed studies. What would a Hero want to see before trusting either number more, or less — and does it matter that neither one, even flexed 50% in either direction, changes who wins?</w:t>
      </w:r>
    </w:p>
    <w:p>
      <w:pPr>
        <w:spacing w:after="80" w:before="160"/>
      </w:pPr>
      <w:r>
        <w:rPr>
          <w:b/>
          <w:bCs/>
        </w:rPr>
        <w:t xml:space="preserve">Close</w:t>
      </w:r>
    </w:p>
    <w:p>
      <w:pPr>
        <w:spacing w:after="160" w:before="0"/>
      </w:pPr>
      <w:r>
        <w:t xml:space="preserve">VOTE AGAIN. "Did we ask the right question at the start?" "What math was new to you tonight, and how did you actually attack it?" Compare the closing vote to Anchor 1's — a room that voted for The Mirror Cut at Anchor 1 purely on "it looks tighter" and stays with it after the twist for a different, numbers-based reason has genuinely moved, even if the vote count looks unchanged.</w:t>
      </w:r>
    </w:p>
    <w:p>
      <w:pPr>
        <w:pStyle w:val="Heading1"/>
        <w:spacing w:after="160" w:before="200"/>
      </w:pPr>
      <w:r>
        <w:t xml:space="preserve">The Five Socratic Questions</w:t>
      </w:r>
    </w:p>
    <w:p>
      <w:pPr>
        <w:spacing w:after="120" w:before="0"/>
      </w:pPr>
      <w:r>
        <w:t xml:space="preserve">1. The sourced material-yield improvement is 10–15%, but the case's own graded net-cost margin is 9.99%. What has to be true about a cost model for a real percentage improvement in one input to not show up as the same percentage in the final number?</w:t>
      </w:r>
    </w:p>
    <w:p>
      <w:pPr>
        <w:spacing w:after="120" w:before="0"/>
      </w:pPr>
      <w:r>
        <w:t xml:space="preserve">2. D2 asks you to verify the interlocked pair is symmetric about a specific line using coordinates, not just by eye. Why does a shop's actual laser program need that fact to be exactly true, not just approximately true?</w:t>
      </w:r>
    </w:p>
    <w:p>
      <w:pPr>
        <w:spacing w:after="120" w:before="0"/>
      </w:pPr>
      <w:r>
        <w:t xml:space="preserve">3. Neither Modeling Assumption in Appendix E (MA1, MA2) can flip the graded winner, even flexed 50% in either direction. Does that make them safe to be wrong about, or does it just mean they were never the real risk in this decision?</w:t>
      </w:r>
    </w:p>
    <w:p>
      <w:pPr>
        <w:spacing w:after="120" w:before="0"/>
      </w:pPr>
      <w:r>
        <w:t xml:space="preserve">4. After the reject-clause twist, The Mirror Cut is still cheaper, but by 7.18% instead of 9.99% — a real margin, but a thinner one. Which of those two numbers would you want in front of you if you were the one signing a three-year fixed-price contract?</w:t>
      </w:r>
    </w:p>
    <w:p>
      <w:pPr>
        <w:spacing w:after="120" w:before="0"/>
      </w:pPr>
      <w:r>
        <w:t xml:space="preserve">5. Sam has one night. What does Sam actually tell the shop owner — and does the reject clause change the answer, or just how confident Sam should sound giving it?</w:t>
      </w:r>
    </w:p>
    <w:p>
      <w:pPr>
        <w:pStyle w:val="Heading1"/>
        <w:spacing w:after="160" w:before="200"/>
      </w:pPr>
      <w:r>
        <w:t xml:space="preserve">What a Strong Defense Sounds Like</w:t>
      </w:r>
    </w:p>
    <w:p>
      <w:pPr>
        <w:spacing w:after="160" w:before="0"/>
      </w:pPr>
      <w:r>
        <w:t xml:space="preserve">This case has no single right answer — either option can be defended well. A strong pitch, for either side, actually runs D6's full takeoff rather than eyeballing the sourced 10–15% yield figure as if it were the answer; explicitly separates material savings from net-cost savings; names which Modeling Assumptions its own position depends on (zero for The Straight Run, three for The Mirror Cut) and says whether that matters for a three-year fixed-price bid; and, after the twist, updates its stated margin rather than repeating the pre-twist number. A weak pitch quotes the 12% yield figure as the contract's savings, ignores Appendix E entirely, or reverses its vote after the twist without being able to say by how much the number actually moved.</w:t>
      </w:r>
    </w:p>
    <w:p>
      <w:pPr>
        <w:pStyle w:val="Heading1"/>
        <w:spacing w:after="160" w:before="200"/>
      </w:pPr>
      <w:r>
        <w:t xml:space="preserve">Skills This Case Exercises</w:t>
      </w:r>
    </w:p>
    <w:p>
      <w:pPr>
        <w:spacing w:after="120" w:before="0"/>
      </w:pPr>
      <w:r>
        <w:t xml:space="preserve">Translation · Reflection · Rotation · Symmetry · Line Of Symmetry · Dilation · Scale Factor · multiplying and dividing decimal numbers · finding the percent of a number.</w:t>
      </w:r>
    </w:p>
    <w:p>
      <w:pPr>
        <w:spacing w:after="160" w:before="0"/>
      </w:pPr>
      <w:r>
        <w:t xml:space="preserve">Note: every one of this case's 13 claimed Geometry/Transformations skills already has n≥2 in standards_spine.json — this case is a reinforcement case, not new coverage (see case.json's reinforcement_note).</w:t>
      </w:r>
    </w:p>
    <w:p>
      <w:pPr>
        <w:pStyle w:val="Heading1"/>
        <w:spacing w:after="160" w:before="200"/>
      </w:pPr>
      <w:r>
        <w:t xml:space="preserve">Cohort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3A5C" w:color="auto" w:val="clear"/>
          </w:tcPr>
          <w:p>
            <w:r>
              <w:rPr>
                <w:b/>
                <w:bCs/>
                <w:color w:val="FFFFFF"/>
                <w:sz w:val="18"/>
                <w:szCs w:val="18"/>
              </w:rPr>
              <w:t xml:space="preserve">Band</w:t>
            </w:r>
          </w:p>
        </w:tc>
        <w:tc>
          <w:tcPr>
            <w:tcW w:type="dxa" w:w="6960"/>
            <w:shd w:fill="1A3A5C" w:color="auto" w:val="clear"/>
          </w:tcPr>
          <w:p>
            <w:r>
              <w:rPr>
                <w:b/>
                <w:bCs/>
                <w:color w:val="FFFFFF"/>
                <w:sz w:val="18"/>
                <w:szCs w:val="18"/>
              </w:rPr>
              <w:t xml:space="preserve">Note</w:t>
            </w:r>
          </w:p>
        </w:tc>
      </w:tr>
      <w:tr>
        <w:tc>
          <w:tcPr>
            <w:tcW w:type="dxa" w:w="2400"/>
          </w:tcPr>
          <w:p>
            <w:r>
              <w:rPr>
                <w:sz w:val="18"/>
                <w:szCs w:val="18"/>
              </w:rPr>
              <w:t xml:space="preserve">Full (12–20)</w:t>
            </w:r>
          </w:p>
        </w:tc>
        <w:tc>
          <w:tcPr>
            <w:tcW w:type="dxa" w:w="6960"/>
          </w:tcPr>
          <w:p>
            <w:r>
              <w:rPr>
                <w:sz w:val="18"/>
                <w:szCs w:val="18"/>
              </w:rPr>
              <w:t xml:space="preserve">Socratic plan and anchor timings run as written above (0:00–45:00).</w:t>
            </w:r>
          </w:p>
        </w:tc>
      </w:tr>
      <w:tr>
        <w:tc>
          <w:tcPr>
            <w:tcW w:type="dxa" w:w="2400"/>
          </w:tcPr>
          <w:p>
            <w:r>
              <w:rPr>
                <w:sz w:val="18"/>
                <w:szCs w:val="18"/>
              </w:rPr>
              <w:t xml:space="preserve">Compressed (6–11)</w:t>
            </w:r>
          </w:p>
        </w:tc>
        <w:tc>
          <w:tcPr>
            <w:tcW w:type="dxa" w:w="6960"/>
          </w:tcPr>
          <w:p>
            <w:r>
              <w:rPr>
                <w:sz w:val="18"/>
                <w:szCs w:val="18"/>
              </w:rPr>
              <w:t xml:space="preserve">Anchors 2 and 3 combine into one pass. Run only one deep-conflict thread at 20:00–30:00. Twist still drops at 15:00. Total runtime ~30 min.</w:t>
            </w:r>
          </w:p>
        </w:tc>
      </w:tr>
      <w:tr>
        <w:tc>
          <w:tcPr>
            <w:tcW w:type="dxa" w:w="2400"/>
          </w:tcPr>
          <w:p>
            <w:r>
              <w:rPr>
                <w:sz w:val="18"/>
                <w:szCs w:val="18"/>
              </w:rPr>
              <w:t xml:space="preserve">1:1 or pair (1–2)</w:t>
            </w:r>
          </w:p>
        </w:tc>
        <w:tc>
          <w:tcPr>
            <w:tcW w:type="dxa" w:w="6960"/>
          </w:tcPr>
          <w:p>
            <w:r>
              <w:rPr>
                <w:sz w:val="18"/>
                <w:szCs w:val="18"/>
              </w:rPr>
              <w:t xml:space="preserve">No vote at Anchor 1 — the learner states an initial position instead. Skip the deep-conflict threads; go straight from twist-recommit to Close.</w:t>
            </w:r>
          </w:p>
        </w:tc>
      </w:tr>
    </w:tbl>
    <w:p>
      <w:pPr>
        <w:pStyle w:val="Heading1"/>
        <w:spacing w:after="160" w:before="200"/>
      </w:pPr>
      <w:r>
        <w:t xml:space="preserve">Facilitator Note — Sensitivity</w:t>
      </w:r>
    </w:p>
    <w:p>
      <w:pPr>
        <w:spacing w:after="160" w:before="0"/>
      </w:pPr>
      <w:r>
        <w:t xml:space="preserve">Light touch only: the stakes here are a small business's livelihood riding on a multi-year contract bid, which can land as real financial-stress texture for some Heroes even though nobody in the case faces illness, death, or family hardship. If a Hero seems to be reading too much personal weight into "the shop could lose everything," it's fine to name that the numbers in this case are realistic but the shop itself is fictional.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2026-09-06T12:13:45.876Z</dcterms:created>
  <dcterms:modified xsi:type="dcterms:W3CDTF">2026-09-06T12:13:45.878Z</dcterms:modified>
</cp:coreProperties>
</file>

<file path=docProps/custom.xml><?xml version="1.0" encoding="utf-8"?>
<Properties xmlns="http://schemas.openxmlformats.org/officeDocument/2006/custom-properties" xmlns:vt="http://schemas.openxmlformats.org/officeDocument/2006/docPropsVTypes"/>
</file>