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Case Study: The Painted Gallon</w:t>
      </w:r>
    </w:p>
    <w:p>
      <w:pPr>
        <w:pBdr>
          <w:bottom w:val="single" w:color="c9a227" w:sz="6" w:space="8"/>
        </w:pBdr>
        <w:spacing w:after="320"/>
      </w:pPr>
      <w:r>
        <w:rPr>
          <w:color w:val="5b6472"/>
          <w:sz w:val="20"/>
          <w:szCs w:val="20"/>
        </w:rPr>
        <w:t xml:space="preserve">MS | Math | Case Study | 2026 | Adventure</w:t>
      </w:r>
    </w:p>
    <w:p>
      <w:pPr>
        <w:pStyle w:val="Heading1"/>
        <w:spacing w:after="120" w:before="240"/>
      </w:pPr>
      <w:r>
        <w:t xml:space="preserve">Overview</w:t>
      </w:r>
    </w:p>
    <w:p>
      <w:pPr>
        <w:spacing w:after="160"/>
      </w:pPr>
      <w:r>
        <w:t xml:space="preserve">The boil-water notice has been taped to the door of the county clerk's office for six weeks now, and Devon Aldrich can see it through the windshield from the parking lot: a single sheet of paper, curling at the corner, telling four thousand people to keep boiling their tap water. Devon's phone buzzes against the truck's cupholder — a text from the mayor's office. Ballot language due Friday. One number. They won't print a range.</w:t>
      </w:r>
    </w:p>
    <w:p>
      <w:pPr>
        <w:spacing w:after="160"/>
      </w:pPr>
      <w:r>
        <w:t xml:space="preserve">Devon has spent nine years keeping this town's water system running, and the inspection report sitting on the passenger seat is the reason the old tank got condemned: a rust bloom the size of a dinner plate, eating through steel nobody had budgeted to repaint in time. Two engineering firms sent back two very different tank designs to replace it — one shaped like a giant teardrop balanced on a single pole, the other a squat cylinder standing on six legs like a water bug. Both hold exactly the same amount of water. Both firms swear their design is the smarter bet.</w:t>
      </w:r>
    </w:p>
    <w:p>
      <w:pPr>
        <w:spacing w:after="160"/>
      </w:pPr>
      <w:r>
        <w:t xml:space="preserve">Devon flips past the cover pages to the cost tables, past the spec sheets, past a hand-drawn note from the county attorney: the resolution shall state a specific dollar amount, not to exceed. No ranges. No “up to.”</w:t>
      </w:r>
    </w:p>
    <w:p>
      <w:pPr>
        <w:spacing w:after="160"/>
      </w:pPr>
      <w:r>
        <w:t xml:space="preserve">One number. Due Friday. Devon opens a blank spreadsheet and starts typing.</w:t>
      </w:r>
    </w:p>
    <w:p>
      <w:pPr>
        <w:pStyle w:val="Heading1"/>
        <w:spacing w:after="120" w:before="240"/>
      </w:pPr>
      <w:r>
        <w:t xml:space="preserve">Background</w:t>
      </w:r>
    </w:p>
    <w:p>
      <w:pPr>
        <w:spacing w:after="160"/>
      </w:pPr>
      <w:r>
        <w:t xml:space="preserve">Devon Aldrich is the sole water-system engineer for a town of roughly 4,000 residents, responsible for a single elevated storage tank that supplies gravity-fed pressure to the entire distribution system. The town's only elevated tank failed a corrosion inspection this spring and has been taken out of service, forcing a boil-water advisory that has now run six weeks. A bond measure to fund a full replacement goes before voters in three weeks, and state election code requires the ballot resolution to name one specific dollar amount for the bond — not a range, not a not-to-exceed figure (SEE APPENDIX A).</w:t>
      </w:r>
    </w:p>
    <w:p>
      <w:pPr>
        <w:spacing w:after="160"/>
      </w:pPr>
      <w:r>
        <w:t xml:space="preserve">The town's engineer of record sized the replacement tank's required capacity at 750,000 gallons (MA2), based on the town's population and standard water-system sizing guidance (SEE APPENDIX A). Both competing designs must hold exactly that capacity — this is a hard constraint, not a variable either firm can change to make its own design look better.</w:t>
      </w:r>
    </w:p>
    <w:p>
      <w:pPr>
        <w:spacing w:after="160"/>
      </w:pPr>
      <w:r>
        <w:t xml:space="preserve">The vocabulary and “how to…” procedures needed to work through this case are listed in (SEE APPENDIX E). Two real, commonly built elevated-tank designs are on the table (SEE APPENDICES B AND C). The Spheroid is a single-shaft, teardrop-shaped steel tank — the “golf ball on a stick” — that fabricators build with a smaller support footprint and less coated exterior surface than most other elevated shapes, but the specialized curved-steel knuckle welding it requires is a slower, costlier build. The Multi-Column is a plain cylindrical steel tank standing on several straight support legs — cheaper and faster to fabricate because its steel components are simple and repeatable, but it exposes more total surface area to the weather, and every square foot of that surface has to be recoated on the same schedule the Spheroid's smaller surface does.</w:t>
      </w:r>
    </w:p>
    <w:p>
      <w:pPr>
        <w:spacing w:after="160"/>
      </w:pPr>
      <w:r>
        <w:t xml:space="preserve">There is a second real complication buried in the same engineering study, and it has nothing to do with surface area: at this capacity, only one company in the country is currently qualified to build a Multi-Column tank, while three separate companies are qualified to build a Spheroid (SEE APPENDIX G). A design only one company can build cannot be competitively bid — the town would have to take whatever price and schedule that single fabricator offers, with no other bidder to check either one. For a town six weeks into a boil-water advisory, already racing a Friday ballot deadline, “the cheaper design on paper” and “the design least likely to blow its price or its timeline” are not automatically the same design.</w:t>
      </w:r>
    </w:p>
    <w:p>
      <w:pPr>
        <w:spacing w:after="160"/>
      </w:pPr>
      <w:r>
        <w:t xml:space="preserve">Neither design is a mistake. Every figure in this case — construction cost, maintenance cost, and coated surface area — is drawn from a real 2019 engineering cost study of an actual elevated-tank replacement project, adapted to Devon's town (SEE APPENDIX F). The tank's manufacturer-rated exterior surface area is what a recoating contractor actually has to cover, on a fixed maintenance cycle, for as long as the tank stands (SEE APPENDIX D). Devon has to turn two engineering reports, a sizing requirement, and a state law that only accepts one number, into a single dollar figure the town can vote on by Friday.</w:t>
      </w:r>
    </w:p>
    <w:p>
      <w:pPr>
        <w:pStyle w:val="Heading1"/>
        <w:spacing w:after="120" w:before="240"/>
      </w:pPr>
      <w:r>
        <w:t xml:space="preserve">Dilemma</w:t>
      </w:r>
    </w:p>
    <w:p>
      <w:pPr>
        <w:spacing w:after="160"/>
      </w:pPr>
      <w:r>
        <w:rPr>
          <w:b/>
          <w:bCs/>
        </w:rPr>
        <w:t xml:space="preserve">You are Devon Aldrich.</w:t>
      </w:r>
    </w:p>
    <w:p>
      <w:pPr>
        <w:spacing w:after="160"/>
      </w:pPr>
      <w:r>
        <w:t xml:space="preserve">Do you:</w:t>
      </w:r>
    </w:p>
    <w:p>
      <w:pPr>
        <w:spacing w:after="160"/>
      </w:pPr>
      <w:r>
        <w:rPr>
          <w:b/>
          <w:bCs/>
        </w:rPr>
        <w:t xml:space="preserve">A.) </w:t>
      </w:r>
      <w:r>
        <w:t xml:space="preserve">Recommend The Spheroid — the single-shaft, teardrop-shaped elevated tank</w:t>
      </w:r>
      <w:r>
        <w:rPr>
          <w:i/>
          <w:iCs/>
        </w:rPr>
        <w:t xml:space="preserve"> OR</w:t>
      </w:r>
    </w:p>
    <w:p>
      <w:pPr>
        <w:spacing w:after="160"/>
      </w:pPr>
      <w:r>
        <w:rPr>
          <w:b/>
          <w:bCs/>
        </w:rPr>
        <w:t xml:space="preserve">B.) </w:t>
      </w:r>
      <w:r>
        <w:t xml:space="preserve">Recommend The Multi-Column — the cylindrical tank on multiple support legs</w:t>
      </w:r>
    </w:p>
    <w:p>
      <w:pPr>
        <w:pStyle w:val="Heading1"/>
        <w:spacing w:after="120" w:before="240"/>
      </w:pPr>
      <w:r>
        <w:t xml:space="preserve">Challenges</w:t>
      </w:r>
    </w:p>
    <w:p>
      <w:pPr>
        <w:pStyle w:val="ListParagraph"/>
        <w:numPr>
          <w:ilvl w:val="0"/>
          <w:numId w:val="2"/>
        </w:numPr>
        <w:spacing w:after="160"/>
      </w:pPr>
      <w:r>
        <w:t xml:space="preserve">Research and find an online resource that answers one of the “how to…” questions from the case study launch. Post a link to the resource as your submission.</w:t>
      </w:r>
    </w:p>
    <w:p>
      <w:pPr>
        <w:pStyle w:val="ListParagraph"/>
        <w:numPr>
          <w:ilvl w:val="0"/>
          <w:numId w:val="2"/>
        </w:numPr>
        <w:spacing w:after="80"/>
      </w:pPr>
      <w:r>
        <w:t xml:space="preserve">Post 250 or more “excellent” words pitching a firm stance to your audience on which you would choose and why. Your pitch must include:</w:t>
      </w:r>
    </w:p>
    <w:p>
      <w:pPr>
        <w:pStyle w:val="ListParagraph"/>
        <w:numPr>
          <w:ilvl w:val="0"/>
          <w:numId w:val="3"/>
        </w:numPr>
        <w:spacing w:after="80"/>
      </w:pPr>
      <w:r>
        <w:t xml:space="preserve">Use of the “how to…” resource you researched in Challenge 1.</w:t>
      </w:r>
    </w:p>
    <w:p>
      <w:pPr>
        <w:pStyle w:val="ListParagraph"/>
        <w:numPr>
          <w:ilvl w:val="0"/>
          <w:numId w:val="3"/>
        </w:numPr>
        <w:spacing w:after="160"/>
      </w:pPr>
      <w:r>
        <w:t xml:space="preserve">At least one original visual display of the data.</w:t>
      </w:r>
    </w:p>
    <w:p>
      <w:pPr>
        <w:pStyle w:val="ListParagraph"/>
        <w:numPr>
          <w:ilvl w:val="0"/>
          <w:numId w:val="2"/>
        </w:numPr>
        <w:spacing w:after="80"/>
      </w:pPr>
      <w:r>
        <w:t xml:space="preserve">Your pitch must include:</w:t>
      </w:r>
    </w:p>
    <w:p>
      <w:pPr>
        <w:spacing w:after="160"/>
        <w:ind w:left="504"/>
      </w:pPr>
      <w:r>
        <w:rPr>
          <w:b/>
          <w:bCs/>
        </w:rPr>
        <w:t xml:space="preserve">D1. </w:t>
      </w:r>
      <w:r>
        <w:t xml:space="preserve">A solved-dimensions sheet: starting from the required storage capacity in Appendix A, algebraically solve for the unknown dimension of each idealized reservoir shape — the Spheroid's radius, using the sphere volume formula, and the Multi-Column's cylinder height, using the cylinder volume formula and the real tank diameter in Appendix C — showing every step of the rearrangement, with a labeled sketch of each shape.</w:t>
      </w:r>
    </w:p>
    <w:p>
      <w:pPr>
        <w:spacing w:after="160"/>
        <w:ind w:left="504"/>
      </w:pPr>
      <w:r>
        <w:rPr>
          <w:b/>
          <w:bCs/>
        </w:rPr>
        <w:t xml:space="preserve">D2. </w:t>
      </w:r>
      <w:r>
        <w:t xml:space="preserve">A surface-area comparison table: the idealized total exterior surface area of each reservoir shape (sphere: 4·π·r-squared; cylinder: 2·π·r-squared plus 2·π·r·h), computed from the dimensions found in D1, in square feet.</w:t>
      </w:r>
    </w:p>
    <w:p>
      <w:pPr>
        <w:spacing w:after="160"/>
        <w:ind w:left="504"/>
      </w:pPr>
      <w:r>
        <w:rPr>
          <w:b/>
          <w:bCs/>
        </w:rPr>
        <w:t xml:space="preserve">D3. </w:t>
      </w:r>
      <w:r>
        <w:t xml:space="preserve">A steel-area-per-gallon rate for each idealized design — total surface area from D2 divided by the required capacity from Appendix A — expressed in square feet per 1,000 gallons, with the unit conversion shown.</w:t>
      </w:r>
    </w:p>
    <w:p>
      <w:pPr>
        <w:spacing w:after="160"/>
        <w:ind w:left="504"/>
      </w:pPr>
      <w:r>
        <w:rPr>
          <w:b/>
          <w:bCs/>
        </w:rPr>
        <w:t xml:space="preserve">D4. </w:t>
      </w:r>
      <w:r>
        <w:t xml:space="preserve">A real-world cost-per-square-foot calculation for each design: Appendix D's sourced total construction (capital) cost divided by Appendix B/C's sourced real fabricated exterior area for that design, plus a written paragraph explaining why this real per-square-foot rate comes out different for the two designs even though both are welded, coated steel construction.</w:t>
      </w:r>
    </w:p>
    <w:p>
      <w:pPr>
        <w:spacing w:after="160"/>
        <w:ind w:left="504"/>
      </w:pPr>
      <w:r>
        <w:rPr>
          <w:b/>
          <w:bCs/>
        </w:rPr>
        <w:t xml:space="preserve">D5. </w:t>
      </w:r>
      <w:r>
        <w:t xml:space="preserve">An original visual display (a bar chart or equivalent) comparing each design's total 60-year lifecycle cost per gallon of capacity from Appendix D, plus one sentence stating the single construction-bond dollar figure you are recommending Devon put in front of voters.</w:t>
      </w:r>
    </w:p>
    <w:p>
      <w:pPr>
        <w:spacing w:after="200"/>
        <w:ind w:left="504"/>
      </w:pPr>
      <w:r>
        <w:rPr>
          <w:b/>
          <w:bCs/>
        </w:rPr>
        <w:t xml:space="preserve">D6. </w:t>
      </w:r>
      <w:r>
        <w:t xml:space="preserve">A short written response (3-5 sentences) to Appendix G's fabricator-competition data: state whether the real difference in the number of qualified fabricators (3 for the Spheroid, 1 for the Multi-Column) changes your recommendation from D5, and explain why or why not.</w:t>
      </w:r>
    </w:p>
    <w:p>
      <w:pPr>
        <w:pStyle w:val="ListParagraph"/>
        <w:numPr>
          <w:ilvl w:val="0"/>
          <w:numId w:val="2"/>
        </w:numPr>
        <w:spacing w:after="16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60"/>
      </w:pPr>
      <w:r>
        <w:t xml:space="preserve">Participate twice or more in the Case Study discussion. </w:t>
      </w:r>
      <w:r>
        <w:rPr>
          <w:i/>
          <w:iCs/>
        </w:rPr>
        <w:t xml:space="preserve">If you are absent the day of a discussion post 500 “excellent” words on the questions above.</w:t>
      </w:r>
    </w:p>
    <w:p>
      <w:r>
        <w:br w:type="page"/>
      </w:r>
    </w:p>
    <w:p>
      <w:pPr>
        <w:pStyle w:val="Heading1"/>
        <w:spacing w:after="120" w:before="240"/>
      </w:pPr>
      <w:r>
        <w:t xml:space="preserve">Appendix A — The Town's Requirement and the Ballot Rule</w:t>
      </w:r>
    </w:p>
    <w:p>
      <w:pPr>
        <w:spacing w:after="160"/>
      </w:pPr>
      <w:r>
        <w:rPr>
          <w:i/>
          <w:iCs/>
        </w:rPr>
        <w:t xml:space="preserve">Referenced in Background and Challenge 3 (D1, 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a5c" w:color="auto" w:val="clear"/>
            <w:tcMar>
              <w:top w:type="dxa" w:w="60"/>
              <w:left w:type="dxa" w:w="80"/>
              <w:bottom w:type="dxa" w:w="60"/>
              <w:right w:type="dxa" w:w="80"/>
            </w:tcMar>
          </w:tcPr>
          <w:p>
            <w:r>
              <w:rPr>
                <w:b/>
                <w:bCs/>
                <w:color w:val="FFFFFF"/>
                <w:sz w:val="18"/>
                <w:szCs w:val="18"/>
              </w:rPr>
              <w:t xml:space="preserve">Item</w:t>
            </w:r>
          </w:p>
        </w:tc>
        <w:tc>
          <w:tcPr>
            <w:tcW w:type="dxa" w:w="4680"/>
            <w:shd w:fill="1a3a5c" w:color="auto" w:val="clear"/>
            <w:tcMar>
              <w:top w:type="dxa" w:w="60"/>
              <w:left w:type="dxa" w:w="80"/>
              <w:bottom w:type="dxa" w:w="60"/>
              <w:right w:type="dxa" w:w="80"/>
            </w:tcMar>
          </w:tcPr>
          <w:p>
            <w:r>
              <w:rPr>
                <w:b/>
                <w:bCs/>
                <w:color w:val="FFFFFF"/>
                <w:sz w:val="18"/>
                <w:szCs w:val="18"/>
              </w:rPr>
              <w:t xml:space="preserve">Value</w:t>
            </w:r>
          </w:p>
        </w:tc>
      </w:tr>
      <w:tr>
        <w:tc>
          <w:tcPr>
            <w:tcW w:type="dxa" w:w="4680"/>
            <w:shd w:fill="FFFFFF" w:color="auto" w:val="clear"/>
            <w:tcMar>
              <w:top w:type="dxa" w:w="60"/>
              <w:left w:type="dxa" w:w="80"/>
              <w:bottom w:type="dxa" w:w="60"/>
              <w:right w:type="dxa" w:w="80"/>
            </w:tcMar>
          </w:tcPr>
          <w:p>
            <w:r>
              <w:rPr>
                <w:sz w:val="18"/>
                <w:szCs w:val="18"/>
              </w:rPr>
              <w:t xml:space="preserve">Town population</w:t>
            </w:r>
          </w:p>
        </w:tc>
        <w:tc>
          <w:tcPr>
            <w:tcW w:type="dxa" w:w="4680"/>
            <w:shd w:fill="FFFFFF" w:color="auto" w:val="clear"/>
            <w:tcMar>
              <w:top w:type="dxa" w:w="60"/>
              <w:left w:type="dxa" w:w="80"/>
              <w:bottom w:type="dxa" w:w="60"/>
              <w:right w:type="dxa" w:w="80"/>
            </w:tcMar>
          </w:tcPr>
          <w:p>
            <w:r>
              <w:rPr>
                <w:sz w:val="18"/>
                <w:szCs w:val="18"/>
              </w:rPr>
              <w:t xml:space="preserve">4,000 (case scenario)</w:t>
            </w:r>
          </w:p>
        </w:tc>
      </w:tr>
      <w:tr>
        <w:tc>
          <w:tcPr>
            <w:tcW w:type="dxa" w:w="4680"/>
            <w:shd w:fill="F7F9FB" w:color="auto" w:val="clear"/>
            <w:tcMar>
              <w:top w:type="dxa" w:w="60"/>
              <w:left w:type="dxa" w:w="80"/>
              <w:bottom w:type="dxa" w:w="60"/>
              <w:right w:type="dxa" w:w="80"/>
            </w:tcMar>
          </w:tcPr>
          <w:p>
            <w:r>
              <w:rPr>
                <w:sz w:val="18"/>
                <w:szCs w:val="18"/>
              </w:rPr>
              <w:t xml:space="preserve">Required elevated storage capacity (both designs must meet this exactly)</w:t>
            </w:r>
          </w:p>
        </w:tc>
        <w:tc>
          <w:tcPr>
            <w:tcW w:type="dxa" w:w="4680"/>
            <w:shd w:fill="F7F9FB" w:color="auto" w:val="clear"/>
            <w:tcMar>
              <w:top w:type="dxa" w:w="60"/>
              <w:left w:type="dxa" w:w="80"/>
              <w:bottom w:type="dxa" w:w="60"/>
              <w:right w:type="dxa" w:w="80"/>
            </w:tcMar>
          </w:tcPr>
          <w:p>
            <w:r>
              <w:rPr>
                <w:sz w:val="18"/>
                <w:szCs w:val="18"/>
              </w:rPr>
              <w:t xml:space="preserve">750,000 gallons (MA2 — see Modeling Assumptions)</w:t>
            </w:r>
          </w:p>
        </w:tc>
      </w:tr>
      <w:tr>
        <w:tc>
          <w:tcPr>
            <w:tcW w:type="dxa" w:w="4680"/>
            <w:shd w:fill="FFFFFF" w:color="auto" w:val="clear"/>
            <w:tcMar>
              <w:top w:type="dxa" w:w="60"/>
              <w:left w:type="dxa" w:w="80"/>
              <w:bottom w:type="dxa" w:w="60"/>
              <w:right w:type="dxa" w:w="80"/>
            </w:tcMar>
          </w:tcPr>
          <w:p>
            <w:r>
              <w:rPr>
                <w:sz w:val="18"/>
                <w:szCs w:val="18"/>
              </w:rPr>
              <w:t xml:space="preserve">Ballot rule</w:t>
            </w:r>
          </w:p>
        </w:tc>
        <w:tc>
          <w:tcPr>
            <w:tcW w:type="dxa" w:w="4680"/>
            <w:shd w:fill="FFFFFF" w:color="auto" w:val="clear"/>
            <w:tcMar>
              <w:top w:type="dxa" w:w="60"/>
              <w:left w:type="dxa" w:w="80"/>
              <w:bottom w:type="dxa" w:w="60"/>
              <w:right w:type="dxa" w:w="80"/>
            </w:tcMar>
          </w:tcPr>
          <w:p>
            <w:r>
              <w:rPr>
                <w:sz w:val="18"/>
                <w:szCs w:val="18"/>
              </w:rPr>
              <w:t xml:space="preserve">State law requires the ordinance/resolution calling a bond election to recite the principal amount of the indebtedness as a single figure, not a range (adapted here from a real state statute governing municipal bond elections) [S3]</w:t>
            </w:r>
          </w:p>
        </w:tc>
      </w:tr>
      <w:tr>
        <w:tc>
          <w:tcPr>
            <w:tcW w:type="dxa" w:w="4680"/>
            <w:shd w:fill="F7F9FB" w:color="auto" w:val="clear"/>
            <w:tcMar>
              <w:top w:type="dxa" w:w="60"/>
              <w:left w:type="dxa" w:w="80"/>
              <w:bottom w:type="dxa" w:w="60"/>
              <w:right w:type="dxa" w:w="80"/>
            </w:tcMar>
          </w:tcPr>
          <w:p>
            <w:r>
              <w:rPr>
                <w:sz w:val="18"/>
                <w:szCs w:val="18"/>
              </w:rPr>
              <w:t xml:space="preserve">Gallons-to-cubic-feet conversion</w:t>
            </w:r>
          </w:p>
        </w:tc>
        <w:tc>
          <w:tcPr>
            <w:tcW w:type="dxa" w:w="4680"/>
            <w:shd w:fill="F7F9FB" w:color="auto" w:val="clear"/>
            <w:tcMar>
              <w:top w:type="dxa" w:w="60"/>
              <w:left w:type="dxa" w:w="80"/>
              <w:bottom w:type="dxa" w:w="60"/>
              <w:right w:type="dxa" w:w="80"/>
            </w:tcMar>
          </w:tcPr>
          <w:p>
            <w:r>
              <w:rPr>
                <w:sz w:val="18"/>
                <w:szCs w:val="18"/>
              </w:rPr>
              <w:t xml:space="preserve">0.133681 ft³ per gallon [S4]</w:t>
            </w:r>
          </w:p>
        </w:tc>
      </w:tr>
    </w:tbl>
    <w:p>
      <w:pPr>
        <w:pStyle w:val="Heading1"/>
        <w:spacing w:after="120" w:before="240"/>
      </w:pPr>
      <w:r>
        <w:t xml:space="preserve">Appendix B — The Spheroid: Design and Real Dimensions</w:t>
      </w:r>
    </w:p>
    <w:p>
      <w:pPr>
        <w:spacing w:after="160"/>
      </w:pPr>
      <w:r>
        <w:rPr>
          <w:i/>
          <w:iCs/>
        </w:rPr>
        <w:t xml:space="preserve">Referenced in Background and Challenge 3 (D1, D2, 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a5c" w:color="auto" w:val="clear"/>
            <w:tcMar>
              <w:top w:type="dxa" w:w="60"/>
              <w:left w:type="dxa" w:w="80"/>
              <w:bottom w:type="dxa" w:w="60"/>
              <w:right w:type="dxa" w:w="80"/>
            </w:tcMar>
          </w:tcPr>
          <w:p>
            <w:r>
              <w:rPr>
                <w:b/>
                <w:bCs/>
                <w:color w:val="FFFFFF"/>
                <w:sz w:val="18"/>
                <w:szCs w:val="18"/>
              </w:rPr>
              <w:t xml:space="preserve">Item</w:t>
            </w:r>
          </w:p>
        </w:tc>
        <w:tc>
          <w:tcPr>
            <w:tcW w:type="dxa" w:w="4680"/>
            <w:shd w:fill="1a3a5c" w:color="auto" w:val="clear"/>
            <w:tcMar>
              <w:top w:type="dxa" w:w="60"/>
              <w:left w:type="dxa" w:w="80"/>
              <w:bottom w:type="dxa" w:w="60"/>
              <w:right w:type="dxa" w:w="80"/>
            </w:tcMar>
          </w:tcPr>
          <w:p>
            <w:r>
              <w:rPr>
                <w:b/>
                <w:bCs/>
                <w:color w:val="FFFFFF"/>
                <w:sz w:val="18"/>
                <w:szCs w:val="18"/>
              </w:rPr>
              <w:t xml:space="preserve">Value</w:t>
            </w:r>
          </w:p>
        </w:tc>
      </w:tr>
      <w:tr>
        <w:tc>
          <w:tcPr>
            <w:tcW w:type="dxa" w:w="4680"/>
            <w:shd w:fill="FFFFFF" w:color="auto" w:val="clear"/>
            <w:tcMar>
              <w:top w:type="dxa" w:w="60"/>
              <w:left w:type="dxa" w:w="80"/>
              <w:bottom w:type="dxa" w:w="60"/>
              <w:right w:type="dxa" w:w="80"/>
            </w:tcMar>
          </w:tcPr>
          <w:p>
            <w:r>
              <w:rPr>
                <w:sz w:val="18"/>
                <w:szCs w:val="18"/>
              </w:rPr>
              <w:t xml:space="preserve">Shape</w:t>
            </w:r>
          </w:p>
        </w:tc>
        <w:tc>
          <w:tcPr>
            <w:tcW w:type="dxa" w:w="4680"/>
            <w:shd w:fill="FFFFFF" w:color="auto" w:val="clear"/>
            <w:tcMar>
              <w:top w:type="dxa" w:w="60"/>
              <w:left w:type="dxa" w:w="80"/>
              <w:bottom w:type="dxa" w:w="60"/>
              <w:right w:type="dxa" w:w="80"/>
            </w:tcMar>
          </w:tcPr>
          <w:p>
            <w:r>
              <w:rPr>
                <w:sz w:val="18"/>
                <w:szCs w:val="18"/>
              </w:rPr>
              <w:t xml:space="preserve">Single-shaft, teardrop-shaped elevated steel tank (“golf ball on a stick”)</w:t>
            </w:r>
          </w:p>
        </w:tc>
      </w:tr>
      <w:tr>
        <w:tc>
          <w:tcPr>
            <w:tcW w:type="dxa" w:w="4680"/>
            <w:shd w:fill="F7F9FB" w:color="auto" w:val="clear"/>
            <w:tcMar>
              <w:top w:type="dxa" w:w="60"/>
              <w:left w:type="dxa" w:w="80"/>
              <w:bottom w:type="dxa" w:w="60"/>
              <w:right w:type="dxa" w:w="80"/>
            </w:tcMar>
          </w:tcPr>
          <w:p>
            <w:r>
              <w:rPr>
                <w:sz w:val="18"/>
                <w:szCs w:val="18"/>
              </w:rPr>
              <w:t xml:space="preserve">Real manufacturer-rated exterior (outside) surface area at this capacity</w:t>
            </w:r>
          </w:p>
        </w:tc>
        <w:tc>
          <w:tcPr>
            <w:tcW w:type="dxa" w:w="4680"/>
            <w:shd w:fill="F7F9FB" w:color="auto" w:val="clear"/>
            <w:tcMar>
              <w:top w:type="dxa" w:w="60"/>
              <w:left w:type="dxa" w:w="80"/>
              <w:bottom w:type="dxa" w:w="60"/>
              <w:right w:type="dxa" w:w="80"/>
            </w:tcMar>
          </w:tcPr>
          <w:p>
            <w:r>
              <w:rPr>
                <w:sz w:val="18"/>
                <w:szCs w:val="18"/>
              </w:rPr>
              <w:t xml:space="preserve">16,500 sq ft [S5]</w:t>
            </w:r>
          </w:p>
        </w:tc>
      </w:tr>
      <w:tr>
        <w:tc>
          <w:tcPr>
            <w:tcW w:type="dxa" w:w="4680"/>
            <w:shd w:fill="FFFFFF" w:color="auto" w:val="clear"/>
            <w:tcMar>
              <w:top w:type="dxa" w:w="60"/>
              <w:left w:type="dxa" w:w="80"/>
              <w:bottom w:type="dxa" w:w="60"/>
              <w:right w:type="dxa" w:w="80"/>
            </w:tcMar>
          </w:tcPr>
          <w:p>
            <w:r>
              <w:rPr>
                <w:sz w:val="18"/>
                <w:szCs w:val="18"/>
              </w:rPr>
              <w:t xml:space="preserve">Real manufactured tank diameter at this capacity (for reference — the idealized math sphere in D1 will come out smaller; see Modeling Assumptions)</w:t>
            </w:r>
          </w:p>
        </w:tc>
        <w:tc>
          <w:tcPr>
            <w:tcW w:type="dxa" w:w="4680"/>
            <w:shd w:fill="FFFFFF" w:color="auto" w:val="clear"/>
            <w:tcMar>
              <w:top w:type="dxa" w:w="60"/>
              <w:left w:type="dxa" w:w="80"/>
              <w:bottom w:type="dxa" w:w="60"/>
              <w:right w:type="dxa" w:w="80"/>
            </w:tcMar>
          </w:tcPr>
          <w:p>
            <w:r>
              <w:rPr>
                <w:sz w:val="18"/>
                <w:szCs w:val="18"/>
              </w:rPr>
              <w:t xml:space="preserve">66 ft [S6]</w:t>
            </w:r>
          </w:p>
        </w:tc>
      </w:tr>
      <w:tr>
        <w:tc>
          <w:tcPr>
            <w:tcW w:type="dxa" w:w="4680"/>
            <w:shd w:fill="F7F9FB" w:color="auto" w:val="clear"/>
            <w:tcMar>
              <w:top w:type="dxa" w:w="60"/>
              <w:left w:type="dxa" w:w="80"/>
              <w:bottom w:type="dxa" w:w="60"/>
              <w:right w:type="dxa" w:w="80"/>
            </w:tcMar>
          </w:tcPr>
          <w:p>
            <w:r>
              <w:rPr>
                <w:sz w:val="18"/>
                <w:szCs w:val="18"/>
              </w:rPr>
              <w:t xml:space="preserve">Total construction (capital) cost</w:t>
            </w:r>
          </w:p>
        </w:tc>
        <w:tc>
          <w:tcPr>
            <w:tcW w:type="dxa" w:w="4680"/>
            <w:shd w:fill="F7F9FB" w:color="auto" w:val="clear"/>
            <w:tcMar>
              <w:top w:type="dxa" w:w="60"/>
              <w:left w:type="dxa" w:w="80"/>
              <w:bottom w:type="dxa" w:w="60"/>
              <w:right w:type="dxa" w:w="80"/>
            </w:tcMar>
          </w:tcPr>
          <w:p>
            <w:r>
              <w:rPr>
                <w:sz w:val="18"/>
                <w:szCs w:val="18"/>
              </w:rPr>
              <w:t xml:space="preserve">$2,048,000 [S7]</w:t>
            </w:r>
          </w:p>
        </w:tc>
      </w:tr>
      <w:tr>
        <w:tc>
          <w:tcPr>
            <w:tcW w:type="dxa" w:w="4680"/>
            <w:shd w:fill="FFFFFF" w:color="auto" w:val="clear"/>
            <w:tcMar>
              <w:top w:type="dxa" w:w="60"/>
              <w:left w:type="dxa" w:w="80"/>
              <w:bottom w:type="dxa" w:w="60"/>
              <w:right w:type="dxa" w:w="80"/>
            </w:tcMar>
          </w:tcPr>
          <w:p>
            <w:r>
              <w:rPr>
                <w:sz w:val="18"/>
                <w:szCs w:val="18"/>
              </w:rPr>
              <w:t xml:space="preserve">60-year net-present-value maintenance (recoating) cost</w:t>
            </w:r>
          </w:p>
        </w:tc>
        <w:tc>
          <w:tcPr>
            <w:tcW w:type="dxa" w:w="4680"/>
            <w:shd w:fill="FFFFFF" w:color="auto" w:val="clear"/>
            <w:tcMar>
              <w:top w:type="dxa" w:w="60"/>
              <w:left w:type="dxa" w:w="80"/>
              <w:bottom w:type="dxa" w:w="60"/>
              <w:right w:type="dxa" w:w="80"/>
            </w:tcMar>
          </w:tcPr>
          <w:p>
            <w:r>
              <w:rPr>
                <w:sz w:val="18"/>
                <w:szCs w:val="18"/>
              </w:rPr>
              <w:t xml:space="preserve">$376,000 [S8]</w:t>
            </w:r>
          </w:p>
        </w:tc>
      </w:tr>
      <w:tr>
        <w:tc>
          <w:tcPr>
            <w:tcW w:type="dxa" w:w="4680"/>
            <w:shd w:fill="F7F9FB" w:color="auto" w:val="clear"/>
            <w:tcMar>
              <w:top w:type="dxa" w:w="60"/>
              <w:left w:type="dxa" w:w="80"/>
              <w:bottom w:type="dxa" w:w="60"/>
              <w:right w:type="dxa" w:w="80"/>
            </w:tcMar>
          </w:tcPr>
          <w:p>
            <w:r>
              <w:rPr>
                <w:sz w:val="18"/>
                <w:szCs w:val="18"/>
              </w:rPr>
              <w:t xml:space="preserve">Total 60-year lifecycle cost</w:t>
            </w:r>
          </w:p>
        </w:tc>
        <w:tc>
          <w:tcPr>
            <w:tcW w:type="dxa" w:w="4680"/>
            <w:shd w:fill="F7F9FB" w:color="auto" w:val="clear"/>
            <w:tcMar>
              <w:top w:type="dxa" w:w="60"/>
              <w:left w:type="dxa" w:w="80"/>
              <w:bottom w:type="dxa" w:w="60"/>
              <w:right w:type="dxa" w:w="80"/>
            </w:tcMar>
          </w:tcPr>
          <w:p>
            <w:r>
              <w:rPr>
                <w:sz w:val="18"/>
                <w:szCs w:val="18"/>
              </w:rPr>
              <w:t xml:space="preserve">$2,424,000 [S9]</w:t>
            </w:r>
          </w:p>
        </w:tc>
      </w:tr>
    </w:tbl>
    <w:p>
      <w:pPr>
        <w:pStyle w:val="Heading1"/>
        <w:spacing w:after="120" w:before="240"/>
      </w:pPr>
      <w:r>
        <w:t xml:space="preserve">Appendix C — The Multi-Column: Design and Real Dimensions</w:t>
      </w:r>
    </w:p>
    <w:p>
      <w:pPr>
        <w:spacing w:after="160"/>
      </w:pPr>
      <w:r>
        <w:rPr>
          <w:i/>
          <w:iCs/>
        </w:rPr>
        <w:t xml:space="preserve">Referenced in Background and Challenge 3 (D1, D2, 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a5c" w:color="auto" w:val="clear"/>
            <w:tcMar>
              <w:top w:type="dxa" w:w="60"/>
              <w:left w:type="dxa" w:w="80"/>
              <w:bottom w:type="dxa" w:w="60"/>
              <w:right w:type="dxa" w:w="80"/>
            </w:tcMar>
          </w:tcPr>
          <w:p>
            <w:r>
              <w:rPr>
                <w:b/>
                <w:bCs/>
                <w:color w:val="FFFFFF"/>
                <w:sz w:val="18"/>
                <w:szCs w:val="18"/>
              </w:rPr>
              <w:t xml:space="preserve">Item</w:t>
            </w:r>
          </w:p>
        </w:tc>
        <w:tc>
          <w:tcPr>
            <w:tcW w:type="dxa" w:w="4680"/>
            <w:shd w:fill="1a3a5c" w:color="auto" w:val="clear"/>
            <w:tcMar>
              <w:top w:type="dxa" w:w="60"/>
              <w:left w:type="dxa" w:w="80"/>
              <w:bottom w:type="dxa" w:w="60"/>
              <w:right w:type="dxa" w:w="80"/>
            </w:tcMar>
          </w:tcPr>
          <w:p>
            <w:r>
              <w:rPr>
                <w:b/>
                <w:bCs/>
                <w:color w:val="FFFFFF"/>
                <w:sz w:val="18"/>
                <w:szCs w:val="18"/>
              </w:rPr>
              <w:t xml:space="preserve">Value</w:t>
            </w:r>
          </w:p>
        </w:tc>
      </w:tr>
      <w:tr>
        <w:tc>
          <w:tcPr>
            <w:tcW w:type="dxa" w:w="4680"/>
            <w:shd w:fill="FFFFFF" w:color="auto" w:val="clear"/>
            <w:tcMar>
              <w:top w:type="dxa" w:w="60"/>
              <w:left w:type="dxa" w:w="80"/>
              <w:bottom w:type="dxa" w:w="60"/>
              <w:right w:type="dxa" w:w="80"/>
            </w:tcMar>
          </w:tcPr>
          <w:p>
            <w:r>
              <w:rPr>
                <w:sz w:val="18"/>
                <w:szCs w:val="18"/>
              </w:rPr>
              <w:t xml:space="preserve">Shape</w:t>
            </w:r>
          </w:p>
        </w:tc>
        <w:tc>
          <w:tcPr>
            <w:tcW w:type="dxa" w:w="4680"/>
            <w:shd w:fill="FFFFFF" w:color="auto" w:val="clear"/>
            <w:tcMar>
              <w:top w:type="dxa" w:w="60"/>
              <w:left w:type="dxa" w:w="80"/>
              <w:bottom w:type="dxa" w:w="60"/>
              <w:right w:type="dxa" w:w="80"/>
            </w:tcMar>
          </w:tcPr>
          <w:p>
            <w:r>
              <w:rPr>
                <w:sz w:val="18"/>
                <w:szCs w:val="18"/>
              </w:rPr>
              <w:t xml:space="preserve">Cylindrical elevated steel tank on multiple straight support legs</w:t>
            </w:r>
          </w:p>
        </w:tc>
      </w:tr>
      <w:tr>
        <w:tc>
          <w:tcPr>
            <w:tcW w:type="dxa" w:w="4680"/>
            <w:shd w:fill="F7F9FB" w:color="auto" w:val="clear"/>
            <w:tcMar>
              <w:top w:type="dxa" w:w="60"/>
              <w:left w:type="dxa" w:w="80"/>
              <w:bottom w:type="dxa" w:w="60"/>
              <w:right w:type="dxa" w:w="80"/>
            </w:tcMar>
          </w:tcPr>
          <w:p>
            <w:r>
              <w:rPr>
                <w:sz w:val="18"/>
                <w:szCs w:val="18"/>
              </w:rPr>
              <w:t xml:space="preserve">Real manufacturer-rated exterior (outside) surface area at this capacity</w:t>
            </w:r>
          </w:p>
        </w:tc>
        <w:tc>
          <w:tcPr>
            <w:tcW w:type="dxa" w:w="4680"/>
            <w:shd w:fill="F7F9FB" w:color="auto" w:val="clear"/>
            <w:tcMar>
              <w:top w:type="dxa" w:w="60"/>
              <w:left w:type="dxa" w:w="80"/>
              <w:bottom w:type="dxa" w:w="60"/>
              <w:right w:type="dxa" w:w="80"/>
            </w:tcMar>
          </w:tcPr>
          <w:p>
            <w:r>
              <w:rPr>
                <w:sz w:val="18"/>
                <w:szCs w:val="18"/>
              </w:rPr>
              <w:t xml:space="preserve">29,100 sq ft [S11]</w:t>
            </w:r>
          </w:p>
        </w:tc>
      </w:tr>
      <w:tr>
        <w:tc>
          <w:tcPr>
            <w:tcW w:type="dxa" w:w="4680"/>
            <w:shd w:fill="FFFFFF" w:color="auto" w:val="clear"/>
            <w:tcMar>
              <w:top w:type="dxa" w:w="60"/>
              <w:left w:type="dxa" w:w="80"/>
              <w:bottom w:type="dxa" w:w="60"/>
              <w:right w:type="dxa" w:w="80"/>
            </w:tcMar>
          </w:tcPr>
          <w:p>
            <w:r>
              <w:rPr>
                <w:sz w:val="18"/>
                <w:szCs w:val="18"/>
              </w:rPr>
              <w:t xml:space="preserve">Real manufactured tank diameter at this capacity (used directly in D1 to solve for the idealized cylinder's height)</w:t>
            </w:r>
          </w:p>
        </w:tc>
        <w:tc>
          <w:tcPr>
            <w:tcW w:type="dxa" w:w="4680"/>
            <w:shd w:fill="FFFFFF" w:color="auto" w:val="clear"/>
            <w:tcMar>
              <w:top w:type="dxa" w:w="60"/>
              <w:left w:type="dxa" w:w="80"/>
              <w:bottom w:type="dxa" w:w="60"/>
              <w:right w:type="dxa" w:w="80"/>
            </w:tcMar>
          </w:tcPr>
          <w:p>
            <w:r>
              <w:rPr>
                <w:sz w:val="18"/>
                <w:szCs w:val="18"/>
              </w:rPr>
              <w:t xml:space="preserve">60 ft [S12]</w:t>
            </w:r>
          </w:p>
        </w:tc>
      </w:tr>
      <w:tr>
        <w:tc>
          <w:tcPr>
            <w:tcW w:type="dxa" w:w="4680"/>
            <w:shd w:fill="F7F9FB" w:color="auto" w:val="clear"/>
            <w:tcMar>
              <w:top w:type="dxa" w:w="60"/>
              <w:left w:type="dxa" w:w="80"/>
              <w:bottom w:type="dxa" w:w="60"/>
              <w:right w:type="dxa" w:w="80"/>
            </w:tcMar>
          </w:tcPr>
          <w:p>
            <w:r>
              <w:rPr>
                <w:sz w:val="18"/>
                <w:szCs w:val="18"/>
              </w:rPr>
              <w:t xml:space="preserve">Total construction (capital) cost</w:t>
            </w:r>
          </w:p>
        </w:tc>
        <w:tc>
          <w:tcPr>
            <w:tcW w:type="dxa" w:w="4680"/>
            <w:shd w:fill="F7F9FB" w:color="auto" w:val="clear"/>
            <w:tcMar>
              <w:top w:type="dxa" w:w="60"/>
              <w:left w:type="dxa" w:w="80"/>
              <w:bottom w:type="dxa" w:w="60"/>
              <w:right w:type="dxa" w:w="80"/>
            </w:tcMar>
          </w:tcPr>
          <w:p>
            <w:r>
              <w:rPr>
                <w:sz w:val="18"/>
                <w:szCs w:val="18"/>
              </w:rPr>
              <w:t xml:space="preserve">$1,595,000 [S13]</w:t>
            </w:r>
          </w:p>
        </w:tc>
      </w:tr>
      <w:tr>
        <w:tc>
          <w:tcPr>
            <w:tcW w:type="dxa" w:w="4680"/>
            <w:shd w:fill="FFFFFF" w:color="auto" w:val="clear"/>
            <w:tcMar>
              <w:top w:type="dxa" w:w="60"/>
              <w:left w:type="dxa" w:w="80"/>
              <w:bottom w:type="dxa" w:w="60"/>
              <w:right w:type="dxa" w:w="80"/>
            </w:tcMar>
          </w:tcPr>
          <w:p>
            <w:r>
              <w:rPr>
                <w:sz w:val="18"/>
                <w:szCs w:val="18"/>
              </w:rPr>
              <w:t xml:space="preserve">60-year net-present-value maintenance (recoating) cost</w:t>
            </w:r>
          </w:p>
        </w:tc>
        <w:tc>
          <w:tcPr>
            <w:tcW w:type="dxa" w:w="4680"/>
            <w:shd w:fill="FFFFFF" w:color="auto" w:val="clear"/>
            <w:tcMar>
              <w:top w:type="dxa" w:w="60"/>
              <w:left w:type="dxa" w:w="80"/>
              <w:bottom w:type="dxa" w:w="60"/>
              <w:right w:type="dxa" w:w="80"/>
            </w:tcMar>
          </w:tcPr>
          <w:p>
            <w:r>
              <w:rPr>
                <w:sz w:val="18"/>
                <w:szCs w:val="18"/>
              </w:rPr>
              <w:t xml:space="preserve">$490,000 [S14]</w:t>
            </w:r>
          </w:p>
        </w:tc>
      </w:tr>
      <w:tr>
        <w:tc>
          <w:tcPr>
            <w:tcW w:type="dxa" w:w="4680"/>
            <w:shd w:fill="F7F9FB" w:color="auto" w:val="clear"/>
            <w:tcMar>
              <w:top w:type="dxa" w:w="60"/>
              <w:left w:type="dxa" w:w="80"/>
              <w:bottom w:type="dxa" w:w="60"/>
              <w:right w:type="dxa" w:w="80"/>
            </w:tcMar>
          </w:tcPr>
          <w:p>
            <w:r>
              <w:rPr>
                <w:sz w:val="18"/>
                <w:szCs w:val="18"/>
              </w:rPr>
              <w:t xml:space="preserve">Total 60-year lifecycle cost</w:t>
            </w:r>
          </w:p>
        </w:tc>
        <w:tc>
          <w:tcPr>
            <w:tcW w:type="dxa" w:w="4680"/>
            <w:shd w:fill="F7F9FB" w:color="auto" w:val="clear"/>
            <w:tcMar>
              <w:top w:type="dxa" w:w="60"/>
              <w:left w:type="dxa" w:w="80"/>
              <w:bottom w:type="dxa" w:w="60"/>
              <w:right w:type="dxa" w:w="80"/>
            </w:tcMar>
          </w:tcPr>
          <w:p>
            <w:r>
              <w:rPr>
                <w:sz w:val="18"/>
                <w:szCs w:val="18"/>
              </w:rPr>
              <w:t xml:space="preserve">$2,085,000 [S15]</w:t>
            </w:r>
          </w:p>
        </w:tc>
      </w:tr>
    </w:tbl>
    <w:p>
      <w:pPr>
        <w:pStyle w:val="Heading1"/>
        <w:spacing w:after="120" w:before="240"/>
      </w:pPr>
      <w:r>
        <w:t xml:space="preserve">Appendix D — Lifecycle Cost Per Gallon</w:t>
      </w:r>
    </w:p>
    <w:p>
      <w:pPr>
        <w:spacing w:after="160"/>
      </w:pPr>
      <w:r>
        <w:rPr>
          <w:i/>
          <w:iCs/>
        </w:rPr>
        <w:t xml:space="preserve">Referenced in Background and Challenge 3 (D4, D5). Both rows come from the same real 2019 engineering cost study (SEE APPENDIX F), evaluated over the tanks' shared 60-year design life, at the town's required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a5c" w:color="auto" w:val="clear"/>
            <w:tcMar>
              <w:top w:type="dxa" w:w="60"/>
              <w:left w:type="dxa" w:w="80"/>
              <w:bottom w:type="dxa" w:w="60"/>
              <w:right w:type="dxa" w:w="80"/>
            </w:tcMar>
          </w:tcPr>
          <w:p>
            <w:r>
              <w:rPr>
                <w:b/>
                <w:bCs/>
                <w:color w:val="FFFFFF"/>
                <w:sz w:val="18"/>
                <w:szCs w:val="18"/>
              </w:rPr>
              <w:t xml:space="preserve">Design</w:t>
            </w:r>
          </w:p>
        </w:tc>
        <w:tc>
          <w:tcPr>
            <w:tcW w:type="dxa" w:w="3120"/>
            <w:shd w:fill="1a3a5c" w:color="auto" w:val="clear"/>
            <w:tcMar>
              <w:top w:type="dxa" w:w="60"/>
              <w:left w:type="dxa" w:w="80"/>
              <w:bottom w:type="dxa" w:w="60"/>
              <w:right w:type="dxa" w:w="80"/>
            </w:tcMar>
          </w:tcPr>
          <w:p>
            <w:r>
              <w:rPr>
                <w:b/>
                <w:bCs/>
                <w:color w:val="FFFFFF"/>
                <w:sz w:val="18"/>
                <w:szCs w:val="18"/>
              </w:rPr>
              <w:t xml:space="preserve">Total 60-year lifecycle cost</w:t>
            </w:r>
          </w:p>
        </w:tc>
        <w:tc>
          <w:tcPr>
            <w:tcW w:type="dxa" w:w="3120"/>
            <w:shd w:fill="1a3a5c" w:color="auto" w:val="clear"/>
            <w:tcMar>
              <w:top w:type="dxa" w:w="60"/>
              <w:left w:type="dxa" w:w="80"/>
              <w:bottom w:type="dxa" w:w="60"/>
              <w:right w:type="dxa" w:w="80"/>
            </w:tcMar>
          </w:tcPr>
          <w:p>
            <w:r>
              <w:rPr>
                <w:b/>
                <w:bCs/>
                <w:color w:val="FFFFFF"/>
                <w:sz w:val="18"/>
                <w:szCs w:val="18"/>
              </w:rPr>
              <w:t xml:space="preserve">Cost per gallon of capacity</w:t>
            </w:r>
          </w:p>
        </w:tc>
      </w:tr>
      <w:tr>
        <w:tc>
          <w:tcPr>
            <w:tcW w:type="dxa" w:w="3120"/>
            <w:shd w:fill="FFFFFF" w:color="auto" w:val="clear"/>
            <w:tcMar>
              <w:top w:type="dxa" w:w="60"/>
              <w:left w:type="dxa" w:w="80"/>
              <w:bottom w:type="dxa" w:w="60"/>
              <w:right w:type="dxa" w:w="80"/>
            </w:tcMar>
          </w:tcPr>
          <w:p>
            <w:r>
              <w:rPr>
                <w:sz w:val="18"/>
                <w:szCs w:val="18"/>
              </w:rPr>
              <w:t xml:space="preserve">The Spheroid</w:t>
            </w:r>
          </w:p>
        </w:tc>
        <w:tc>
          <w:tcPr>
            <w:tcW w:type="dxa" w:w="3120"/>
            <w:shd w:fill="FFFFFF" w:color="auto" w:val="clear"/>
            <w:tcMar>
              <w:top w:type="dxa" w:w="60"/>
              <w:left w:type="dxa" w:w="80"/>
              <w:bottom w:type="dxa" w:w="60"/>
              <w:right w:type="dxa" w:w="80"/>
            </w:tcMar>
          </w:tcPr>
          <w:p>
            <w:r>
              <w:rPr>
                <w:sz w:val="18"/>
                <w:szCs w:val="18"/>
              </w:rPr>
              <w:t xml:space="preserve">$2,424,000 [S9]</w:t>
            </w:r>
          </w:p>
        </w:tc>
        <w:tc>
          <w:tcPr>
            <w:tcW w:type="dxa" w:w="3120"/>
            <w:shd w:fill="FFFFFF" w:color="auto" w:val="clear"/>
            <w:tcMar>
              <w:top w:type="dxa" w:w="60"/>
              <w:left w:type="dxa" w:w="80"/>
              <w:bottom w:type="dxa" w:w="60"/>
              <w:right w:type="dxa" w:w="80"/>
            </w:tcMar>
          </w:tcPr>
          <w:p>
            <w:r>
              <w:rPr>
                <w:sz w:val="18"/>
                <w:szCs w:val="18"/>
              </w:rPr>
              <w:t xml:space="preserve">$3.23/gal [S10]</w:t>
            </w:r>
          </w:p>
        </w:tc>
      </w:tr>
      <w:tr>
        <w:tc>
          <w:tcPr>
            <w:tcW w:type="dxa" w:w="3120"/>
            <w:shd w:fill="F7F9FB" w:color="auto" w:val="clear"/>
            <w:tcMar>
              <w:top w:type="dxa" w:w="60"/>
              <w:left w:type="dxa" w:w="80"/>
              <w:bottom w:type="dxa" w:w="60"/>
              <w:right w:type="dxa" w:w="80"/>
            </w:tcMar>
          </w:tcPr>
          <w:p>
            <w:r>
              <w:rPr>
                <w:sz w:val="18"/>
                <w:szCs w:val="18"/>
              </w:rPr>
              <w:t xml:space="preserve">The Multi-Column</w:t>
            </w:r>
          </w:p>
        </w:tc>
        <w:tc>
          <w:tcPr>
            <w:tcW w:type="dxa" w:w="3120"/>
            <w:shd w:fill="F7F9FB" w:color="auto" w:val="clear"/>
            <w:tcMar>
              <w:top w:type="dxa" w:w="60"/>
              <w:left w:type="dxa" w:w="80"/>
              <w:bottom w:type="dxa" w:w="60"/>
              <w:right w:type="dxa" w:w="80"/>
            </w:tcMar>
          </w:tcPr>
          <w:p>
            <w:r>
              <w:rPr>
                <w:sz w:val="18"/>
                <w:szCs w:val="18"/>
              </w:rPr>
              <w:t xml:space="preserve">$2,085,000 [S15]</w:t>
            </w:r>
          </w:p>
        </w:tc>
        <w:tc>
          <w:tcPr>
            <w:tcW w:type="dxa" w:w="3120"/>
            <w:shd w:fill="F7F9FB" w:color="auto" w:val="clear"/>
            <w:tcMar>
              <w:top w:type="dxa" w:w="60"/>
              <w:left w:type="dxa" w:w="80"/>
              <w:bottom w:type="dxa" w:w="60"/>
              <w:right w:type="dxa" w:w="80"/>
            </w:tcMar>
          </w:tcPr>
          <w:p>
            <w:r>
              <w:rPr>
                <w:sz w:val="18"/>
                <w:szCs w:val="18"/>
              </w:rPr>
              <w:t xml:space="preserve">$2.78/gal [S16]</w:t>
            </w:r>
          </w:p>
        </w:tc>
      </w:tr>
    </w:tbl>
    <w:p>
      <w:pPr>
        <w:spacing w:after="160"/>
      </w:pPr>
      <w:r>
        <w:t xml:space="preserve">The bond itself is issued as a 30-year municipal bond covering the construction (capital) cost in Appendices B and C; the 60-year figures above come from the engineering firm's own published lifecycle-cost horizon for a steel elevated tank and are shown here to compare the two designs' long-run maintenance burden, not the length of the bond.</w:t>
      </w:r>
    </w:p>
    <w:p>
      <w:pPr>
        <w:pStyle w:val="Heading1"/>
        <w:spacing w:after="120" w:before="240"/>
      </w:pPr>
      <w:r>
        <w:t xml:space="preserve">Modeling Assumptions</w:t>
      </w:r>
    </w:p>
    <w:p>
      <w:pPr>
        <w:spacing w:after="160"/>
      </w:pPr>
      <w:r>
        <w:rPr>
          <w:i/>
          <w:iCs/>
        </w:rPr>
        <w:t xml:space="preserve">These figures are not sourced. They are stated scenario assumptions chosen by the case author to connect the real engineering data in Appendices B-D to Devon's fictional town.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700"/>
        <w:gridCol w:w="2900"/>
        <w:gridCol w:w="1860"/>
      </w:tblGrid>
      <w:tr>
        <w:trPr>
          <w:tblHeader/>
        </w:trPr>
        <w:tc>
          <w:tcPr>
            <w:tcW w:type="dxa" w:w="700"/>
            <w:shd w:fill="1a3a5c" w:color="auto" w:val="clear"/>
            <w:tcMar>
              <w:top w:type="dxa" w:w="60"/>
              <w:left w:type="dxa" w:w="80"/>
              <w:bottom w:type="dxa" w:w="60"/>
              <w:right w:type="dxa" w:w="80"/>
            </w:tcMar>
          </w:tcPr>
          <w:p>
            <w:r>
              <w:rPr>
                <w:b/>
                <w:bCs/>
                <w:color w:val="FFFFFF"/>
                <w:sz w:val="18"/>
                <w:szCs w:val="18"/>
              </w:rPr>
              <w:t xml:space="preserve">#</w:t>
            </w:r>
          </w:p>
        </w:tc>
        <w:tc>
          <w:tcPr>
            <w:tcW w:type="dxa" w:w="2200"/>
            <w:shd w:fill="1a3a5c" w:color="auto" w:val="clear"/>
            <w:tcMar>
              <w:top w:type="dxa" w:w="60"/>
              <w:left w:type="dxa" w:w="80"/>
              <w:bottom w:type="dxa" w:w="60"/>
              <w:right w:type="dxa" w:w="80"/>
            </w:tcMar>
          </w:tcPr>
          <w:p>
            <w:r>
              <w:rPr>
                <w:b/>
                <w:bCs/>
                <w:color w:val="FFFFFF"/>
                <w:sz w:val="18"/>
                <w:szCs w:val="18"/>
              </w:rPr>
              <w:t xml:space="preserve">Assumption</w:t>
            </w:r>
          </w:p>
        </w:tc>
        <w:tc>
          <w:tcPr>
            <w:tcW w:type="dxa" w:w="1700"/>
            <w:shd w:fill="1a3a5c" w:color="auto" w:val="clear"/>
            <w:tcMar>
              <w:top w:type="dxa" w:w="60"/>
              <w:left w:type="dxa" w:w="80"/>
              <w:bottom w:type="dxa" w:w="60"/>
              <w:right w:type="dxa" w:w="80"/>
            </w:tcMar>
          </w:tcPr>
          <w:p>
            <w:r>
              <w:rPr>
                <w:b/>
                <w:bCs/>
                <w:color w:val="FFFFFF"/>
                <w:sz w:val="18"/>
                <w:szCs w:val="18"/>
              </w:rPr>
              <w:t xml:space="preserve">Value used</w:t>
            </w:r>
          </w:p>
        </w:tc>
        <w:tc>
          <w:tcPr>
            <w:tcW w:type="dxa" w:w="2900"/>
            <w:shd w:fill="1a3a5c" w:color="auto" w:val="clear"/>
            <w:tcMar>
              <w:top w:type="dxa" w:w="60"/>
              <w:left w:type="dxa" w:w="80"/>
              <w:bottom w:type="dxa" w:w="60"/>
              <w:right w:type="dxa" w:w="80"/>
            </w:tcMar>
          </w:tcPr>
          <w:p>
            <w:r>
              <w:rPr>
                <w:b/>
                <w:bCs/>
                <w:color w:val="FFFFFF"/>
                <w:sz w:val="18"/>
                <w:szCs w:val="18"/>
              </w:rPr>
              <w:t xml:space="preserve">Basis</w:t>
            </w:r>
          </w:p>
        </w:tc>
        <w:tc>
          <w:tcPr>
            <w:tcW w:type="dxa" w:w="1860"/>
            <w:shd w:fill="1a3a5c" w:color="auto" w:val="clear"/>
            <w:tcMar>
              <w:top w:type="dxa" w:w="60"/>
              <w:left w:type="dxa" w:w="80"/>
              <w:bottom w:type="dxa" w:w="60"/>
              <w:right w:type="dxa" w:w="80"/>
            </w:tcMar>
          </w:tcPr>
          <w:p>
            <w:r>
              <w:rPr>
                <w:b/>
                <w:bCs/>
                <w:color w:val="FFFFFF"/>
                <w:sz w:val="18"/>
                <w:szCs w:val="18"/>
              </w:rPr>
              <w:t xml:space="preserve">Sensitivity</w:t>
            </w:r>
          </w:p>
        </w:tc>
      </w:tr>
      <w:tr>
        <w:tc>
          <w:tcPr>
            <w:tcW w:type="dxa" w:w="700"/>
            <w:shd w:fill="FFFFFF" w:color="auto" w:val="clear"/>
            <w:tcMar>
              <w:top w:type="dxa" w:w="60"/>
              <w:left w:type="dxa" w:w="80"/>
              <w:bottom w:type="dxa" w:w="60"/>
              <w:right w:type="dxa" w:w="80"/>
            </w:tcMar>
          </w:tcPr>
          <w:p>
            <w:r>
              <w:rPr>
                <w:sz w:val="18"/>
                <w:szCs w:val="18"/>
              </w:rPr>
              <w:t xml:space="preserve">MA1</w:t>
            </w:r>
          </w:p>
        </w:tc>
        <w:tc>
          <w:tcPr>
            <w:tcW w:type="dxa" w:w="2200"/>
            <w:shd w:fill="FFFFFF" w:color="auto" w:val="clear"/>
            <w:tcMar>
              <w:top w:type="dxa" w:w="60"/>
              <w:left w:type="dxa" w:w="80"/>
              <w:bottom w:type="dxa" w:w="60"/>
              <w:right w:type="dxa" w:w="80"/>
            </w:tcMar>
          </w:tcPr>
          <w:p>
            <w:r>
              <w:rPr>
                <w:sz w:val="18"/>
                <w:szCs w:val="18"/>
              </w:rPr>
              <w:t xml:space="preserve">The idealized math sphere and cylinder in D1/D2 (built from pure volume/surface-area formulas) come out smaller than the real manufacturer-rated dimensions and areas in Appendices B and C</w:t>
            </w:r>
          </w:p>
        </w:tc>
        <w:tc>
          <w:tcPr>
            <w:tcW w:type="dxa" w:w="1700"/>
            <w:shd w:fill="FFFFFF" w:color="auto" w:val="clear"/>
            <w:tcMar>
              <w:top w:type="dxa" w:w="60"/>
              <w:left w:type="dxa" w:w="80"/>
              <w:bottom w:type="dxa" w:w="60"/>
              <w:right w:type="dxa" w:w="80"/>
            </w:tcMar>
          </w:tcPr>
          <w:p>
            <w:r>
              <w:rPr>
                <w:sz w:val="18"/>
                <w:szCs w:val="18"/>
              </w:rPr>
              <w:t xml:space="preserve">The idealized shapes are treated as a lower-bound approximation; the real, fabricator-quoted figures are what is actually used to compute cost</w:t>
            </w:r>
          </w:p>
        </w:tc>
        <w:tc>
          <w:tcPr>
            <w:tcW w:type="dxa" w:w="2900"/>
            <w:shd w:fill="FFFFFF" w:color="auto" w:val="clear"/>
            <w:tcMar>
              <w:top w:type="dxa" w:w="60"/>
              <w:left w:type="dxa" w:w="80"/>
              <w:bottom w:type="dxa" w:w="60"/>
              <w:right w:type="dxa" w:w="80"/>
            </w:tcMar>
          </w:tcPr>
          <w:p>
            <w:r>
              <w:rPr>
                <w:sz w:val="18"/>
                <w:szCs w:val="18"/>
              </w:rPr>
              <w:t xml:space="preserve">A real spheroid tank is not a perfect mathematical sphere — it has a flared cone base and a central access shaft that a pure sphere formula does not capture; a real multi-column tank's “outside area” figure likewise includes its support legs, not just the cylindrical reservoir. No public source reduces a real fabricated tank to pure sphere/cylinder geometry.</w:t>
            </w:r>
          </w:p>
        </w:tc>
        <w:tc>
          <w:tcPr>
            <w:tcW w:type="dxa" w:w="1860"/>
            <w:shd w:fill="FFFFFF" w:color="auto" w:val="clear"/>
            <w:tcMar>
              <w:top w:type="dxa" w:w="60"/>
              <w:left w:type="dxa" w:w="80"/>
              <w:bottom w:type="dxa" w:w="60"/>
              <w:right w:type="dxa" w:w="80"/>
            </w:tcMar>
          </w:tcPr>
          <w:p>
            <w:r>
              <w:rPr>
                <w:sz w:val="18"/>
                <w:szCs w:val="18"/>
              </w:rPr>
              <w:t xml:space="preserve">This assumption does not change which design wins on any of this case's own cost or area comparisons — it only explains why a Hero's own D1/D2 arithmetic will not exactly match Appendix B/C's real figures, and is worth discussing in Challenge 3 (D4).</w:t>
            </w:r>
          </w:p>
        </w:tc>
      </w:tr>
      <w:tr>
        <w:tc>
          <w:tcPr>
            <w:tcW w:type="dxa" w:w="700"/>
            <w:shd w:fill="F7F9FB" w:color="auto" w:val="clear"/>
            <w:tcMar>
              <w:top w:type="dxa" w:w="60"/>
              <w:left w:type="dxa" w:w="80"/>
              <w:bottom w:type="dxa" w:w="60"/>
              <w:right w:type="dxa" w:w="80"/>
            </w:tcMar>
          </w:tcPr>
          <w:p>
            <w:r>
              <w:rPr>
                <w:sz w:val="18"/>
                <w:szCs w:val="18"/>
              </w:rPr>
              <w:t xml:space="preserve">MA2</w:t>
            </w:r>
          </w:p>
        </w:tc>
        <w:tc>
          <w:tcPr>
            <w:tcW w:type="dxa" w:w="2200"/>
            <w:shd w:fill="F7F9FB" w:color="auto" w:val="clear"/>
            <w:tcMar>
              <w:top w:type="dxa" w:w="60"/>
              <w:left w:type="dxa" w:w="80"/>
              <w:bottom w:type="dxa" w:w="60"/>
              <w:right w:type="dxa" w:w="80"/>
            </w:tcMar>
          </w:tcPr>
          <w:p>
            <w:r>
              <w:rPr>
                <w:sz w:val="18"/>
                <w:szCs w:val="18"/>
              </w:rPr>
              <w:t xml:space="preserve">The town's required elevated storage capacity</w:t>
            </w:r>
          </w:p>
        </w:tc>
        <w:tc>
          <w:tcPr>
            <w:tcW w:type="dxa" w:w="1700"/>
            <w:shd w:fill="F7F9FB" w:color="auto" w:val="clear"/>
            <w:tcMar>
              <w:top w:type="dxa" w:w="60"/>
              <w:left w:type="dxa" w:w="80"/>
              <w:bottom w:type="dxa" w:w="60"/>
              <w:right w:type="dxa" w:w="80"/>
            </w:tcMar>
          </w:tcPr>
          <w:p>
            <w:r>
              <w:rPr>
                <w:sz w:val="18"/>
                <w:szCs w:val="18"/>
              </w:rPr>
              <w:t xml:space="preserve">750,000 gallons</w:t>
            </w:r>
          </w:p>
        </w:tc>
        <w:tc>
          <w:tcPr>
            <w:tcW w:type="dxa" w:w="2900"/>
            <w:shd w:fill="F7F9FB" w:color="auto" w:val="clear"/>
            <w:tcMar>
              <w:top w:type="dxa" w:w="60"/>
              <w:left w:type="dxa" w:w="80"/>
              <w:bottom w:type="dxa" w:w="60"/>
              <w:right w:type="dxa" w:w="80"/>
            </w:tcMar>
          </w:tcPr>
          <w:p>
            <w:r>
              <w:rPr>
                <w:sz w:val="18"/>
                <w:szCs w:val="18"/>
              </w:rPr>
              <w:t xml:space="preserve">No public source publishes a required capacity for this fictional town specifically. The design standards that would normally drive that number — a per-capita demand rate [S1] and a small-system rule that elevated storage should equal average daily demand [S2] — are both real and both cited, but combining them with this town's stated population is still an authored scenario choice, not a lookup. The exact 750,000-gallon value is chosen to match a real capacity actually evaluated for an actual town-scale elevated-tank replacement in the real 2019 engineering study this case is built from (SEE APPENDIX F), so that every other figure in Appendices B, C and D can be a real, sourced number rather than an invented one.</w:t>
            </w:r>
          </w:p>
        </w:tc>
        <w:tc>
          <w:tcPr>
            <w:tcW w:type="dxa" w:w="1860"/>
            <w:shd w:fill="F7F9FB" w:color="auto" w:val="clear"/>
            <w:tcMar>
              <w:top w:type="dxa" w:w="60"/>
              <w:left w:type="dxa" w:w="80"/>
              <w:bottom w:type="dxa" w:w="60"/>
              <w:right w:type="dxa" w:w="80"/>
            </w:tcMar>
          </w:tcPr>
          <w:p>
            <w:r>
              <w:rPr>
                <w:sz w:val="18"/>
                <w:szCs w:val="18"/>
              </w:rPr>
              <w:t xml:space="preserve">Both designs are always compared at this same fixed capacity, so this assumption does not by itself favor either option — it only sets the scale at which the real sourced cost and area figures apply.</w:t>
            </w:r>
          </w:p>
        </w:tc>
      </w:tr>
    </w:tbl>
    <w:p>
      <w:pPr>
        <w:pStyle w:val="Heading1"/>
        <w:spacing w:after="120" w:before="240"/>
      </w:pPr>
      <w:r>
        <w:t xml:space="preserve">Appendix E — “How To…” Math Questions To Research</w:t>
      </w:r>
    </w:p>
    <w:p>
      <w:pPr>
        <w:spacing w:after="160"/>
      </w:pPr>
      <w:r>
        <w:rPr>
          <w:b/>
          <w:bCs/>
        </w:rPr>
        <w:t xml:space="preserve">Vocabulary terms</w:t>
      </w:r>
    </w:p>
    <w:p>
      <w:pPr>
        <w:pStyle w:val="ListParagraph"/>
        <w:numPr>
          <w:ilvl w:val="0"/>
          <w:numId w:val="4"/>
        </w:numPr>
        <w:spacing w:after="60"/>
      </w:pPr>
      <w:r>
        <w:t xml:space="preserve">Sphere</w:t>
      </w:r>
    </w:p>
    <w:p>
      <w:pPr>
        <w:pStyle w:val="ListParagraph"/>
        <w:numPr>
          <w:ilvl w:val="0"/>
          <w:numId w:val="4"/>
        </w:numPr>
        <w:spacing w:after="60"/>
      </w:pPr>
      <w:r>
        <w:t xml:space="preserve">Cylinder</w:t>
      </w:r>
    </w:p>
    <w:p>
      <w:pPr>
        <w:pStyle w:val="ListParagraph"/>
        <w:numPr>
          <w:ilvl w:val="0"/>
          <w:numId w:val="4"/>
        </w:numPr>
        <w:spacing w:after="60"/>
      </w:pPr>
      <w:r>
        <w:t xml:space="preserve">Radius</w:t>
      </w:r>
    </w:p>
    <w:p>
      <w:pPr>
        <w:pStyle w:val="ListParagraph"/>
        <w:numPr>
          <w:ilvl w:val="0"/>
          <w:numId w:val="4"/>
        </w:numPr>
        <w:spacing w:after="60"/>
      </w:pPr>
      <w:r>
        <w:t xml:space="preserve">Volume</w:t>
      </w:r>
    </w:p>
    <w:p>
      <w:pPr>
        <w:pStyle w:val="ListParagraph"/>
        <w:numPr>
          <w:ilvl w:val="0"/>
          <w:numId w:val="4"/>
        </w:numPr>
        <w:spacing w:after="60"/>
      </w:pPr>
      <w:r>
        <w:t xml:space="preserve">Surface Area</w:t>
      </w:r>
    </w:p>
    <w:p>
      <w:pPr>
        <w:spacing w:after="80" w:before="160"/>
      </w:pPr>
      <w:r>
        <w:rPr>
          <w:b/>
          <w:bCs/>
        </w:rPr>
        <w:t xml:space="preserve">“How to…” questions</w:t>
      </w:r>
    </w:p>
    <w:p>
      <w:pPr>
        <w:pStyle w:val="ListParagraph"/>
        <w:numPr>
          <w:ilvl w:val="0"/>
          <w:numId w:val="4"/>
        </w:numPr>
        <w:spacing w:after="60"/>
      </w:pPr>
      <w:r>
        <w:t xml:space="preserve">How to find the volume of a sphere</w:t>
      </w:r>
    </w:p>
    <w:p>
      <w:pPr>
        <w:pStyle w:val="ListParagraph"/>
        <w:numPr>
          <w:ilvl w:val="0"/>
          <w:numId w:val="4"/>
        </w:numPr>
        <w:spacing w:after="60"/>
      </w:pPr>
      <w:r>
        <w:t xml:space="preserve">How to find the volume of a cylinder</w:t>
      </w:r>
    </w:p>
    <w:p>
      <w:pPr>
        <w:pStyle w:val="ListParagraph"/>
        <w:numPr>
          <w:ilvl w:val="0"/>
          <w:numId w:val="4"/>
        </w:numPr>
        <w:spacing w:after="60"/>
      </w:pPr>
      <w:r>
        <w:t xml:space="preserve">How to find the surface area of a cylinder</w:t>
      </w:r>
    </w:p>
    <w:p>
      <w:pPr>
        <w:pStyle w:val="ListParagraph"/>
        <w:numPr>
          <w:ilvl w:val="0"/>
          <w:numId w:val="4"/>
        </w:numPr>
        <w:spacing w:after="60"/>
      </w:pPr>
      <w:r>
        <w:t xml:space="preserve">How to convert an amount with compound units</w:t>
      </w:r>
    </w:p>
    <w:p>
      <w:pPr>
        <w:pStyle w:val="ListParagraph"/>
        <w:numPr>
          <w:ilvl w:val="0"/>
          <w:numId w:val="4"/>
        </w:numPr>
        <w:spacing w:after="60"/>
      </w:pPr>
      <w:r>
        <w:t xml:space="preserve">How to find the percent of a number</w:t>
      </w:r>
    </w:p>
    <w:p>
      <w:pPr>
        <w:pStyle w:val="Heading1"/>
        <w:spacing w:after="120" w:before="240"/>
      </w:pPr>
      <w:r>
        <w:t xml:space="preserve">Appendix F — Sources</w:t>
      </w:r>
    </w:p>
    <w:p>
      <w:pPr>
        <w:spacing w:after="160"/>
      </w:pPr>
      <w:r>
        <w:t xml:space="preserve">All sourced (non-assumption) figures in this case are cited here. S5-S16 are drawn from a single real 2019 municipal engineering study (SEE the note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20"/>
        <w:gridCol w:w="1740"/>
        <w:gridCol w:w="2900"/>
        <w:gridCol w:w="1080"/>
        <w:gridCol w:w="460"/>
      </w:tblGrid>
      <w:tr>
        <w:trPr>
          <w:tblHeader/>
        </w:trPr>
        <w:tc>
          <w:tcPr>
            <w:tcW w:type="dxa" w:w="560"/>
            <w:shd w:fill="1a3a5c" w:color="auto" w:val="clear"/>
            <w:tcMar>
              <w:top w:type="dxa" w:w="60"/>
              <w:left w:type="dxa" w:w="80"/>
              <w:bottom w:type="dxa" w:w="60"/>
              <w:right w:type="dxa" w:w="80"/>
            </w:tcMar>
          </w:tcPr>
          <w:p>
            <w:r>
              <w:rPr>
                <w:b/>
                <w:bCs/>
                <w:color w:val="FFFFFF"/>
                <w:sz w:val="18"/>
                <w:szCs w:val="18"/>
              </w:rPr>
              <w:t xml:space="preserve">#</w:t>
            </w:r>
          </w:p>
        </w:tc>
        <w:tc>
          <w:tcPr>
            <w:tcW w:type="dxa" w:w="2620"/>
            <w:shd w:fill="1a3a5c" w:color="auto" w:val="clear"/>
            <w:tcMar>
              <w:top w:type="dxa" w:w="60"/>
              <w:left w:type="dxa" w:w="80"/>
              <w:bottom w:type="dxa" w:w="60"/>
              <w:right w:type="dxa" w:w="80"/>
            </w:tcMar>
          </w:tcPr>
          <w:p>
            <w:r>
              <w:rPr>
                <w:b/>
                <w:bCs/>
                <w:color w:val="FFFFFF"/>
                <w:sz w:val="18"/>
                <w:szCs w:val="18"/>
              </w:rPr>
              <w:t xml:space="preserve">Claim</w:t>
            </w:r>
          </w:p>
        </w:tc>
        <w:tc>
          <w:tcPr>
            <w:tcW w:type="dxa" w:w="1740"/>
            <w:shd w:fill="1a3a5c" w:color="auto" w:val="clear"/>
            <w:tcMar>
              <w:top w:type="dxa" w:w="60"/>
              <w:left w:type="dxa" w:w="80"/>
              <w:bottom w:type="dxa" w:w="60"/>
              <w:right w:type="dxa" w:w="80"/>
            </w:tcMar>
          </w:tcPr>
          <w:p>
            <w:r>
              <w:rPr>
                <w:b/>
                <w:bCs/>
                <w:color w:val="FFFFFF"/>
                <w:sz w:val="18"/>
                <w:szCs w:val="18"/>
              </w:rPr>
              <w:t xml:space="preserve">Value</w:t>
            </w:r>
          </w:p>
        </w:tc>
        <w:tc>
          <w:tcPr>
            <w:tcW w:type="dxa" w:w="2900"/>
            <w:shd w:fill="1a3a5c" w:color="auto" w:val="clear"/>
            <w:tcMar>
              <w:top w:type="dxa" w:w="60"/>
              <w:left w:type="dxa" w:w="80"/>
              <w:bottom w:type="dxa" w:w="60"/>
              <w:right w:type="dxa" w:w="80"/>
            </w:tcMar>
          </w:tcPr>
          <w:p>
            <w:r>
              <w:rPr>
                <w:b/>
                <w:bCs/>
                <w:color w:val="FFFFFF"/>
                <w:sz w:val="18"/>
                <w:szCs w:val="18"/>
              </w:rPr>
              <w:t xml:space="preserve">Source</w:t>
            </w:r>
          </w:p>
        </w:tc>
        <w:tc>
          <w:tcPr>
            <w:tcW w:type="dxa" w:w="1080"/>
            <w:shd w:fill="1a3a5c" w:color="auto" w:val="clear"/>
            <w:tcMar>
              <w:top w:type="dxa" w:w="60"/>
              <w:left w:type="dxa" w:w="80"/>
              <w:bottom w:type="dxa" w:w="60"/>
              <w:right w:type="dxa" w:w="80"/>
            </w:tcMar>
          </w:tcPr>
          <w:p>
            <w:r>
              <w:rPr>
                <w:b/>
                <w:bCs/>
                <w:color w:val="FFFFFF"/>
                <w:sz w:val="18"/>
                <w:szCs w:val="18"/>
              </w:rPr>
              <w:t xml:space="preserve">Date</w:t>
            </w:r>
          </w:p>
        </w:tc>
        <w:tc>
          <w:tcPr>
            <w:tcW w:type="dxa" w:w="460"/>
            <w:shd w:fill="1a3a5c" w:color="auto" w:val="clear"/>
            <w:tcMar>
              <w:top w:type="dxa" w:w="60"/>
              <w:left w:type="dxa" w:w="80"/>
              <w:bottom w:type="dxa" w:w="60"/>
              <w:right w:type="dxa" w:w="80"/>
            </w:tcMar>
          </w:tcPr>
          <w:p>
            <w:r>
              <w:rPr>
                <w:b/>
                <w:bCs/>
                <w:color w:val="FFFFFF"/>
                <w:sz w:val="18"/>
                <w:szCs w:val="18"/>
              </w:rPr>
              <w:t xml:space="preserve">Conf.</w:t>
            </w:r>
          </w:p>
        </w:tc>
      </w:tr>
      <w:tr>
        <w:tc>
          <w:tcPr>
            <w:tcW w:type="dxa" w:w="560"/>
            <w:shd w:fill="FFFFFF" w:color="auto" w:val="clear"/>
            <w:tcMar>
              <w:top w:type="dxa" w:w="60"/>
              <w:left w:type="dxa" w:w="80"/>
              <w:bottom w:type="dxa" w:w="60"/>
              <w:right w:type="dxa" w:w="80"/>
            </w:tcMar>
          </w:tcPr>
          <w:p>
            <w:r>
              <w:rPr>
                <w:sz w:val="18"/>
                <w:szCs w:val="18"/>
              </w:rPr>
              <w:t xml:space="preserve">S1</w:t>
            </w:r>
          </w:p>
        </w:tc>
        <w:tc>
          <w:tcPr>
            <w:tcW w:type="dxa" w:w="2620"/>
            <w:shd w:fill="FFFFFF" w:color="auto" w:val="clear"/>
            <w:tcMar>
              <w:top w:type="dxa" w:w="60"/>
              <w:left w:type="dxa" w:w="80"/>
              <w:bottom w:type="dxa" w:w="60"/>
              <w:right w:type="dxa" w:w="80"/>
            </w:tcMar>
          </w:tcPr>
          <w:p>
            <w:r>
              <w:rPr>
                <w:sz w:val="18"/>
                <w:szCs w:val="18"/>
              </w:rPr>
              <w:t xml:space="preserve">Average per-capita residential water demand design standard</w:t>
            </w:r>
          </w:p>
        </w:tc>
        <w:tc>
          <w:tcPr>
            <w:tcW w:type="dxa" w:w="1740"/>
            <w:shd w:fill="FFFFFF" w:color="auto" w:val="clear"/>
            <w:tcMar>
              <w:top w:type="dxa" w:w="60"/>
              <w:left w:type="dxa" w:w="80"/>
              <w:bottom w:type="dxa" w:w="60"/>
              <w:right w:type="dxa" w:w="80"/>
            </w:tcMar>
          </w:tcPr>
          <w:p>
            <w:r>
              <w:rPr>
                <w:sz w:val="18"/>
                <w:szCs w:val="18"/>
              </w:rPr>
              <w:t xml:space="preserve">200 gallons per capita per day</w:t>
            </w:r>
          </w:p>
        </w:tc>
        <w:tc>
          <w:tcPr>
            <w:tcW w:type="dxa" w:w="2900"/>
            <w:shd w:fill="FFFFFF" w:color="auto" w:val="clear"/>
            <w:tcMar>
              <w:top w:type="dxa" w:w="60"/>
              <w:left w:type="dxa" w:w="80"/>
              <w:bottom w:type="dxa" w:w="60"/>
              <w:right w:type="dxa" w:w="80"/>
            </w:tcMar>
          </w:tcPr>
          <w:p>
            <w:hyperlink w:history="1" r:id="rId6_ovfzpshzd_r5mars9uq">
              <w:r>
                <w:rPr>
                  <w:rStyle w:val="Hyperlink"/>
                </w:rPr>
                <w:t xml:space="preserve">Western Water — Design Criteria for Water Distribution Systems</w:t>
              </w:r>
            </w:hyperlink>
            <w:r>
              <w:t xml:space="preserve">, citing AWWA design practice</w:t>
            </w:r>
          </w:p>
        </w:tc>
        <w:tc>
          <w:tcPr>
            <w:tcW w:type="dxa" w:w="1080"/>
            <w:shd w:fill="FFFFFF" w:color="auto" w:val="clear"/>
            <w:tcMar>
              <w:top w:type="dxa" w:w="60"/>
              <w:left w:type="dxa" w:w="80"/>
              <w:bottom w:type="dxa" w:w="60"/>
              <w:right w:type="dxa" w:w="80"/>
            </w:tcMar>
          </w:tcPr>
          <w:p>
            <w:r>
              <w:rPr>
                <w:sz w:val="18"/>
                <w:szCs w:val="18"/>
              </w:rPr>
              <w:t xml:space="preserve">Rev. Jan 2011</w:t>
            </w:r>
          </w:p>
        </w:tc>
        <w:tc>
          <w:tcPr>
            <w:tcW w:type="dxa" w:w="460"/>
            <w:shd w:fill="FFFFFF" w:color="auto" w:val="clear"/>
            <w:tcMar>
              <w:top w:type="dxa" w:w="60"/>
              <w:left w:type="dxa" w:w="80"/>
              <w:bottom w:type="dxa" w:w="60"/>
              <w:right w:type="dxa" w:w="80"/>
            </w:tcMar>
          </w:tcPr>
          <w:p>
            <w:r>
              <w:rPr>
                <w:sz w:val="18"/>
                <w:szCs w:val="18"/>
              </w:rPr>
              <w:t xml:space="preserve">MEDIUM</w:t>
            </w:r>
          </w:p>
        </w:tc>
      </w:tr>
      <w:tr>
        <w:tc>
          <w:tcPr>
            <w:tcW w:type="dxa" w:w="560"/>
            <w:shd w:fill="F7F9FB" w:color="auto" w:val="clear"/>
            <w:tcMar>
              <w:top w:type="dxa" w:w="60"/>
              <w:left w:type="dxa" w:w="80"/>
              <w:bottom w:type="dxa" w:w="60"/>
              <w:right w:type="dxa" w:w="80"/>
            </w:tcMar>
          </w:tcPr>
          <w:p>
            <w:r>
              <w:rPr>
                <w:sz w:val="18"/>
                <w:szCs w:val="18"/>
              </w:rPr>
              <w:t xml:space="preserve">S2</w:t>
            </w:r>
          </w:p>
        </w:tc>
        <w:tc>
          <w:tcPr>
            <w:tcW w:type="dxa" w:w="2620"/>
            <w:shd w:fill="F7F9FB" w:color="auto" w:val="clear"/>
            <w:tcMar>
              <w:top w:type="dxa" w:w="60"/>
              <w:left w:type="dxa" w:w="80"/>
              <w:bottom w:type="dxa" w:w="60"/>
              <w:right w:type="dxa" w:w="80"/>
            </w:tcMar>
          </w:tcPr>
          <w:p>
            <w:r>
              <w:rPr>
                <w:sz w:val="18"/>
                <w:szCs w:val="18"/>
              </w:rPr>
              <w:t xml:space="preserve">The Ten States Standards specify that required distribution storage capacity must be equal to or greater than average daily demand</w:t>
            </w:r>
          </w:p>
        </w:tc>
        <w:tc>
          <w:tcPr>
            <w:tcW w:type="dxa" w:w="1740"/>
            <w:shd w:fill="F7F9FB" w:color="auto" w:val="clear"/>
            <w:tcMar>
              <w:top w:type="dxa" w:w="60"/>
              <w:left w:type="dxa" w:w="80"/>
              <w:bottom w:type="dxa" w:w="60"/>
              <w:right w:type="dxa" w:w="80"/>
            </w:tcMar>
          </w:tcPr>
          <w:p>
            <w:r>
              <w:rPr>
                <w:sz w:val="18"/>
                <w:szCs w:val="18"/>
              </w:rPr>
              <w:t xml:space="preserve">Storage ≥ average daily demand</w:t>
            </w:r>
          </w:p>
        </w:tc>
        <w:tc>
          <w:tcPr>
            <w:tcW w:type="dxa" w:w="2900"/>
            <w:shd w:fill="F7F9FB" w:color="auto" w:val="clear"/>
            <w:tcMar>
              <w:top w:type="dxa" w:w="60"/>
              <w:left w:type="dxa" w:w="80"/>
              <w:bottom w:type="dxa" w:w="60"/>
              <w:right w:type="dxa" w:w="80"/>
            </w:tcMar>
          </w:tcPr>
          <w:p>
            <w:hyperlink w:history="1" r:id="rIdopu9czghwr6zwdpmrscdo">
              <w:r>
                <w:rPr>
                  <w:rStyle w:val="Hyperlink"/>
                </w:rPr>
                <w:t xml:space="preserve">PDH Academy (Mark Ludwigson, P.E.) — Water Storage Tanks, Course 378</w:t>
              </w:r>
            </w:hyperlink>
            <w:r>
              <w:t xml:space="preserve">, “Tank Sizing,” Step 2</w:t>
            </w:r>
          </w:p>
        </w:tc>
        <w:tc>
          <w:tcPr>
            <w:tcW w:type="dxa" w:w="1080"/>
            <w:shd w:fill="F7F9FB" w:color="auto" w:val="clear"/>
            <w:tcMar>
              <w:top w:type="dxa" w:w="60"/>
              <w:left w:type="dxa" w:w="80"/>
              <w:bottom w:type="dxa" w:w="60"/>
              <w:right w:type="dxa" w:w="80"/>
            </w:tcMar>
          </w:tcPr>
          <w:p>
            <w:r>
              <w:rPr>
                <w:sz w:val="18"/>
                <w:szCs w:val="18"/>
              </w:rPr>
              <w:t xml:space="preserve">2022</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S3</w:t>
            </w:r>
          </w:p>
        </w:tc>
        <w:tc>
          <w:tcPr>
            <w:tcW w:type="dxa" w:w="2620"/>
            <w:shd w:fill="FFFFFF" w:color="auto" w:val="clear"/>
            <w:tcMar>
              <w:top w:type="dxa" w:w="60"/>
              <w:left w:type="dxa" w:w="80"/>
              <w:bottom w:type="dxa" w:w="60"/>
              <w:right w:type="dxa" w:w="80"/>
            </w:tcMar>
          </w:tcPr>
          <w:p>
            <w:r>
              <w:rPr>
                <w:sz w:val="18"/>
                <w:szCs w:val="18"/>
              </w:rPr>
              <w:t xml:space="preserve">A California general law city's bond ordinance calling a bond election must recite a specific amount of principal indebtedness — a single figure, not a range</w:t>
            </w:r>
          </w:p>
        </w:tc>
        <w:tc>
          <w:tcPr>
            <w:tcW w:type="dxa" w:w="1740"/>
            <w:shd w:fill="FFFFFF" w:color="auto" w:val="clear"/>
            <w:tcMar>
              <w:top w:type="dxa" w:w="60"/>
              <w:left w:type="dxa" w:w="80"/>
              <w:bottom w:type="dxa" w:w="60"/>
              <w:right w:type="dxa" w:w="80"/>
            </w:tcMar>
          </w:tcPr>
          <w:p>
            <w:r>
              <w:rPr>
                <w:sz w:val="18"/>
                <w:szCs w:val="18"/>
              </w:rPr>
              <w:t xml:space="preserve">“The ordinance shall recite: ... (c) The amount of the principal of the indebtedness.”</w:t>
            </w:r>
          </w:p>
        </w:tc>
        <w:tc>
          <w:tcPr>
            <w:tcW w:type="dxa" w:w="2900"/>
            <w:shd w:fill="FFFFFF" w:color="auto" w:val="clear"/>
            <w:tcMar>
              <w:top w:type="dxa" w:w="60"/>
              <w:left w:type="dxa" w:w="80"/>
              <w:bottom w:type="dxa" w:w="60"/>
              <w:right w:type="dxa" w:w="80"/>
            </w:tcMar>
          </w:tcPr>
          <w:p>
            <w:hyperlink w:history="1" r:id="rIdzprlzwzag8pdd-toukdwv">
              <w:r>
                <w:rPr>
                  <w:rStyle w:val="Hyperlink"/>
                </w:rPr>
                <w:t xml:space="preserve">California Government Code §43610</w:t>
              </w:r>
            </w:hyperlink>
          </w:p>
        </w:tc>
        <w:tc>
          <w:tcPr>
            <w:tcW w:type="dxa" w:w="1080"/>
            <w:shd w:fill="FFFFFF" w:color="auto" w:val="clear"/>
            <w:tcMar>
              <w:top w:type="dxa" w:w="60"/>
              <w:left w:type="dxa" w:w="80"/>
              <w:bottom w:type="dxa" w:w="60"/>
              <w:right w:type="dxa" w:w="80"/>
            </w:tcMar>
          </w:tcPr>
          <w:p>
            <w:r>
              <w:rPr>
                <w:sz w:val="18"/>
                <w:szCs w:val="18"/>
              </w:rPr>
              <w:t xml:space="preserve">current</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S4</w:t>
            </w:r>
          </w:p>
        </w:tc>
        <w:tc>
          <w:tcPr>
            <w:tcW w:type="dxa" w:w="2620"/>
            <w:shd w:fill="F7F9FB" w:color="auto" w:val="clear"/>
            <w:tcMar>
              <w:top w:type="dxa" w:w="60"/>
              <w:left w:type="dxa" w:w="80"/>
              <w:bottom w:type="dxa" w:w="60"/>
              <w:right w:type="dxa" w:w="80"/>
            </w:tcMar>
          </w:tcPr>
          <w:p>
            <w:r>
              <w:rPr>
                <w:sz w:val="18"/>
                <w:szCs w:val="18"/>
              </w:rPr>
              <w:t xml:space="preserve">Gallons-to-cubic-feet conversion factor</w:t>
            </w:r>
          </w:p>
        </w:tc>
        <w:tc>
          <w:tcPr>
            <w:tcW w:type="dxa" w:w="1740"/>
            <w:shd w:fill="F7F9FB" w:color="auto" w:val="clear"/>
            <w:tcMar>
              <w:top w:type="dxa" w:w="60"/>
              <w:left w:type="dxa" w:w="80"/>
              <w:bottom w:type="dxa" w:w="60"/>
              <w:right w:type="dxa" w:w="80"/>
            </w:tcMar>
          </w:tcPr>
          <w:p>
            <w:r>
              <w:rPr>
                <w:sz w:val="18"/>
                <w:szCs w:val="18"/>
              </w:rPr>
              <w:t xml:space="preserve">0.133681 ft³ per gallon (1 ft³ = 7.481 gal)</w:t>
            </w:r>
          </w:p>
        </w:tc>
        <w:tc>
          <w:tcPr>
            <w:tcW w:type="dxa" w:w="2900"/>
            <w:shd w:fill="F7F9FB" w:color="auto" w:val="clear"/>
            <w:tcMar>
              <w:top w:type="dxa" w:w="60"/>
              <w:left w:type="dxa" w:w="80"/>
              <w:bottom w:type="dxa" w:w="60"/>
              <w:right w:type="dxa" w:w="80"/>
            </w:tcMar>
          </w:tcPr>
          <w:p>
            <w:hyperlink w:history="1" r:id="rIdc-7oevu4rzc28pwevjwec">
              <w:r>
                <w:rPr>
                  <w:rStyle w:val="Hyperlink"/>
                </w:rPr>
                <w:t xml:space="preserve">NIST Handbook 133 (2026), Appendix E</w:t>
              </w:r>
            </w:hyperlink>
          </w:p>
        </w:tc>
        <w:tc>
          <w:tcPr>
            <w:tcW w:type="dxa" w:w="1080"/>
            <w:shd w:fill="F7F9FB" w:color="auto" w:val="clear"/>
            <w:tcMar>
              <w:top w:type="dxa" w:w="60"/>
              <w:left w:type="dxa" w:w="80"/>
              <w:bottom w:type="dxa" w:w="60"/>
              <w:right w:type="dxa" w:w="80"/>
            </w:tcMar>
          </w:tcPr>
          <w:p>
            <w:r>
              <w:rPr>
                <w:sz w:val="18"/>
                <w:szCs w:val="18"/>
              </w:rPr>
              <w:t xml:space="preserve">2026</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S5</w:t>
            </w:r>
          </w:p>
        </w:tc>
        <w:tc>
          <w:tcPr>
            <w:tcW w:type="dxa" w:w="2620"/>
            <w:shd w:fill="FFFFFF" w:color="auto" w:val="clear"/>
            <w:tcMar>
              <w:top w:type="dxa" w:w="60"/>
              <w:left w:type="dxa" w:w="80"/>
              <w:bottom w:type="dxa" w:w="60"/>
              <w:right w:type="dxa" w:w="80"/>
            </w:tcMar>
          </w:tcPr>
          <w:p>
            <w:r>
              <w:rPr>
                <w:sz w:val="18"/>
                <w:szCs w:val="18"/>
              </w:rPr>
              <w:t xml:space="preserve">Real published exterior surface area, single-pedestal spheroid elevated tank, 750,000 gal capacity</w:t>
            </w:r>
          </w:p>
        </w:tc>
        <w:tc>
          <w:tcPr>
            <w:tcW w:type="dxa" w:w="1740"/>
            <w:shd w:fill="FFFFFF" w:color="auto" w:val="clear"/>
            <w:tcMar>
              <w:top w:type="dxa" w:w="60"/>
              <w:left w:type="dxa" w:w="80"/>
              <w:bottom w:type="dxa" w:w="60"/>
              <w:right w:type="dxa" w:w="80"/>
            </w:tcMar>
          </w:tcPr>
          <w:p>
            <w:r>
              <w:rPr>
                <w:sz w:val="18"/>
                <w:szCs w:val="18"/>
              </w:rPr>
              <w:t xml:space="preserve">16,500 sq ft</w:t>
            </w:r>
          </w:p>
        </w:tc>
        <w:tc>
          <w:tcPr>
            <w:tcW w:type="dxa" w:w="2900"/>
            <w:shd w:fill="FFFFFF" w:color="auto" w:val="clear"/>
            <w:tcMar>
              <w:top w:type="dxa" w:w="60"/>
              <w:left w:type="dxa" w:w="80"/>
              <w:bottom w:type="dxa" w:w="60"/>
              <w:right w:type="dxa" w:w="80"/>
            </w:tcMar>
          </w:tcPr>
          <w:p>
            <w:hyperlink w:history="1" r:id="rIdnpl8cd6fe7bg_al_uhtsa">
              <w:r>
                <w:rPr>
                  <w:rStyle w:val="Hyperlink"/>
                </w:rPr>
                <w:t xml:space="preserve">Tnemec Company, Inc. — Estimating Guide for Surface Areas of Water Tanks (Black &amp; Veatch memo)</w:t>
              </w:r>
            </w:hyperlink>
          </w:p>
        </w:tc>
        <w:tc>
          <w:tcPr>
            <w:tcW w:type="dxa" w:w="1080"/>
            <w:shd w:fill="FFFFFF" w:color="auto" w:val="clear"/>
            <w:tcMar>
              <w:top w:type="dxa" w:w="60"/>
              <w:left w:type="dxa" w:w="80"/>
              <w:bottom w:type="dxa" w:w="60"/>
              <w:right w:type="dxa" w:w="80"/>
            </w:tcMar>
          </w:tcPr>
          <w:p>
            <w:r>
              <w:rPr>
                <w:sz w:val="18"/>
                <w:szCs w:val="18"/>
              </w:rPr>
              <w:t xml:space="preserve">2009 / memo 26 Nov 2019</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S6</w:t>
            </w:r>
          </w:p>
        </w:tc>
        <w:tc>
          <w:tcPr>
            <w:tcW w:type="dxa" w:w="2620"/>
            <w:shd w:fill="F7F9FB" w:color="auto" w:val="clear"/>
            <w:tcMar>
              <w:top w:type="dxa" w:w="60"/>
              <w:left w:type="dxa" w:w="80"/>
              <w:bottom w:type="dxa" w:w="60"/>
              <w:right w:type="dxa" w:w="80"/>
            </w:tcMar>
          </w:tcPr>
          <w:p>
            <w:r>
              <w:rPr>
                <w:sz w:val="18"/>
                <w:szCs w:val="18"/>
              </w:rPr>
              <w:t xml:space="preserve">Real fabricator-quoted tank diameter, spheroid design, 0.75 MG capacity</w:t>
            </w:r>
          </w:p>
        </w:tc>
        <w:tc>
          <w:tcPr>
            <w:tcW w:type="dxa" w:w="1740"/>
            <w:shd w:fill="F7F9FB" w:color="auto" w:val="clear"/>
            <w:tcMar>
              <w:top w:type="dxa" w:w="60"/>
              <w:left w:type="dxa" w:w="80"/>
              <w:bottom w:type="dxa" w:w="60"/>
              <w:right w:type="dxa" w:w="80"/>
            </w:tcMar>
          </w:tcPr>
          <w:p>
            <w:r>
              <w:rPr>
                <w:sz w:val="18"/>
                <w:szCs w:val="18"/>
              </w:rPr>
              <w:t xml:space="preserve">66 ft</w:t>
            </w:r>
          </w:p>
        </w:tc>
        <w:tc>
          <w:tcPr>
            <w:tcW w:type="dxa" w:w="2900"/>
            <w:shd w:fill="F7F9FB" w:color="auto" w:val="clear"/>
            <w:tcMar>
              <w:top w:type="dxa" w:w="60"/>
              <w:left w:type="dxa" w:w="80"/>
              <w:bottom w:type="dxa" w:w="60"/>
              <w:right w:type="dxa" w:w="80"/>
            </w:tcMar>
          </w:tcPr>
          <w:p>
            <w:hyperlink w:history="1" r:id="rIddd12yvjf2blxvydrglr9p">
              <w:r>
                <w:rPr>
                  <w:rStyle w:val="Hyperlink"/>
                </w:rPr>
                <w:t xml:space="preserve">Black &amp; Veatch, Stratford Water Tower Replacement Memorandum, Table 2-1</w:t>
              </w:r>
            </w:hyperlink>
          </w:p>
        </w:tc>
        <w:tc>
          <w:tcPr>
            <w:tcW w:type="dxa" w:w="1080"/>
            <w:shd w:fill="F7F9FB" w:color="auto" w:val="clear"/>
            <w:tcMar>
              <w:top w:type="dxa" w:w="60"/>
              <w:left w:type="dxa" w:w="80"/>
              <w:bottom w:type="dxa" w:w="60"/>
              <w:right w:type="dxa" w:w="80"/>
            </w:tcMar>
          </w:tcPr>
          <w:p>
            <w:r>
              <w:rPr>
                <w:sz w:val="18"/>
                <w:szCs w:val="18"/>
              </w:rPr>
              <w:t xml:space="preserve">26 Nov 2019</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S7</w:t>
            </w:r>
          </w:p>
        </w:tc>
        <w:tc>
          <w:tcPr>
            <w:tcW w:type="dxa" w:w="2620"/>
            <w:shd w:fill="FFFFFF" w:color="auto" w:val="clear"/>
            <w:tcMar>
              <w:top w:type="dxa" w:w="60"/>
              <w:left w:type="dxa" w:w="80"/>
              <w:bottom w:type="dxa" w:w="60"/>
              <w:right w:type="dxa" w:w="80"/>
            </w:tcMar>
          </w:tcPr>
          <w:p>
            <w:r>
              <w:rPr>
                <w:sz w:val="18"/>
                <w:szCs w:val="18"/>
              </w:rPr>
              <w:t xml:space="preserve">Real total capital/construction cost, spheroid elevated tank, 0.75 MG capacity</w:t>
            </w:r>
          </w:p>
        </w:tc>
        <w:tc>
          <w:tcPr>
            <w:tcW w:type="dxa" w:w="1740"/>
            <w:shd w:fill="FFFFFF" w:color="auto" w:val="clear"/>
            <w:tcMar>
              <w:top w:type="dxa" w:w="60"/>
              <w:left w:type="dxa" w:w="80"/>
              <w:bottom w:type="dxa" w:w="60"/>
              <w:right w:type="dxa" w:w="80"/>
            </w:tcMar>
          </w:tcPr>
          <w:p>
            <w:r>
              <w:rPr>
                <w:sz w:val="18"/>
                <w:szCs w:val="18"/>
              </w:rPr>
              <w:t xml:space="preserve">$2,048,000</w:t>
            </w:r>
          </w:p>
        </w:tc>
        <w:tc>
          <w:tcPr>
            <w:tcW w:type="dxa" w:w="2900"/>
            <w:shd w:fill="FFFFFF" w:color="auto" w:val="clear"/>
            <w:tcMar>
              <w:top w:type="dxa" w:w="60"/>
              <w:left w:type="dxa" w:w="80"/>
              <w:bottom w:type="dxa" w:w="60"/>
              <w:right w:type="dxa" w:w="80"/>
            </w:tcMar>
          </w:tcPr>
          <w:p>
            <w:hyperlink w:history="1" r:id="rId5tksvw1ohicu_lyw-wmsd">
              <w:r>
                <w:rPr>
                  <w:rStyle w:val="Hyperlink"/>
                </w:rPr>
                <w:t xml:space="preserve">Same memo, Table 2-4</w:t>
              </w:r>
            </w:hyperlink>
          </w:p>
        </w:tc>
        <w:tc>
          <w:tcPr>
            <w:tcW w:type="dxa" w:w="1080"/>
            <w:shd w:fill="FFFFFF" w:color="auto" w:val="clear"/>
            <w:tcMar>
              <w:top w:type="dxa" w:w="60"/>
              <w:left w:type="dxa" w:w="80"/>
              <w:bottom w:type="dxa" w:w="60"/>
              <w:right w:type="dxa" w:w="80"/>
            </w:tcMar>
          </w:tcPr>
          <w:p>
            <w:r>
              <w:rPr>
                <w:sz w:val="18"/>
                <w:szCs w:val="18"/>
              </w:rPr>
              <w:t xml:space="preserve">26 Nov 2019</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S8</w:t>
            </w:r>
          </w:p>
        </w:tc>
        <w:tc>
          <w:tcPr>
            <w:tcW w:type="dxa" w:w="2620"/>
            <w:shd w:fill="F7F9FB" w:color="auto" w:val="clear"/>
            <w:tcMar>
              <w:top w:type="dxa" w:w="60"/>
              <w:left w:type="dxa" w:w="80"/>
              <w:bottom w:type="dxa" w:w="60"/>
              <w:right w:type="dxa" w:w="80"/>
            </w:tcMar>
          </w:tcPr>
          <w:p>
            <w:r>
              <w:rPr>
                <w:sz w:val="18"/>
                <w:szCs w:val="18"/>
              </w:rPr>
              <w:t xml:space="preserve">Real 60-year NPV maintenance (recoating) cost, spheroid elevated tank, 0.75 MG capacity</w:t>
            </w:r>
          </w:p>
        </w:tc>
        <w:tc>
          <w:tcPr>
            <w:tcW w:type="dxa" w:w="1740"/>
            <w:shd w:fill="F7F9FB" w:color="auto" w:val="clear"/>
            <w:tcMar>
              <w:top w:type="dxa" w:w="60"/>
              <w:left w:type="dxa" w:w="80"/>
              <w:bottom w:type="dxa" w:w="60"/>
              <w:right w:type="dxa" w:w="80"/>
            </w:tcMar>
          </w:tcPr>
          <w:p>
            <w:r>
              <w:rPr>
                <w:sz w:val="18"/>
                <w:szCs w:val="18"/>
              </w:rPr>
              <w:t xml:space="preserve">$376,000</w:t>
            </w:r>
          </w:p>
        </w:tc>
        <w:tc>
          <w:tcPr>
            <w:tcW w:type="dxa" w:w="2900"/>
            <w:shd w:fill="F7F9FB" w:color="auto" w:val="clear"/>
            <w:tcMar>
              <w:top w:type="dxa" w:w="60"/>
              <w:left w:type="dxa" w:w="80"/>
              <w:bottom w:type="dxa" w:w="60"/>
              <w:right w:type="dxa" w:w="80"/>
            </w:tcMar>
          </w:tcPr>
          <w:p>
            <w:hyperlink w:history="1" r:id="rIdjhziifb1kruxgonbdy6ic">
              <w:r>
                <w:rPr>
                  <w:rStyle w:val="Hyperlink"/>
                </w:rPr>
                <w:t xml:space="preserve">Same memo, Table 2-4</w:t>
              </w:r>
            </w:hyperlink>
          </w:p>
        </w:tc>
        <w:tc>
          <w:tcPr>
            <w:tcW w:type="dxa" w:w="1080"/>
            <w:shd w:fill="F7F9FB" w:color="auto" w:val="clear"/>
            <w:tcMar>
              <w:top w:type="dxa" w:w="60"/>
              <w:left w:type="dxa" w:w="80"/>
              <w:bottom w:type="dxa" w:w="60"/>
              <w:right w:type="dxa" w:w="80"/>
            </w:tcMar>
          </w:tcPr>
          <w:p>
            <w:r>
              <w:rPr>
                <w:sz w:val="18"/>
                <w:szCs w:val="18"/>
              </w:rPr>
              <w:t xml:space="preserve">26 Nov 2019</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S9</w:t>
            </w:r>
          </w:p>
        </w:tc>
        <w:tc>
          <w:tcPr>
            <w:tcW w:type="dxa" w:w="2620"/>
            <w:shd w:fill="FFFFFF" w:color="auto" w:val="clear"/>
            <w:tcMar>
              <w:top w:type="dxa" w:w="60"/>
              <w:left w:type="dxa" w:w="80"/>
              <w:bottom w:type="dxa" w:w="60"/>
              <w:right w:type="dxa" w:w="80"/>
            </w:tcMar>
          </w:tcPr>
          <w:p>
            <w:r>
              <w:rPr>
                <w:sz w:val="18"/>
                <w:szCs w:val="18"/>
              </w:rPr>
              <w:t xml:space="preserve">Real total 60-year lifecycle cost, spheroid elevated tank, 0.75 MG capacity</w:t>
            </w:r>
          </w:p>
        </w:tc>
        <w:tc>
          <w:tcPr>
            <w:tcW w:type="dxa" w:w="1740"/>
            <w:shd w:fill="FFFFFF" w:color="auto" w:val="clear"/>
            <w:tcMar>
              <w:top w:type="dxa" w:w="60"/>
              <w:left w:type="dxa" w:w="80"/>
              <w:bottom w:type="dxa" w:w="60"/>
              <w:right w:type="dxa" w:w="80"/>
            </w:tcMar>
          </w:tcPr>
          <w:p>
            <w:r>
              <w:rPr>
                <w:sz w:val="18"/>
                <w:szCs w:val="18"/>
              </w:rPr>
              <w:t xml:space="preserve">$2,424,000</w:t>
            </w:r>
          </w:p>
        </w:tc>
        <w:tc>
          <w:tcPr>
            <w:tcW w:type="dxa" w:w="2900"/>
            <w:shd w:fill="FFFFFF" w:color="auto" w:val="clear"/>
            <w:tcMar>
              <w:top w:type="dxa" w:w="60"/>
              <w:left w:type="dxa" w:w="80"/>
              <w:bottom w:type="dxa" w:w="60"/>
              <w:right w:type="dxa" w:w="80"/>
            </w:tcMar>
          </w:tcPr>
          <w:p>
            <w:hyperlink w:history="1" r:id="rIdzdkgl5ienp9quyuz5kx6r">
              <w:r>
                <w:rPr>
                  <w:rStyle w:val="Hyperlink"/>
                </w:rPr>
                <w:t xml:space="preserve">Same memo, Table 2-4</w:t>
              </w:r>
            </w:hyperlink>
          </w:p>
        </w:tc>
        <w:tc>
          <w:tcPr>
            <w:tcW w:type="dxa" w:w="1080"/>
            <w:shd w:fill="FFFFFF" w:color="auto" w:val="clear"/>
            <w:tcMar>
              <w:top w:type="dxa" w:w="60"/>
              <w:left w:type="dxa" w:w="80"/>
              <w:bottom w:type="dxa" w:w="60"/>
              <w:right w:type="dxa" w:w="80"/>
            </w:tcMar>
          </w:tcPr>
          <w:p>
            <w:r>
              <w:rPr>
                <w:sz w:val="18"/>
                <w:szCs w:val="18"/>
              </w:rPr>
              <w:t xml:space="preserve">26 Nov 2019</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S10</w:t>
            </w:r>
          </w:p>
        </w:tc>
        <w:tc>
          <w:tcPr>
            <w:tcW w:type="dxa" w:w="2620"/>
            <w:shd w:fill="F7F9FB" w:color="auto" w:val="clear"/>
            <w:tcMar>
              <w:top w:type="dxa" w:w="60"/>
              <w:left w:type="dxa" w:w="80"/>
              <w:bottom w:type="dxa" w:w="60"/>
              <w:right w:type="dxa" w:w="80"/>
            </w:tcMar>
          </w:tcPr>
          <w:p>
            <w:r>
              <w:rPr>
                <w:sz w:val="18"/>
                <w:szCs w:val="18"/>
              </w:rPr>
              <w:t xml:space="preserve">Real total 60-year lifecycle cost per gallon, spheroid, 0.75 MG capacity</w:t>
            </w:r>
          </w:p>
        </w:tc>
        <w:tc>
          <w:tcPr>
            <w:tcW w:type="dxa" w:w="1740"/>
            <w:shd w:fill="F7F9FB" w:color="auto" w:val="clear"/>
            <w:tcMar>
              <w:top w:type="dxa" w:w="60"/>
              <w:left w:type="dxa" w:w="80"/>
              <w:bottom w:type="dxa" w:w="60"/>
              <w:right w:type="dxa" w:w="80"/>
            </w:tcMar>
          </w:tcPr>
          <w:p>
            <w:r>
              <w:rPr>
                <w:sz w:val="18"/>
                <w:szCs w:val="18"/>
              </w:rPr>
              <w:t xml:space="preserve">$3.23/gal</w:t>
            </w:r>
          </w:p>
        </w:tc>
        <w:tc>
          <w:tcPr>
            <w:tcW w:type="dxa" w:w="2900"/>
            <w:shd w:fill="F7F9FB" w:color="auto" w:val="clear"/>
            <w:tcMar>
              <w:top w:type="dxa" w:w="60"/>
              <w:left w:type="dxa" w:w="80"/>
              <w:bottom w:type="dxa" w:w="60"/>
              <w:right w:type="dxa" w:w="80"/>
            </w:tcMar>
          </w:tcPr>
          <w:p>
            <w:hyperlink w:history="1" r:id="rIdcffij5jpzknuqlztj7r0h">
              <w:r>
                <w:rPr>
                  <w:rStyle w:val="Hyperlink"/>
                </w:rPr>
                <w:t xml:space="preserve">Same memo, Table 2-5</w:t>
              </w:r>
            </w:hyperlink>
          </w:p>
        </w:tc>
        <w:tc>
          <w:tcPr>
            <w:tcW w:type="dxa" w:w="1080"/>
            <w:shd w:fill="F7F9FB" w:color="auto" w:val="clear"/>
            <w:tcMar>
              <w:top w:type="dxa" w:w="60"/>
              <w:left w:type="dxa" w:w="80"/>
              <w:bottom w:type="dxa" w:w="60"/>
              <w:right w:type="dxa" w:w="80"/>
            </w:tcMar>
          </w:tcPr>
          <w:p>
            <w:r>
              <w:rPr>
                <w:sz w:val="18"/>
                <w:szCs w:val="18"/>
              </w:rPr>
              <w:t xml:space="preserve">26 Nov 2019</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S11</w:t>
            </w:r>
          </w:p>
        </w:tc>
        <w:tc>
          <w:tcPr>
            <w:tcW w:type="dxa" w:w="2620"/>
            <w:shd w:fill="FFFFFF" w:color="auto" w:val="clear"/>
            <w:tcMar>
              <w:top w:type="dxa" w:w="60"/>
              <w:left w:type="dxa" w:w="80"/>
              <w:bottom w:type="dxa" w:w="60"/>
              <w:right w:type="dxa" w:w="80"/>
            </w:tcMar>
          </w:tcPr>
          <w:p>
            <w:r>
              <w:rPr>
                <w:sz w:val="18"/>
                <w:szCs w:val="18"/>
              </w:rPr>
              <w:t xml:space="preserve">Real published exterior surface area, multi-column elevated tank, 750,000 gal capacity</w:t>
            </w:r>
          </w:p>
        </w:tc>
        <w:tc>
          <w:tcPr>
            <w:tcW w:type="dxa" w:w="1740"/>
            <w:shd w:fill="FFFFFF" w:color="auto" w:val="clear"/>
            <w:tcMar>
              <w:top w:type="dxa" w:w="60"/>
              <w:left w:type="dxa" w:w="80"/>
              <w:bottom w:type="dxa" w:w="60"/>
              <w:right w:type="dxa" w:w="80"/>
            </w:tcMar>
          </w:tcPr>
          <w:p>
            <w:r>
              <w:rPr>
                <w:sz w:val="18"/>
                <w:szCs w:val="18"/>
              </w:rPr>
              <w:t xml:space="preserve">29,100 sq ft</w:t>
            </w:r>
          </w:p>
        </w:tc>
        <w:tc>
          <w:tcPr>
            <w:tcW w:type="dxa" w:w="2900"/>
            <w:shd w:fill="FFFFFF" w:color="auto" w:val="clear"/>
            <w:tcMar>
              <w:top w:type="dxa" w:w="60"/>
              <w:left w:type="dxa" w:w="80"/>
              <w:bottom w:type="dxa" w:w="60"/>
              <w:right w:type="dxa" w:w="80"/>
            </w:tcMar>
          </w:tcPr>
          <w:p>
            <w:hyperlink w:history="1" r:id="rIdxds-jsqwdajwziariqyeh">
              <w:r>
                <w:rPr>
                  <w:rStyle w:val="Hyperlink"/>
                </w:rPr>
                <w:t xml:space="preserve">Tnemec Company, Inc. Estimating Guide, same memo Appendix B</w:t>
              </w:r>
            </w:hyperlink>
          </w:p>
        </w:tc>
        <w:tc>
          <w:tcPr>
            <w:tcW w:type="dxa" w:w="1080"/>
            <w:shd w:fill="FFFFFF" w:color="auto" w:val="clear"/>
            <w:tcMar>
              <w:top w:type="dxa" w:w="60"/>
              <w:left w:type="dxa" w:w="80"/>
              <w:bottom w:type="dxa" w:w="60"/>
              <w:right w:type="dxa" w:w="80"/>
            </w:tcMar>
          </w:tcPr>
          <w:p>
            <w:r>
              <w:rPr>
                <w:sz w:val="18"/>
                <w:szCs w:val="18"/>
              </w:rPr>
              <w:t xml:space="preserve">2009 / memo 26 Nov 2019</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S12</w:t>
            </w:r>
          </w:p>
        </w:tc>
        <w:tc>
          <w:tcPr>
            <w:tcW w:type="dxa" w:w="2620"/>
            <w:shd w:fill="F7F9FB" w:color="auto" w:val="clear"/>
            <w:tcMar>
              <w:top w:type="dxa" w:w="60"/>
              <w:left w:type="dxa" w:w="80"/>
              <w:bottom w:type="dxa" w:w="60"/>
              <w:right w:type="dxa" w:w="80"/>
            </w:tcMar>
          </w:tcPr>
          <w:p>
            <w:r>
              <w:rPr>
                <w:sz w:val="18"/>
                <w:szCs w:val="18"/>
              </w:rPr>
              <w:t xml:space="preserve">Real fabricator-quoted tank diameter, multi-column design, 0.75 MG capacity</w:t>
            </w:r>
          </w:p>
        </w:tc>
        <w:tc>
          <w:tcPr>
            <w:tcW w:type="dxa" w:w="1740"/>
            <w:shd w:fill="F7F9FB" w:color="auto" w:val="clear"/>
            <w:tcMar>
              <w:top w:type="dxa" w:w="60"/>
              <w:left w:type="dxa" w:w="80"/>
              <w:bottom w:type="dxa" w:w="60"/>
              <w:right w:type="dxa" w:w="80"/>
            </w:tcMar>
          </w:tcPr>
          <w:p>
            <w:r>
              <w:rPr>
                <w:sz w:val="18"/>
                <w:szCs w:val="18"/>
              </w:rPr>
              <w:t xml:space="preserve">60 ft</w:t>
            </w:r>
          </w:p>
        </w:tc>
        <w:tc>
          <w:tcPr>
            <w:tcW w:type="dxa" w:w="2900"/>
            <w:shd w:fill="F7F9FB" w:color="auto" w:val="clear"/>
            <w:tcMar>
              <w:top w:type="dxa" w:w="60"/>
              <w:left w:type="dxa" w:w="80"/>
              <w:bottom w:type="dxa" w:w="60"/>
              <w:right w:type="dxa" w:w="80"/>
            </w:tcMar>
          </w:tcPr>
          <w:p>
            <w:hyperlink w:history="1" r:id="rId53-uyic21d0gplhiyjdhz">
              <w:r>
                <w:rPr>
                  <w:rStyle w:val="Hyperlink"/>
                </w:rPr>
                <w:t xml:space="preserve">Same memo, Table 2-1</w:t>
              </w:r>
            </w:hyperlink>
          </w:p>
        </w:tc>
        <w:tc>
          <w:tcPr>
            <w:tcW w:type="dxa" w:w="1080"/>
            <w:shd w:fill="F7F9FB" w:color="auto" w:val="clear"/>
            <w:tcMar>
              <w:top w:type="dxa" w:w="60"/>
              <w:left w:type="dxa" w:w="80"/>
              <w:bottom w:type="dxa" w:w="60"/>
              <w:right w:type="dxa" w:w="80"/>
            </w:tcMar>
          </w:tcPr>
          <w:p>
            <w:r>
              <w:rPr>
                <w:sz w:val="18"/>
                <w:szCs w:val="18"/>
              </w:rPr>
              <w:t xml:space="preserve">26 Nov 2019</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S13</w:t>
            </w:r>
          </w:p>
        </w:tc>
        <w:tc>
          <w:tcPr>
            <w:tcW w:type="dxa" w:w="2620"/>
            <w:shd w:fill="FFFFFF" w:color="auto" w:val="clear"/>
            <w:tcMar>
              <w:top w:type="dxa" w:w="60"/>
              <w:left w:type="dxa" w:w="80"/>
              <w:bottom w:type="dxa" w:w="60"/>
              <w:right w:type="dxa" w:w="80"/>
            </w:tcMar>
          </w:tcPr>
          <w:p>
            <w:r>
              <w:rPr>
                <w:sz w:val="18"/>
                <w:szCs w:val="18"/>
              </w:rPr>
              <w:t xml:space="preserve">Real total capital/construction cost, multi-column elevated tank, 0.75 MG capacity</w:t>
            </w:r>
          </w:p>
        </w:tc>
        <w:tc>
          <w:tcPr>
            <w:tcW w:type="dxa" w:w="1740"/>
            <w:shd w:fill="FFFFFF" w:color="auto" w:val="clear"/>
            <w:tcMar>
              <w:top w:type="dxa" w:w="60"/>
              <w:left w:type="dxa" w:w="80"/>
              <w:bottom w:type="dxa" w:w="60"/>
              <w:right w:type="dxa" w:w="80"/>
            </w:tcMar>
          </w:tcPr>
          <w:p>
            <w:r>
              <w:rPr>
                <w:sz w:val="18"/>
                <w:szCs w:val="18"/>
              </w:rPr>
              <w:t xml:space="preserve">$1,595,000</w:t>
            </w:r>
          </w:p>
        </w:tc>
        <w:tc>
          <w:tcPr>
            <w:tcW w:type="dxa" w:w="2900"/>
            <w:shd w:fill="FFFFFF" w:color="auto" w:val="clear"/>
            <w:tcMar>
              <w:top w:type="dxa" w:w="60"/>
              <w:left w:type="dxa" w:w="80"/>
              <w:bottom w:type="dxa" w:w="60"/>
              <w:right w:type="dxa" w:w="80"/>
            </w:tcMar>
          </w:tcPr>
          <w:p>
            <w:hyperlink w:history="1" r:id="rIdltcpypc4xgbd3xudtqvzu">
              <w:r>
                <w:rPr>
                  <w:rStyle w:val="Hyperlink"/>
                </w:rPr>
                <w:t xml:space="preserve">Same memo, Table 2-4</w:t>
              </w:r>
            </w:hyperlink>
          </w:p>
        </w:tc>
        <w:tc>
          <w:tcPr>
            <w:tcW w:type="dxa" w:w="1080"/>
            <w:shd w:fill="FFFFFF" w:color="auto" w:val="clear"/>
            <w:tcMar>
              <w:top w:type="dxa" w:w="60"/>
              <w:left w:type="dxa" w:w="80"/>
              <w:bottom w:type="dxa" w:w="60"/>
              <w:right w:type="dxa" w:w="80"/>
            </w:tcMar>
          </w:tcPr>
          <w:p>
            <w:r>
              <w:rPr>
                <w:sz w:val="18"/>
                <w:szCs w:val="18"/>
              </w:rPr>
              <w:t xml:space="preserve">26 Nov 2019</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S14</w:t>
            </w:r>
          </w:p>
        </w:tc>
        <w:tc>
          <w:tcPr>
            <w:tcW w:type="dxa" w:w="2620"/>
            <w:shd w:fill="F7F9FB" w:color="auto" w:val="clear"/>
            <w:tcMar>
              <w:top w:type="dxa" w:w="60"/>
              <w:left w:type="dxa" w:w="80"/>
              <w:bottom w:type="dxa" w:w="60"/>
              <w:right w:type="dxa" w:w="80"/>
            </w:tcMar>
          </w:tcPr>
          <w:p>
            <w:r>
              <w:rPr>
                <w:sz w:val="18"/>
                <w:szCs w:val="18"/>
              </w:rPr>
              <w:t xml:space="preserve">Real 60-year NPV maintenance (recoating) cost, multi-column elevated tank, 0.75 MG capacity</w:t>
            </w:r>
          </w:p>
        </w:tc>
        <w:tc>
          <w:tcPr>
            <w:tcW w:type="dxa" w:w="1740"/>
            <w:shd w:fill="F7F9FB" w:color="auto" w:val="clear"/>
            <w:tcMar>
              <w:top w:type="dxa" w:w="60"/>
              <w:left w:type="dxa" w:w="80"/>
              <w:bottom w:type="dxa" w:w="60"/>
              <w:right w:type="dxa" w:w="80"/>
            </w:tcMar>
          </w:tcPr>
          <w:p>
            <w:r>
              <w:rPr>
                <w:sz w:val="18"/>
                <w:szCs w:val="18"/>
              </w:rPr>
              <w:t xml:space="preserve">$490,000</w:t>
            </w:r>
          </w:p>
        </w:tc>
        <w:tc>
          <w:tcPr>
            <w:tcW w:type="dxa" w:w="2900"/>
            <w:shd w:fill="F7F9FB" w:color="auto" w:val="clear"/>
            <w:tcMar>
              <w:top w:type="dxa" w:w="60"/>
              <w:left w:type="dxa" w:w="80"/>
              <w:bottom w:type="dxa" w:w="60"/>
              <w:right w:type="dxa" w:w="80"/>
            </w:tcMar>
          </w:tcPr>
          <w:p>
            <w:hyperlink w:history="1" r:id="rId9jt0ds5-cfhbckusfon9r">
              <w:r>
                <w:rPr>
                  <w:rStyle w:val="Hyperlink"/>
                </w:rPr>
                <w:t xml:space="preserve">Same memo, Table 2-4</w:t>
              </w:r>
            </w:hyperlink>
          </w:p>
        </w:tc>
        <w:tc>
          <w:tcPr>
            <w:tcW w:type="dxa" w:w="1080"/>
            <w:shd w:fill="F7F9FB" w:color="auto" w:val="clear"/>
            <w:tcMar>
              <w:top w:type="dxa" w:w="60"/>
              <w:left w:type="dxa" w:w="80"/>
              <w:bottom w:type="dxa" w:w="60"/>
              <w:right w:type="dxa" w:w="80"/>
            </w:tcMar>
          </w:tcPr>
          <w:p>
            <w:r>
              <w:rPr>
                <w:sz w:val="18"/>
                <w:szCs w:val="18"/>
              </w:rPr>
              <w:t xml:space="preserve">26 Nov 2019</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S15</w:t>
            </w:r>
          </w:p>
        </w:tc>
        <w:tc>
          <w:tcPr>
            <w:tcW w:type="dxa" w:w="2620"/>
            <w:shd w:fill="FFFFFF" w:color="auto" w:val="clear"/>
            <w:tcMar>
              <w:top w:type="dxa" w:w="60"/>
              <w:left w:type="dxa" w:w="80"/>
              <w:bottom w:type="dxa" w:w="60"/>
              <w:right w:type="dxa" w:w="80"/>
            </w:tcMar>
          </w:tcPr>
          <w:p>
            <w:r>
              <w:rPr>
                <w:sz w:val="18"/>
                <w:szCs w:val="18"/>
              </w:rPr>
              <w:t xml:space="preserve">Real total 60-year lifecycle cost, multi-column elevated tank, 0.75 MG capacity</w:t>
            </w:r>
          </w:p>
        </w:tc>
        <w:tc>
          <w:tcPr>
            <w:tcW w:type="dxa" w:w="1740"/>
            <w:shd w:fill="FFFFFF" w:color="auto" w:val="clear"/>
            <w:tcMar>
              <w:top w:type="dxa" w:w="60"/>
              <w:left w:type="dxa" w:w="80"/>
              <w:bottom w:type="dxa" w:w="60"/>
              <w:right w:type="dxa" w:w="80"/>
            </w:tcMar>
          </w:tcPr>
          <w:p>
            <w:r>
              <w:rPr>
                <w:sz w:val="18"/>
                <w:szCs w:val="18"/>
              </w:rPr>
              <w:t xml:space="preserve">$2,085,000</w:t>
            </w:r>
          </w:p>
        </w:tc>
        <w:tc>
          <w:tcPr>
            <w:tcW w:type="dxa" w:w="2900"/>
            <w:shd w:fill="FFFFFF" w:color="auto" w:val="clear"/>
            <w:tcMar>
              <w:top w:type="dxa" w:w="60"/>
              <w:left w:type="dxa" w:w="80"/>
              <w:bottom w:type="dxa" w:w="60"/>
              <w:right w:type="dxa" w:w="80"/>
            </w:tcMar>
          </w:tcPr>
          <w:p>
            <w:hyperlink w:history="1" r:id="rIdammhpvg0i0-cvsdbdkzwu">
              <w:r>
                <w:rPr>
                  <w:rStyle w:val="Hyperlink"/>
                </w:rPr>
                <w:t xml:space="preserve">Same memo, Table 2-4</w:t>
              </w:r>
            </w:hyperlink>
          </w:p>
        </w:tc>
        <w:tc>
          <w:tcPr>
            <w:tcW w:type="dxa" w:w="1080"/>
            <w:shd w:fill="FFFFFF" w:color="auto" w:val="clear"/>
            <w:tcMar>
              <w:top w:type="dxa" w:w="60"/>
              <w:left w:type="dxa" w:w="80"/>
              <w:bottom w:type="dxa" w:w="60"/>
              <w:right w:type="dxa" w:w="80"/>
            </w:tcMar>
          </w:tcPr>
          <w:p>
            <w:r>
              <w:rPr>
                <w:sz w:val="18"/>
                <w:szCs w:val="18"/>
              </w:rPr>
              <w:t xml:space="preserve">26 Nov 2019</w:t>
            </w:r>
          </w:p>
        </w:tc>
        <w:tc>
          <w:tcPr>
            <w:tcW w:type="dxa" w:w="460"/>
            <w:shd w:fill="FFFFFF" w:color="auto" w:val="clear"/>
            <w:tcMar>
              <w:top w:type="dxa" w:w="60"/>
              <w:left w:type="dxa" w:w="80"/>
              <w:bottom w:type="dxa" w:w="60"/>
              <w:right w:type="dxa" w:w="80"/>
            </w:tcMar>
          </w:tcPr>
          <w:p>
            <w:r>
              <w:rPr>
                <w:sz w:val="18"/>
                <w:szCs w:val="18"/>
              </w:rPr>
              <w:t xml:space="preserve">HIGH</w:t>
            </w:r>
          </w:p>
        </w:tc>
      </w:tr>
      <w:tr>
        <w:tc>
          <w:tcPr>
            <w:tcW w:type="dxa" w:w="560"/>
            <w:shd w:fill="F7F9FB" w:color="auto" w:val="clear"/>
            <w:tcMar>
              <w:top w:type="dxa" w:w="60"/>
              <w:left w:type="dxa" w:w="80"/>
              <w:bottom w:type="dxa" w:w="60"/>
              <w:right w:type="dxa" w:w="80"/>
            </w:tcMar>
          </w:tcPr>
          <w:p>
            <w:r>
              <w:rPr>
                <w:sz w:val="18"/>
                <w:szCs w:val="18"/>
              </w:rPr>
              <w:t xml:space="preserve">S16</w:t>
            </w:r>
          </w:p>
        </w:tc>
        <w:tc>
          <w:tcPr>
            <w:tcW w:type="dxa" w:w="2620"/>
            <w:shd w:fill="F7F9FB" w:color="auto" w:val="clear"/>
            <w:tcMar>
              <w:top w:type="dxa" w:w="60"/>
              <w:left w:type="dxa" w:w="80"/>
              <w:bottom w:type="dxa" w:w="60"/>
              <w:right w:type="dxa" w:w="80"/>
            </w:tcMar>
          </w:tcPr>
          <w:p>
            <w:r>
              <w:rPr>
                <w:sz w:val="18"/>
                <w:szCs w:val="18"/>
              </w:rPr>
              <w:t xml:space="preserve">Real total 60-year lifecycle cost per gallon, multi-column, 0.75 MG capacity</w:t>
            </w:r>
          </w:p>
        </w:tc>
        <w:tc>
          <w:tcPr>
            <w:tcW w:type="dxa" w:w="1740"/>
            <w:shd w:fill="F7F9FB" w:color="auto" w:val="clear"/>
            <w:tcMar>
              <w:top w:type="dxa" w:w="60"/>
              <w:left w:type="dxa" w:w="80"/>
              <w:bottom w:type="dxa" w:w="60"/>
              <w:right w:type="dxa" w:w="80"/>
            </w:tcMar>
          </w:tcPr>
          <w:p>
            <w:r>
              <w:rPr>
                <w:sz w:val="18"/>
                <w:szCs w:val="18"/>
              </w:rPr>
              <w:t xml:space="preserve">$2.78/gal</w:t>
            </w:r>
          </w:p>
        </w:tc>
        <w:tc>
          <w:tcPr>
            <w:tcW w:type="dxa" w:w="2900"/>
            <w:shd w:fill="F7F9FB" w:color="auto" w:val="clear"/>
            <w:tcMar>
              <w:top w:type="dxa" w:w="60"/>
              <w:left w:type="dxa" w:w="80"/>
              <w:bottom w:type="dxa" w:w="60"/>
              <w:right w:type="dxa" w:w="80"/>
            </w:tcMar>
          </w:tcPr>
          <w:p>
            <w:hyperlink w:history="1" r:id="rIdsp2fbs5sqo_xnwz6hhzp9">
              <w:r>
                <w:rPr>
                  <w:rStyle w:val="Hyperlink"/>
                </w:rPr>
                <w:t xml:space="preserve">Same memo, Table 2-5</w:t>
              </w:r>
            </w:hyperlink>
          </w:p>
        </w:tc>
        <w:tc>
          <w:tcPr>
            <w:tcW w:type="dxa" w:w="1080"/>
            <w:shd w:fill="F7F9FB" w:color="auto" w:val="clear"/>
            <w:tcMar>
              <w:top w:type="dxa" w:w="60"/>
              <w:left w:type="dxa" w:w="80"/>
              <w:bottom w:type="dxa" w:w="60"/>
              <w:right w:type="dxa" w:w="80"/>
            </w:tcMar>
          </w:tcPr>
          <w:p>
            <w:r>
              <w:rPr>
                <w:sz w:val="18"/>
                <w:szCs w:val="18"/>
              </w:rPr>
              <w:t xml:space="preserve">26 Nov 2019</w:t>
            </w:r>
          </w:p>
        </w:tc>
        <w:tc>
          <w:tcPr>
            <w:tcW w:type="dxa" w:w="460"/>
            <w:shd w:fill="F7F9FB" w:color="auto" w:val="clear"/>
            <w:tcMar>
              <w:top w:type="dxa" w:w="60"/>
              <w:left w:type="dxa" w:w="80"/>
              <w:bottom w:type="dxa" w:w="60"/>
              <w:right w:type="dxa" w:w="80"/>
            </w:tcMar>
          </w:tcPr>
          <w:p>
            <w:r>
              <w:rPr>
                <w:sz w:val="18"/>
                <w:szCs w:val="18"/>
              </w:rPr>
              <w:t xml:space="preserve">HIGH</w:t>
            </w:r>
          </w:p>
        </w:tc>
      </w:tr>
      <w:tr>
        <w:tc>
          <w:tcPr>
            <w:tcW w:type="dxa" w:w="560"/>
            <w:shd w:fill="FFFFFF" w:color="auto" w:val="clear"/>
            <w:tcMar>
              <w:top w:type="dxa" w:w="60"/>
              <w:left w:type="dxa" w:w="80"/>
              <w:bottom w:type="dxa" w:w="60"/>
              <w:right w:type="dxa" w:w="80"/>
            </w:tcMar>
          </w:tcPr>
          <w:p>
            <w:r>
              <w:rPr>
                <w:sz w:val="18"/>
                <w:szCs w:val="18"/>
              </w:rPr>
              <w:t xml:space="preserve">S17</w:t>
            </w:r>
          </w:p>
        </w:tc>
        <w:tc>
          <w:tcPr>
            <w:tcW w:type="dxa" w:w="2620"/>
            <w:shd w:fill="FFFFFF" w:color="auto" w:val="clear"/>
            <w:tcMar>
              <w:top w:type="dxa" w:w="60"/>
              <w:left w:type="dxa" w:w="80"/>
              <w:bottom w:type="dxa" w:w="60"/>
              <w:right w:type="dxa" w:w="80"/>
            </w:tcMar>
          </w:tcPr>
          <w:p>
            <w:r>
              <w:rPr>
                <w:sz w:val="18"/>
                <w:szCs w:val="18"/>
              </w:rPr>
              <w:t xml:space="preserve">Number of qualified fabricators at 0.5-0.75 MG capacity: Spheroid = 3 (McDermott, Caldwell Tanks, Landmark Structures); Multi-Column = 1 (Caldwell Tanks only, “sole source”); real engineering-firm caution about the resulting lack of competitive bidding for the Multi-Column</w:t>
            </w:r>
          </w:p>
        </w:tc>
        <w:tc>
          <w:tcPr>
            <w:tcW w:type="dxa" w:w="1740"/>
            <w:shd w:fill="FFFFFF" w:color="auto" w:val="clear"/>
            <w:tcMar>
              <w:top w:type="dxa" w:w="60"/>
              <w:left w:type="dxa" w:w="80"/>
              <w:bottom w:type="dxa" w:w="60"/>
              <w:right w:type="dxa" w:w="80"/>
            </w:tcMar>
          </w:tcPr>
          <w:p>
            <w:r>
              <w:rPr>
                <w:sz w:val="18"/>
                <w:szCs w:val="18"/>
              </w:rPr>
              <w:t xml:space="preserve">Spheroid: 3 fabricators; Multi-Column: 1 fabricator</w:t>
            </w:r>
          </w:p>
        </w:tc>
        <w:tc>
          <w:tcPr>
            <w:tcW w:type="dxa" w:w="2900"/>
            <w:shd w:fill="FFFFFF" w:color="auto" w:val="clear"/>
            <w:tcMar>
              <w:top w:type="dxa" w:w="60"/>
              <w:left w:type="dxa" w:w="80"/>
              <w:bottom w:type="dxa" w:w="60"/>
              <w:right w:type="dxa" w:w="80"/>
            </w:tcMar>
          </w:tcPr>
          <w:p>
            <w:hyperlink w:history="1" r:id="rId0g6r8sntuo1w_kopulzxd">
              <w:r>
                <w:rPr>
                  <w:rStyle w:val="Hyperlink"/>
                </w:rPr>
                <w:t xml:space="preserve">Same memo, §2.1.2.4 and §3.1 (“Recommendations”)</w:t>
              </w:r>
            </w:hyperlink>
          </w:p>
        </w:tc>
        <w:tc>
          <w:tcPr>
            <w:tcW w:type="dxa" w:w="1080"/>
            <w:shd w:fill="FFFFFF" w:color="auto" w:val="clear"/>
            <w:tcMar>
              <w:top w:type="dxa" w:w="60"/>
              <w:left w:type="dxa" w:w="80"/>
              <w:bottom w:type="dxa" w:w="60"/>
              <w:right w:type="dxa" w:w="80"/>
            </w:tcMar>
          </w:tcPr>
          <w:p>
            <w:r>
              <w:rPr>
                <w:sz w:val="18"/>
                <w:szCs w:val="18"/>
              </w:rPr>
              <w:t xml:space="preserve">26 Nov 2019</w:t>
            </w:r>
          </w:p>
        </w:tc>
        <w:tc>
          <w:tcPr>
            <w:tcW w:type="dxa" w:w="460"/>
            <w:shd w:fill="FFFFFF" w:color="auto" w:val="clear"/>
            <w:tcMar>
              <w:top w:type="dxa" w:w="60"/>
              <w:left w:type="dxa" w:w="80"/>
              <w:bottom w:type="dxa" w:w="60"/>
              <w:right w:type="dxa" w:w="80"/>
            </w:tcMar>
          </w:tcPr>
          <w:p>
            <w:r>
              <w:rPr>
                <w:sz w:val="18"/>
                <w:szCs w:val="18"/>
              </w:rPr>
              <w:t xml:space="preserve">HIGH</w:t>
            </w:r>
          </w:p>
        </w:tc>
      </w:tr>
    </w:tbl>
    <w:p>
      <w:pPr>
        <w:spacing w:after="160" w:before="160"/>
      </w:pPr>
      <w:r>
        <w:t xml:space="preserve">Note on S5-S17: all eleven figures come from a single real, professional-engineer-sealed 2019 memorandum (project no. 402979) prepared by Black &amp; Veatch for the City of Lawrence, Kansas, evaluating real fabricator budgetary quotes (McDermott, Caldwell Tanks, Landmark Structures) for an actual elevated-tank replacement at that city's Stratford Water Tower site — adapted here to Devon's fictional town at the same real 0.75-million-gallon (750,000 gal) capacity the memo itself evaluates.</w:t>
      </w:r>
    </w:p>
    <w:p>
      <w:pPr>
        <w:pStyle w:val="Heading1"/>
        <w:spacing w:after="120" w:before="240"/>
      </w:pPr>
      <w:r>
        <w:t xml:space="preserve">Appendix G — Fabricator Competition and Procurement Risk</w:t>
      </w:r>
    </w:p>
    <w:p>
      <w:pPr>
        <w:spacing w:after="160"/>
      </w:pPr>
      <w:r>
        <w:rPr>
          <w:i/>
          <w:iCs/>
        </w:rPr>
        <w:t xml:space="preserve">Referenced in Background and Challenge 2c. Real data from the same 2019 Black &amp; Veatch memorandum (SEE APPENDIX F, S17) — not an invented scenario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60"/>
        <w:gridCol w:w="4160"/>
      </w:tblGrid>
      <w:tr>
        <w:trPr>
          <w:tblHeader/>
        </w:trPr>
        <w:tc>
          <w:tcPr>
            <w:tcW w:type="dxa" w:w="2340"/>
            <w:shd w:fill="1a3a5c" w:color="auto" w:val="clear"/>
            <w:tcMar>
              <w:top w:type="dxa" w:w="60"/>
              <w:left w:type="dxa" w:w="80"/>
              <w:bottom w:type="dxa" w:w="60"/>
              <w:right w:type="dxa" w:w="80"/>
            </w:tcMar>
          </w:tcPr>
          <w:p>
            <w:r>
              <w:rPr>
                <w:b/>
                <w:bCs/>
                <w:color w:val="FFFFFF"/>
                <w:sz w:val="18"/>
                <w:szCs w:val="18"/>
              </w:rPr>
              <w:t xml:space="preserve">Design</w:t>
            </w:r>
          </w:p>
        </w:tc>
        <w:tc>
          <w:tcPr>
            <w:tcW w:type="dxa" w:w="2860"/>
            <w:shd w:fill="1a3a5c" w:color="auto" w:val="clear"/>
            <w:tcMar>
              <w:top w:type="dxa" w:w="60"/>
              <w:left w:type="dxa" w:w="80"/>
              <w:bottom w:type="dxa" w:w="60"/>
              <w:right w:type="dxa" w:w="80"/>
            </w:tcMar>
          </w:tcPr>
          <w:p>
            <w:r>
              <w:rPr>
                <w:b/>
                <w:bCs/>
                <w:color w:val="FFFFFF"/>
                <w:sz w:val="18"/>
                <w:szCs w:val="18"/>
              </w:rPr>
              <w:t xml:space="preserve">Qualified fabricators at this capacity</w:t>
            </w:r>
          </w:p>
        </w:tc>
        <w:tc>
          <w:tcPr>
            <w:tcW w:type="dxa" w:w="4160"/>
            <w:shd w:fill="1a3a5c" w:color="auto" w:val="clear"/>
            <w:tcMar>
              <w:top w:type="dxa" w:w="60"/>
              <w:left w:type="dxa" w:w="80"/>
              <w:bottom w:type="dxa" w:w="60"/>
              <w:right w:type="dxa" w:w="80"/>
            </w:tcMar>
          </w:tcPr>
          <w:p>
            <w:r>
              <w:rPr>
                <w:b/>
                <w:bCs/>
                <w:color w:val="FFFFFF"/>
                <w:sz w:val="18"/>
                <w:szCs w:val="18"/>
              </w:rPr>
              <w:t xml:space="preserve">Real engineering-firm note</w:t>
            </w:r>
          </w:p>
        </w:tc>
      </w:tr>
      <w:tr>
        <w:tc>
          <w:tcPr>
            <w:tcW w:type="dxa" w:w="2340"/>
            <w:shd w:fill="FFFFFF" w:color="auto" w:val="clear"/>
            <w:tcMar>
              <w:top w:type="dxa" w:w="60"/>
              <w:left w:type="dxa" w:w="80"/>
              <w:bottom w:type="dxa" w:w="60"/>
              <w:right w:type="dxa" w:w="80"/>
            </w:tcMar>
          </w:tcPr>
          <w:p>
            <w:r>
              <w:rPr>
                <w:sz w:val="18"/>
                <w:szCs w:val="18"/>
              </w:rPr>
              <w:t xml:space="preserve">The Spheroid</w:t>
            </w:r>
          </w:p>
        </w:tc>
        <w:tc>
          <w:tcPr>
            <w:tcW w:type="dxa" w:w="2860"/>
            <w:shd w:fill="FFFFFF" w:color="auto" w:val="clear"/>
            <w:tcMar>
              <w:top w:type="dxa" w:w="60"/>
              <w:left w:type="dxa" w:w="80"/>
              <w:bottom w:type="dxa" w:w="60"/>
              <w:right w:type="dxa" w:w="80"/>
            </w:tcMar>
          </w:tcPr>
          <w:p>
            <w:r>
              <w:rPr>
                <w:sz w:val="18"/>
                <w:szCs w:val="18"/>
              </w:rPr>
              <w:t xml:space="preserve">3 (McDermott, Caldwell Tanks, Landmark Structures) [S17]</w:t>
            </w:r>
          </w:p>
        </w:tc>
        <w:tc>
          <w:tcPr>
            <w:tcW w:type="dxa" w:w="4160"/>
            <w:shd w:fill="FFFFFF" w:color="auto" w:val="clear"/>
            <w:tcMar>
              <w:top w:type="dxa" w:w="60"/>
              <w:left w:type="dxa" w:w="80"/>
              <w:bottom w:type="dxa" w:w="60"/>
              <w:right w:type="dxa" w:w="80"/>
            </w:tcMar>
          </w:tcPr>
          <w:p>
            <w:r>
              <w:rPr>
                <w:sz w:val="18"/>
                <w:szCs w:val="18"/>
              </w:rPr>
              <w:t xml:space="preserve">Multiple qualified bidders — a competitive bidding environment is expected.</w:t>
            </w:r>
          </w:p>
        </w:tc>
      </w:tr>
      <w:tr>
        <w:tc>
          <w:tcPr>
            <w:tcW w:type="dxa" w:w="2340"/>
            <w:shd w:fill="F7F9FB" w:color="auto" w:val="clear"/>
            <w:tcMar>
              <w:top w:type="dxa" w:w="60"/>
              <w:left w:type="dxa" w:w="80"/>
              <w:bottom w:type="dxa" w:w="60"/>
              <w:right w:type="dxa" w:w="80"/>
            </w:tcMar>
          </w:tcPr>
          <w:p>
            <w:r>
              <w:rPr>
                <w:sz w:val="18"/>
                <w:szCs w:val="18"/>
              </w:rPr>
              <w:t xml:space="preserve">The Multi-Column</w:t>
            </w:r>
          </w:p>
        </w:tc>
        <w:tc>
          <w:tcPr>
            <w:tcW w:type="dxa" w:w="2860"/>
            <w:shd w:fill="F7F9FB" w:color="auto" w:val="clear"/>
            <w:tcMar>
              <w:top w:type="dxa" w:w="60"/>
              <w:left w:type="dxa" w:w="80"/>
              <w:bottom w:type="dxa" w:w="60"/>
              <w:right w:type="dxa" w:w="80"/>
            </w:tcMar>
          </w:tcPr>
          <w:p>
            <w:r>
              <w:rPr>
                <w:sz w:val="18"/>
                <w:szCs w:val="18"/>
              </w:rPr>
              <w:t xml:space="preserve">1 (Caldwell Tanks only) [S17]</w:t>
            </w:r>
          </w:p>
        </w:tc>
        <w:tc>
          <w:tcPr>
            <w:tcW w:type="dxa" w:w="4160"/>
            <w:shd w:fill="F7F9FB" w:color="auto" w:val="clear"/>
            <w:tcMar>
              <w:top w:type="dxa" w:w="60"/>
              <w:left w:type="dxa" w:w="80"/>
              <w:bottom w:type="dxa" w:w="60"/>
              <w:right w:type="dxa" w:w="80"/>
            </w:tcMar>
          </w:tcPr>
          <w:p>
            <w:r>
              <w:rPr>
                <w:sz w:val="18"/>
                <w:szCs w:val="18"/>
              </w:rPr>
              <w:t xml:space="preserve">“Because Caldwell is the only manufacturer that is qualified to manufacture this style of tank, there is added risk in choosing this tank alternative due to lack of competition.” [S17]</w:t>
            </w:r>
          </w:p>
        </w:tc>
      </w:tr>
    </w:tbl>
    <w:p>
      <w:pPr>
        <w:spacing w:after="160" w:before="160"/>
      </w:pPr>
      <w:r>
        <w:t xml:space="preserve">This is not a hypothetical concern raised by this case's author — it is the real engineering firm's own stated caution, in the same memo that supplies every cost and area figure in Appendices B-D. A design only one company can build cannot be put out to competitive bid: the town has no second quote to check the first one against, no leverage if that single fabricator's price rises or its schedule slips, and no fallback bidder if that company cannot take the job. This does not change any dollar figure in Appendix D — it is a real, separate risk dimension the numbers alone do not capture, and it is the strongest sourced argument for choosing the more expensive design.</w:t>
      </w:r>
    </w:p>
    <w:p>
      <w:pPr>
        <w:spacing w:after="160"/>
      </w:pPr>
      <w:r>
        <w:rPr>
          <w:b/>
          <w:bCs/>
        </w:rPr>
        <w:t xml:space="preserve">Scope note: </w:t>
      </w:r>
      <w:r>
        <w:t xml:space="preserve">the real memo states these fabricator counts specifically “at 0.5-0.75 MG capacity” — the two capacities it evaluated. This case's required capacity (750,000 gal = 0.75 MG) sits inside that sourced range. The fabricator-count figures in this table are not claimed to hold at capacities meaningfully outside 0.5-0.75 MG.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431"/>
      </w:pPr>
    </w:lvl>
  </w:abstractNum>
  <w:abstractNum w:abstractNumId="4" w15:restartNumberingAfterBreak="0">
    <w:multiLevelType w:val="hybridMultilevel"/>
    <w:lvl w:ilvl="0" w15:tentative="1">
      <w:start w:val="1"/>
      <w:numFmt w:val="lowerLetter"/>
      <w:lvlText w:val="%1.)"/>
      <w:lvlJc w:val="left"/>
      <w:pPr>
        <w:ind w:left="1008" w:hanging="431"/>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a3a5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_ovfzpshzd_r5mars9uq" Type="http://schemas.openxmlformats.org/officeDocument/2006/relationships/hyperlink" Target="https://westernwaterca.gov/DocumentCenter/View/239/Developer-Handbook-Section-2?bidId=" TargetMode="External"/><Relationship Id="rIdopu9czghwr6zwdpmrscdo" Type="http://schemas.openxmlformats.org/officeDocument/2006/relationships/hyperlink" Target="https://pdhacademy.com/wp-content/uploads/2023/08/378-Water-Storage-Tanks.pdf" TargetMode="External"/><Relationship Id="rIdzprlzwzag8pdd-toukdwv" Type="http://schemas.openxmlformats.org/officeDocument/2006/relationships/hyperlink" Target="https://codes.findlaw.com/ca/government-code/gov-sect-43610.html" TargetMode="External"/><Relationship Id="rIdc-7oevu4rzc28pwevjwec" Type="http://schemas.openxmlformats.org/officeDocument/2006/relationships/hyperlink" Target="https://www.nist.gov/system/files/documents/2025/12/23/2026_NIST_HB133_AppendixE-20251222.pdf" TargetMode="External"/><Relationship Id="rIdnpl8cd6fe7bg_al_uhtsa" Type="http://schemas.openxmlformats.org/officeDocument/2006/relationships/hyperlink" Target="https://lawrenceks.gov/wp-content/uploads/2020/07/Tank-Alternatives-Memorandum.pdf" TargetMode="External"/><Relationship Id="rIddd12yvjf2blxvydrglr9p" Type="http://schemas.openxmlformats.org/officeDocument/2006/relationships/hyperlink" Target="https://lawrenceks.gov/wp-content/uploads/2020/07/Tank-Alternatives-Memorandum.pdf" TargetMode="External"/><Relationship Id="rId5tksvw1ohicu_lyw-wmsd" Type="http://schemas.openxmlformats.org/officeDocument/2006/relationships/hyperlink" Target="https://lawrenceks.gov/wp-content/uploads/2020/07/Tank-Alternatives-Memorandum.pdf" TargetMode="External"/><Relationship Id="rIdjhziifb1kruxgonbdy6ic" Type="http://schemas.openxmlformats.org/officeDocument/2006/relationships/hyperlink" Target="https://lawrenceks.gov/wp-content/uploads/2020/07/Tank-Alternatives-Memorandum.pdf" TargetMode="External"/><Relationship Id="rIdzdkgl5ienp9quyuz5kx6r" Type="http://schemas.openxmlformats.org/officeDocument/2006/relationships/hyperlink" Target="https://lawrenceks.gov/wp-content/uploads/2020/07/Tank-Alternatives-Memorandum.pdf" TargetMode="External"/><Relationship Id="rIdcffij5jpzknuqlztj7r0h" Type="http://schemas.openxmlformats.org/officeDocument/2006/relationships/hyperlink" Target="https://lawrenceks.gov/wp-content/uploads/2020/07/Tank-Alternatives-Memorandum.pdf" TargetMode="External"/><Relationship Id="rIdxds-jsqwdajwziariqyeh" Type="http://schemas.openxmlformats.org/officeDocument/2006/relationships/hyperlink" Target="https://lawrenceks.gov/wp-content/uploads/2020/07/Tank-Alternatives-Memorandum.pdf" TargetMode="External"/><Relationship Id="rId53-uyic21d0gplhiyjdhz" Type="http://schemas.openxmlformats.org/officeDocument/2006/relationships/hyperlink" Target="https://lawrenceks.gov/wp-content/uploads/2020/07/Tank-Alternatives-Memorandum.pdf" TargetMode="External"/><Relationship Id="rIdltcpypc4xgbd3xudtqvzu" Type="http://schemas.openxmlformats.org/officeDocument/2006/relationships/hyperlink" Target="https://lawrenceks.gov/wp-content/uploads/2020/07/Tank-Alternatives-Memorandum.pdf" TargetMode="External"/><Relationship Id="rId9jt0ds5-cfhbckusfon9r" Type="http://schemas.openxmlformats.org/officeDocument/2006/relationships/hyperlink" Target="https://lawrenceks.gov/wp-content/uploads/2020/07/Tank-Alternatives-Memorandum.pdf" TargetMode="External"/><Relationship Id="rIdammhpvg0i0-cvsdbdkzwu" Type="http://schemas.openxmlformats.org/officeDocument/2006/relationships/hyperlink" Target="https://lawrenceks.gov/wp-content/uploads/2020/07/Tank-Alternatives-Memorandum.pdf" TargetMode="External"/><Relationship Id="rIdsp2fbs5sqo_xnwz6hhzp9" Type="http://schemas.openxmlformats.org/officeDocument/2006/relationships/hyperlink" Target="https://lawrenceks.gov/wp-content/uploads/2020/07/Tank-Alternatives-Memorandum.pdf" TargetMode="External"/><Relationship Id="rId0g6r8sntuo1w_kopulzxd" Type="http://schemas.openxmlformats.org/officeDocument/2006/relationships/hyperlink" Target="https://lawrenceks.gov/wp-content/uploads/2020/07/Tank-Alternatives-Memorandum.pdf"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2026-09-06T12:13:45.878Z</dcterms:created>
  <dcterms:modified xsi:type="dcterms:W3CDTF">2026-09-06T12:13:45.879Z</dcterms:modified>
</cp:coreProperties>
</file>

<file path=docProps/custom.xml><?xml version="1.0" encoding="utf-8"?>
<Properties xmlns="http://schemas.openxmlformats.org/officeDocument/2006/custom-properties" xmlns:vt="http://schemas.openxmlformats.org/officeDocument/2006/docPropsVTypes"/>
</file>