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Facilitator Guide: The Painted Gallon</w:t>
      </w:r>
    </w:p>
    <w:p>
      <w:pPr>
        <w:spacing w:after="60"/>
      </w:pPr>
      <w:r>
        <w:rPr>
          <w:b/>
          <w:bCs/>
          <w:color w:val="a3312a"/>
          <w:sz w:val="20"/>
          <w:szCs w:val="20"/>
        </w:rPr>
        <w:t xml:space="preserve">FACILITATOR ONLY — do not distribute to students</w:t>
      </w:r>
    </w:p>
    <w:p>
      <w:pPr>
        <w:pBdr>
          <w:bottom w:val="single" w:color="c9a227" w:sz="6" w:space="8"/>
        </w:pBdr>
        <w:spacing w:after="320"/>
      </w:pPr>
      <w:r>
        <w:rPr>
          <w:color w:val="5b6472"/>
          <w:sz w:val="20"/>
          <w:szCs w:val="20"/>
        </w:rPr>
        <w:t xml:space="preserve">MS | Math | Case Study | 2026 | Adventure</w:t>
      </w:r>
    </w:p>
    <w:p>
      <w:pPr>
        <w:spacing w:after="160"/>
      </w:pPr>
      <w:r>
        <w:rPr>
          <w:b/>
          <w:bCs/>
        </w:rPr>
        <w:t xml:space="preserve">Case: </w:t>
      </w:r>
      <w:r>
        <w:t xml:space="preserve">The Painted Gallon  ·  </w:t>
      </w:r>
      <w:r>
        <w:rPr>
          <w:b/>
          <w:bCs/>
        </w:rPr>
        <w:t xml:space="preserve">Tier: </w:t>
      </w:r>
      <w:r>
        <w:t xml:space="preserve">T2 (MS-core)  ·  </w:t>
      </w:r>
      <w:r>
        <w:rPr>
          <w:b/>
          <w:bCs/>
        </w:rPr>
        <w:t xml:space="preserve">Studio: </w:t>
      </w:r>
      <w:r>
        <w:t xml:space="preserve">MS Adventure</w:t>
      </w:r>
    </w:p>
    <w:p>
      <w:pPr>
        <w:spacing w:after="160"/>
      </w:pPr>
      <w:r>
        <w:rPr>
          <w:b/>
          <w:bCs/>
        </w:rPr>
        <w:t xml:space="preserve">Standards: </w:t>
      </w:r>
      <w:r>
        <w:t xml:space="preserve">Geometry's Sphere, Cylinder, Radius, Volume, Surface Area, plus the sphere and cylinder volume how-tos, the cylinder surface-area how-to, Measurement's compound-units how-to, and Advanced Numbers' percent-of-a-number how-to.</w:t>
      </w:r>
    </w:p>
    <w:p>
      <w:pPr>
        <w:spacing w:after="160"/>
      </w:pPr>
      <w:r>
        <w:rPr>
          <w:b/>
          <w:bCs/>
        </w:rPr>
        <w:t xml:space="preserve">Margin (primary dollar metric): </w:t>
      </w:r>
      <w:r>
        <w:t xml:space="preserve">14.0% — B (The Multi-Column) wins the graded cost comparison. This margin does not, by itself, make the case balanced; the case's genuine two-sidedness rests on a second, non-dollar axis (Appendix G, fabricator competition) — see “The margin,” below.</w:t>
      </w:r>
    </w:p>
    <w:p>
      <w:pPr>
        <w:pStyle w:val="Heading2"/>
        <w:spacing w:after="120" w:before="240"/>
      </w:pPr>
      <w:r>
        <w:t xml:space="preserve">Sensitivity Note (SPEC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r>
              <w:rPr>
                <w:i/>
                <w:iCs/>
              </w:rPr>
              <w:t xml:space="preserve">Touches ordinary civic/budget stress — a small town voting on a tax-funded bond after weeks of a boil-water advisory. No illness, death, or family hardship involved.</w:t>
            </w:r>
          </w:p>
        </w:tc>
      </w:tr>
    </w:tbl>
    <w:p>
      <w:pPr>
        <w:pStyle w:val="Heading2"/>
        <w:spacing w:after="120" w:before="240"/>
      </w:pPr>
      <w:r>
        <w:t xml:space="preserve">2026-09-06 balance fix, in brief</w:t>
      </w:r>
    </w:p>
    <w:p>
      <w:pPr>
        <w:spacing w:after="160"/>
      </w:pPr>
      <w:r>
        <w:t xml:space="preserve">Independent cold-solve, both-sides, and twist QA probes found the original case unbalanced — the Multi-Column won every dollar metric at every capacity, and the win was mathematically invariant across a ±50% capacity flex. Argument A (future regulatory exposure) was real but speculative, not a genuine present-day dilemma. The fix was NOT to retune any sourced number — it was to go back to the same real Black &amp; Veatch memo already cited for S5-S16 and surface a second real, present-day fact it already contained: fabricator competition. The Spheroid has 3 qualified fabricators at this capacity; the Multi-Column has exactly 1 (Caldwell Tanks), and the memo's own Recommendations section calls this “added risk ... due to lack of competition” (source S17, case.md Appendix G, Challenge 2c). This is a real, present-day procurement-risk axis, not a hidden or invented one.</w:t>
      </w:r>
    </w:p>
    <w:p>
      <w:pPr>
        <w:pStyle w:val="Heading2"/>
        <w:spacing w:after="120" w:before="240"/>
      </w:pPr>
      <w:r>
        <w:t xml:space="preserve">Argument for A — The Spheroid</w:t>
      </w:r>
    </w:p>
    <w:p>
      <w:pPr>
        <w:spacing w:after="160"/>
      </w:pPr>
      <w:r>
        <w:t xml:space="preserve">A's real case does not rest on the dollar metric at all — it rests on Appendix G's fabricator competition data (S17), a real, present-day, sourced fact from the same engineering memo that supplies every cost figure in this case. The Spheroid has 3 qualified fabricators at this capacity (McDermott, Caldwell Tanks, Landmark Structures); the Multi-Column has exactly 1 (Caldwell Tanks). The real engineering firm's own memo states this means the Multi-Column has “no opportunity for competitive bidding,” and its own Recommendations section calls this “added risk ... due to lack of competition” [S17] — the same firm whose numbers B leans on is on record flagging this as a genuine reason to hesitate. This is NOT a “future regulation might raise costs” hedge (the weaker, speculative version in the case's original draft) — sole-source risk is already true today, at the moment Devon has to sign a recommendation. For a town six weeks into a boil-water advisory with a hard Friday deadline, “the cheaper number on paper” and “the design least likely to blow its price or schedule with no second bidder to check it” are genuinely different questions, and a Hero can defend picking A on this basis without ever disputing B's cost numbers.</w:t>
      </w:r>
    </w:p>
    <w:p>
      <w:pPr>
        <w:pStyle w:val="Heading2"/>
        <w:spacing w:after="120" w:before="240"/>
      </w:pPr>
      <w:r>
        <w:t xml:space="preserve">Argument for B — The Multi-Column</w:t>
      </w:r>
    </w:p>
    <w:p>
      <w:pPr>
        <w:spacing w:after="160"/>
      </w:pPr>
      <w:r>
        <w:t xml:space="preserve">The Multi-Column's simpler, non-specialized steel fabrication is dramatically cheaper to build per square foot than the Spheroid's curved-knuckle single-shaft design — see “The margin” for the exact derived rates — and that capital-cost advantage more than offsets the Multi-Column's larger area and higher 60-year recoating bill. Under the case's own real, sourced numbers, B wins the graded dollar comparison by a real but thin margin, and (per sensitivity_model.py) that win is stable across a wide range of capacity choices — it is not a fragile, scenario-specific artifact. B's real, quantitative case is Challenge 3 (D4)'s cost-per-square-foot work: the two designs are not built from the same unit cost, and the gap between them is large enough to outweigh the raw area difference in A's favor. B's honest response to Appendix G is not to deny the sole-source risk, but to argue it is a real risk worth accepting: roughly $339,000 in documented 60-year savings (S15 vs S9) is a concrete, quantified number, while the sole-source risk is real but unquantified — a defensible Hero can argue a town this financially strapped should take the documented savings.</w:t>
      </w:r>
    </w:p>
    <w:p>
      <w:pPr>
        <w:pStyle w:val="Heading2"/>
        <w:spacing w:after="120" w:before="240"/>
      </w:pPr>
      <w:r>
        <w:t xml:space="preserve">The margin — real numbers, in full</w:t>
      </w:r>
    </w:p>
    <w:p>
      <w:pPr>
        <w:spacing w:after="160"/>
      </w:pPr>
      <w:r>
        <w:rPr>
          <w:b/>
          <w:bCs/>
        </w:rPr>
        <w:t xml:space="preserve">case.json.balance.margin_pct = 14.0%</w:t>
      </w:r>
      <w:r>
        <w:t xml:space="preserve"> on the case's PRIMARY (dollar) metric only, comfortably inside the SPEC §2 20% cap and consistent with this corpus's typical 10-15% band (e.g. cases/the-deferred-repair at 13.0%). This dollar margin is not, by itself, what makes this case balanced — B wins every dollar metric at every capacity (confirmed by the cold-solve, both-sides, and twist Tier 2 probes). What makes the case balanced is that A has a genuine, real, sourced advantage on a SECOND, non-dollar axis (Appendix G / S17) that the dollar metric does not capture.</w:t>
      </w:r>
    </w:p>
    <w:p>
      <w:pPr>
        <w:pStyle w:val="ListParagraph"/>
        <w:numPr>
          <w:ilvl w:val="0"/>
          <w:numId w:val="2"/>
        </w:numPr>
        <w:spacing w:after="100"/>
      </w:pPr>
      <w:r>
        <w:t xml:space="preserve">Real per-square-foot build rate: Spheroid = $2,048,000 [S7] / 16,500 sq ft [S5] = $124.12/sq ft. Multi-Column = $1,595,000 [S13] / 29,100 sq ft [S11] = $54.81/sq ft — the Spheroid costs about 2.26 times as much per square foot to build.</w:t>
      </w:r>
    </w:p>
    <w:p>
      <w:pPr>
        <w:pStyle w:val="ListParagraph"/>
        <w:numPr>
          <w:ilvl w:val="0"/>
          <w:numId w:val="2"/>
        </w:numPr>
        <w:spacing w:after="100"/>
      </w:pPr>
      <w:r>
        <w:t xml:space="preserve">Real per-square-foot 60-year maintenance rate: Spheroid = $376,000 [S8] / 16,500 sq ft = $22.79/sq ft. Multi-Column = $490,000 [S14] / 29,100 sq ft = $16.84/sq ft.</w:t>
      </w:r>
    </w:p>
    <w:p>
      <w:pPr>
        <w:pStyle w:val="ListParagraph"/>
        <w:numPr>
          <w:ilvl w:val="0"/>
          <w:numId w:val="2"/>
        </w:numPr>
        <w:spacing w:after="100"/>
      </w:pPr>
      <w:r>
        <w:t xml:space="preserve">Real total 60-year lifecycle cost per gallon (Table 2-5 of the source memo): Spheroid = $3.23/gal [S10]. Multi-Column = $2.78/gal [S16].</w:t>
      </w:r>
    </w:p>
    <w:p>
      <w:pPr>
        <w:pStyle w:val="ListParagraph"/>
        <w:numPr>
          <w:ilvl w:val="0"/>
          <w:numId w:val="2"/>
        </w:numPr>
        <w:spacing w:after="100"/>
      </w:pPr>
      <w:r>
        <w:t xml:space="preserve">Margin: |3.23 − 2.78| / 3.23 = 0.45 / 3.23 = 13.9%, rounded to 14.0%.</w:t>
      </w:r>
    </w:p>
    <w:p>
      <w:pPr>
        <w:pStyle w:val="ListParagraph"/>
        <w:numPr>
          <w:ilvl w:val="0"/>
          <w:numId w:val="2"/>
        </w:numPr>
        <w:spacing w:after="160"/>
      </w:pPr>
      <w:r>
        <w:t xml:space="preserve">Real fabricator count (Appendix G, S17): Spheroid = 3 qualified fabricators. Multi-Column = 1 qualified fabricator (sole source).</w:t>
      </w:r>
    </w:p>
    <w:p>
      <w:pPr>
        <w:spacing w:after="160"/>
      </w:pPr>
      <w:r>
        <w:t xml:space="preserve">Why this matters for the facilitator, specifically: the concept sheet that approved this case named a 6-10% target margin for the dollar metric. The real sourced data lands at 14.0% instead — still well inside SPEC §2's actual 20% cap. sensitivity_model.py shows the recommendation (B wins on cost) does not flip across a wide range of required-capacity choices (see “Twist,” below) — the 14.0% margin is a stable property of the two designs' real cost structures. The genuine two-sidedness of this case comes from Argument A living on a different axis entirely (procurement risk), not from the dollar margin being close.</w:t>
      </w:r>
    </w:p>
    <w:p>
      <w:pPr>
        <w:pStyle w:val="Heading2"/>
        <w:spacing w:after="120" w:before="240"/>
      </w:pPr>
      <w:r>
        <w:t xml:space="preserve">Seven Socratic Questions</w:t>
      </w:r>
    </w:p>
    <w:p>
      <w:pPr>
        <w:pStyle w:val="ListParagraph"/>
        <w:numPr>
          <w:ilvl w:val="0"/>
          <w:numId w:val="3"/>
        </w:numPr>
        <w:spacing w:after="140"/>
      </w:pPr>
      <w:r>
        <w:t xml:space="preserve">The Spheroid has less real, sourced surface area than the Multi-Column (16,500 vs. 29,100 sq ft) — so why does it cost more per gallon over 60 years?</w:t>
      </w:r>
    </w:p>
    <w:p>
      <w:pPr>
        <w:pStyle w:val="ListParagraph"/>
        <w:numPr>
          <w:ilvl w:val="0"/>
          <w:numId w:val="3"/>
        </w:numPr>
        <w:spacing w:after="140"/>
      </w:pPr>
      <w:r>
        <w:t xml:space="preserve">You divided each option's real capital cost by its real surface area in D4 and got two very different rates per square foot. What does that rate difference tell you about how each tank is actually built, that the raw dollar totals alone would not?</w:t>
      </w:r>
    </w:p>
    <w:p>
      <w:pPr>
        <w:pStyle w:val="ListParagraph"/>
        <w:numPr>
          <w:ilvl w:val="0"/>
          <w:numId w:val="3"/>
        </w:numPr>
        <w:spacing w:after="140"/>
      </w:pPr>
      <w:r>
        <w:t xml:space="preserve">If a future regulation made recoating twice as expensive per square foot for every tank in the state, which of these two designs would that hurt more, and why — and would it be enough to flip your recommendation?</w:t>
      </w:r>
    </w:p>
    <w:p>
      <w:pPr>
        <w:pStyle w:val="ListParagraph"/>
        <w:numPr>
          <w:ilvl w:val="0"/>
          <w:numId w:val="3"/>
        </w:numPr>
        <w:spacing w:after="140"/>
      </w:pPr>
      <w:r>
        <w:t xml:space="preserve">Appendix A requires the ballot to state one specific dollar figure, not a range. Which one number from this case would you actually put in front of voters, and is it the capital cost, the lifecycle cost, or something else?</w:t>
      </w:r>
    </w:p>
    <w:p>
      <w:pPr>
        <w:pStyle w:val="ListParagraph"/>
        <w:numPr>
          <w:ilvl w:val="0"/>
          <w:numId w:val="3"/>
        </w:numPr>
        <w:spacing w:after="140"/>
      </w:pPr>
      <w:r>
        <w:t xml:space="preserve">sensitivity_model.py shows the Multi-Column keeps winning even if the required capacity were 50% larger or 50% smaller than assumed. What would have to change about the real per-square-foot rates themselves — not the capacity — for the recommendation to flip?</w:t>
      </w:r>
    </w:p>
    <w:p>
      <w:pPr>
        <w:pStyle w:val="ListParagraph"/>
        <w:numPr>
          <w:ilvl w:val="0"/>
          <w:numId w:val="3"/>
        </w:numPr>
        <w:spacing w:after="140"/>
      </w:pPr>
      <w:r>
        <w:t xml:space="preserve">Appendix G shows the Multi-Column has exactly one qualified fabricator, and the real engineering firm itself flagged that as “added risk.” Does a real number of dollars saved ever outweigh a real-but-unquantified procurement risk — and who should get to make that call, Devon or the town's elected officials?</w:t>
      </w:r>
    </w:p>
    <w:p>
      <w:pPr>
        <w:pStyle w:val="ListParagraph"/>
        <w:numPr>
          <w:ilvl w:val="0"/>
          <w:numId w:val="3"/>
        </w:numPr>
        <w:spacing w:after="140"/>
      </w:pPr>
      <w:r>
        <w:t xml:space="preserve">Socratic Question 5 showed the dollar-cost winner doesn't change even at 50% more or less capacity. Appendix G's fabricator counts, though, are sourced specifically “at 0.5-0.75 MG capacity.” If the town's real capacity turned out to be 1,125,000 gallons (the +50% case), would you still trust that the Spheroid has 3 fabricators and the Multi-Column has 1 — or is that a separate claim that would need its own new sourcing?</w:t>
      </w:r>
    </w:p>
    <w:p>
      <w:pPr>
        <w:pStyle w:val="Heading2"/>
        <w:spacing w:after="120" w:before="240"/>
      </w:pPr>
      <w:r>
        <w:t xml:space="preserve">The Trap</w:t>
      </w:r>
    </w:p>
    <w:p>
      <w:pPr>
        <w:spacing w:after="160"/>
      </w:pPr>
      <w:r>
        <w:rPr>
          <w:b/>
          <w:bCs/>
        </w:rPr>
        <w:t xml:space="preserve">A learner who compares the two designs' raw surface areas alone — “the Spheroid has less area, so it must be the cheaper, smarter choice” — will recommend the Spheroid, and will be using a real, correctly computed number (Appendix B/C's real areas) to reach the wrong recommendation on the graded metric.</w:t>
      </w:r>
      <w:r>
        <w:t xml:space="preserve"> This is the case's central trap: minimizing surface area for a given volume is real, sourced, sound geometry (and is exactly what D1/D2's idealized sphere-vs-cylinder math will independently show — the idealized sphere does come out with less area than the idealized cylinder). But building that smaller-area shape well enough to hold water safely at height requires far more specialized, slower, costlier fabrication per square foot, and that fabrication-cost gap is large enough to overwhelm the area advantage on the case's actual graded dollar metric. A pitch that never completes D4's real cost-per-square-foot division, or that treats “less area” as automatically meaning “cheaper,” has fallen into this trap even if its area arithmetic is completely correct.</w:t>
      </w:r>
    </w:p>
    <w:p>
      <w:pPr>
        <w:spacing w:after="160"/>
      </w:pPr>
      <w:r>
        <w:rPr>
          <w:b/>
          <w:bCs/>
        </w:rPr>
        <w:t xml:space="preserve">A second, later trap (found by a Tier 2 trap-check probe, 2026-09-06): treating D6 as a box-checking afterthought.</w:t>
      </w:r>
      <w:r>
        <w:t xml:space="preserve"> D1-D5 are heavily scaffolded — each sub-step forces the actual arithmetic and makes “less area = cheaper” hard to sustain by the time a Hero reaches a recommendation. D6 (the fabricator-competition response) has no comparable scaffolding — it is a bare “3-5 sentences,” and a hurried student who has already “solved” the case via D5's dollar numbers can answer it with a token sentence (“sole-source is a risk, but it doesn't change my recommendation”) without ever genuinely weighing Appendix G against the savings. This is arguably the MORE common failure in graded written pitches specifically, because D1-D5's scaffolding largely inoculates students against the area-intuition trap by the time they write D6, while D6 itself has no scaffolding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r>
              <w:rPr>
                <w:b/>
                <w:bCs/>
              </w:rPr>
              <w:t xml:space="preserve">Facilitator move: </w:t>
            </w:r>
            <w:r>
              <w:t xml:space="preserve">do not accept a D6 answer that states a position without engaging the actual trade-off — press with “you said sole-source risk doesn't change your recommendation; what would it take for it to? Is there ANY dollar amount of savings too small to justify sole-sourcing?” A Hero who cannot answer that question has not actually done D6, regardless of what their 3-5 sentences say.</w:t>
            </w:r>
          </w:p>
        </w:tc>
      </w:tr>
    </w:tbl>
    <w:p>
      <w:pPr>
        <w:pStyle w:val="Heading2"/>
        <w:spacing w:after="120" w:before="240"/>
      </w:pPr>
      <w:r>
        <w:t xml:space="preserve">Twist</w:t>
      </w:r>
    </w:p>
    <w:p>
      <w:pPr>
        <w:spacing w:after="160"/>
      </w:pPr>
      <w:r>
        <w:t xml:space="preserve">Not a scripted mid-discussion reveal — the twist here is structural, and it lives in the gap between D1/D2's idealized geometry and D4's real cost data. Facilitators should treat the moment a student notices “wait, the shape with LESS area costs MORE per gallon” as the twist moment, and can manufacture it directly with Socratic Question 1 if no student raises it unprompted. A second, quieter twist is available via Question 5: cold-calling the room with “what if the town actually needed twice the capacity?” and revealing (via sensitivity_model.py) that the recommendation does not change — this is a genuine finding about why the margin is stable (both options' costs scale the same way with size), not a scripted reveal of new information. A third twist, best held until after D4/D5 have settled into a “B obviously wins” mood, is Appendix G: reveal the fabricator-count data and Socratic Question 6 only once the room has committed to a cost-only recommendation — the moment a purely least-cost recommendation gets genuinely contested on other real, sourced grounds.</w:t>
      </w:r>
    </w:p>
    <w:p>
      <w:pPr>
        <w:pStyle w:val="Heading2"/>
        <w:spacing w:after="120" w:before="240"/>
      </w:pPr>
      <w:r>
        <w:t xml:space="preserve">What a Strong Defense Sounds Like</w:t>
      </w:r>
    </w:p>
    <w:p>
      <w:pPr>
        <w:spacing w:after="160"/>
      </w:pPr>
      <w:r>
        <w:t xml:space="preserve">There is no single right answer here, so listen for reasoning quality rather than a specific pick. A strong defense of either option actually completes D4's real cost-per-square-foot division and can explain, in the student's own words, why the Spheroid's smaller area does not translate into a smaller bill — that the two designs are simply not built from the same unit cost. A strong defense also genuinely engages Appendix G rather than reciting it: a Hero recommending B should be able to name a specific reason the sole-source risk is worth accepting (a dollar figure, a deadline pressure, a town's financial position) rather than waving it away; a Hero recommending A should be able to say what it would take — what dollar savings, what timeline guarantee — to change their mind, rather than treating “more bidders is always better” as self-evidently decisive. Watch especially for a pitch that never runs D4 at all and jumps straight from D2's areas to a recommendation — that is the area-intuition trap, regardless of which option the student picks.</w:t>
      </w:r>
    </w:p>
    <w:p>
      <w:pPr>
        <w:pStyle w:val="Heading2"/>
        <w:spacing w:after="120" w:before="240"/>
      </w:pPr>
      <w:r>
        <w:t xml:space="preserve">Guide Notes — the Anchor Ladder (SPEC Section 7)</w:t>
      </w:r>
    </w:p>
    <w:p>
      <w:pPr>
        <w:spacing w:after="160"/>
      </w:pPr>
      <w:r>
        <w:rPr>
          <w:b/>
          <w:bCs/>
        </w:rPr>
        <w:t xml:space="preserve">Intro. </w:t>
      </w:r>
      <w:r>
        <w:t xml:space="preserve">Frame the format: a boil-water advisory, a ballot deadline, and a state law that only accepts one number. This is a real municipal engineering decision dressed as a geometry worksheet, not the other way around.</w:t>
      </w:r>
    </w:p>
    <w:p>
      <w:pPr>
        <w:spacing w:after="160"/>
      </w:pPr>
      <w:r>
        <w:rPr>
          <w:b/>
          <w:bCs/>
        </w:rPr>
        <w:t xml:space="preserve">Launch. </w:t>
      </w:r>
      <w:r>
        <w:t xml:space="preserve">Read the Overview aloud. Stop at “Devon opens a blank spreadsheet and starts typing.” Ask the room: “Before you've seen a single number, which shape do you already assume is the cheaper build — the sphere or the cylinder? Why?”</w:t>
      </w:r>
    </w:p>
    <w:p>
      <w:pPr>
        <w:spacing w:after="160"/>
      </w:pPr>
      <w:r>
        <w:rPr>
          <w:b/>
          <w:bCs/>
        </w:rPr>
        <w:t xml:space="preserve">Anchor 1 — Take a Stand and Vote. </w:t>
      </w:r>
      <w:r>
        <w:t xml:space="preserve">No reasoning yet. “Spheroid or Multi-Column — show of hands.” Record the split. Expect a strong early lean toward the Spheroid on aesthetics/intuition (“less material, must be cheaper”) — that lean is the trap forming in real time.</w:t>
      </w:r>
    </w:p>
    <w:p>
      <w:pPr>
        <w:spacing w:after="160"/>
      </w:pPr>
      <w:r>
        <w:rPr>
          <w:b/>
          <w:bCs/>
        </w:rPr>
        <w:t xml:space="preserve">Anchor 2 — What Is the Problem We're Solving? </w:t>
      </w:r>
      <w:r>
        <w:t xml:space="preserve">Push the room past “which shape looks more efficient” toward “which shape is cheaper to actually build and maintain, at this specific real-world capacity.” Let the room sit with the fact that “less surface area” and “less real cost” are not automatically the same claim.</w:t>
      </w:r>
    </w:p>
    <w:p>
      <w:pPr>
        <w:spacing w:after="160"/>
      </w:pPr>
      <w:r>
        <w:rPr>
          <w:b/>
          <w:bCs/>
        </w:rPr>
        <w:t xml:space="preserve">Anchor 3 — What Is the Process? </w:t>
      </w:r>
      <w:r>
        <w:t xml:space="preserve">Before touching Appendix B/C/D's numbers, get the room to state the comparison method out loud: solve for each shape's missing dimension (D1), compute idealized surface area (D2), convert to a per-gallon rate (D3), then compare real dollar cost per square foot (D4) before ever comparing a single lifecycle dollar figure (D5). Re-ask: “Now that we have a process, is ‘which shape has less area' still the right question?”</w:t>
      </w:r>
    </w:p>
    <w:p>
      <w:pPr>
        <w:spacing w:after="160"/>
      </w:pPr>
      <w:r>
        <w:rPr>
          <w:b/>
          <w:bCs/>
        </w:rPr>
        <w:t xml:space="preserve">Anchor 4 — What Don't We Know? </w:t>
      </w:r>
      <w:r>
        <w:t xml:space="preserve">Name the load-bearing unknown explicitly: this fictional town's exact required capacity (MA2) is an authored scenario choice, not a number anyone measured for this specific town. “Does that matter for which design wins? Test it.” (This is where sensitivity_model.py's capacity-flex finding lands well if introduced here rather than saved for the very end.)</w:t>
      </w:r>
    </w:p>
    <w:p>
      <w:pPr>
        <w:spacing w:after="160"/>
      </w:pPr>
      <w:r>
        <w:rPr>
          <w:b/>
          <w:bCs/>
        </w:rPr>
        <w:t xml:space="preserve">Data Deep Dive. </w:t>
      </w:r>
      <w:r>
        <w:t xml:space="preserve">Now open Appendices A-D. Run D1-D5 as a room, or have groups report out. This is also the moment to run Socratic Questions 1-3.</w:t>
      </w:r>
    </w:p>
    <w:p>
      <w:pPr>
        <w:spacing w:after="160"/>
      </w:pPr>
      <w:r>
        <w:rPr>
          <w:b/>
          <w:bCs/>
        </w:rPr>
        <w:t xml:space="preserve">Twist. </w:t>
      </w:r>
      <w:r>
        <w:t xml:space="preserve">Once D2's idealized areas are on the table and a recommendation has started to form around “the Spheroid has less area,” run Socratic Question 1 directly, then walk the room through D4's real cost-per-square-foot division. Let the room discover that the design with less area is not the design with the lower cost.</w:t>
      </w:r>
    </w:p>
    <w:p>
      <w:pPr>
        <w:spacing w:after="160"/>
      </w:pPr>
      <w:r>
        <w:rPr>
          <w:b/>
          <w:bCs/>
        </w:rPr>
        <w:t xml:space="preserve">Close. </w:t>
      </w:r>
      <w:r>
        <w:t xml:space="preserve">Reveal Appendix G (fabricator competition) before the final vote if it has not already surfaced. Vote again. “Did the vote move? For the people who didn't move, what would it take to change your mind — a different capacity, a different cost rate, or the fabricator-competition data?”</w:t>
      </w:r>
    </w:p>
    <w:p>
      <w:pPr>
        <w:spacing w:after="160"/>
      </w:pPr>
      <w:r>
        <w:rPr>
          <w:b/>
          <w:bCs/>
        </w:rPr>
        <w:t xml:space="preserve">Lessons Learned. </w:t>
      </w:r>
      <w:r>
        <w:t xml:space="preserve">Two transferable ideas, not one. First: minimizing a physical quantity (surface area, for a fixed volume) is real, sound geometry, but it is not automatically the same thing as minimizing real-world cost — the conversion factor between “less material” and “less money” depends on how hard that material is to work with, and that factor can be large enough to reverse the naive conclusion. Second: the cheapest option on a single graded metric is not automatically the objectively correct recommendation — a real decision-maker can have a real, sourced reason to weigh a second, harder-to-quantify factor against the dollar figure, and a good pitch has to engage with that factor rather than treat “lowest number wins” as the whole analysis.</w:t>
      </w:r>
    </w:p>
    <w:p>
      <w:pPr>
        <w:spacing w:after="160"/>
      </w:pPr>
      <w:r>
        <w:rPr>
          <w:b/>
          <w:bCs/>
        </w:rPr>
        <w:t xml:space="preserve">Standards Touched On. </w:t>
      </w:r>
      <w:r>
        <w:t xml:space="preserve">Sphere, Cylinder, Radius, Volume, Surface Area; How to find the volume of a sphere; How to find the volume of a cylinder; How to find the surface area of a cylinder; How to convert an amount with compound units; How to find the percent of a number.</w:t>
      </w:r>
    </w:p>
    <w:p>
      <w:pPr>
        <w:pStyle w:val="Heading2"/>
        <w:spacing w:after="120" w:before="240"/>
      </w:pPr>
      <w:r>
        <w:t xml:space="preserve">45-Minute Socratic Plan (SPEC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1a3a5c" w:color="auto" w:val="clear"/>
            <w:tcMar>
              <w:top w:type="dxa" w:w="60"/>
              <w:left w:type="dxa" w:w="80"/>
              <w:bottom w:type="dxa" w:w="60"/>
              <w:right w:type="dxa" w:w="80"/>
            </w:tcMar>
          </w:tcPr>
          <w:p>
            <w:r>
              <w:rPr>
                <w:b/>
                <w:bCs/>
                <w:color w:val="FFFFFF"/>
                <w:sz w:val="18"/>
                <w:szCs w:val="18"/>
              </w:rPr>
              <w:t xml:space="preserve">Time</w:t>
            </w:r>
          </w:p>
        </w:tc>
        <w:tc>
          <w:tcPr>
            <w:tcW w:type="dxa" w:w="7800"/>
            <w:shd w:fill="1a3a5c" w:color="auto" w:val="clear"/>
            <w:tcMar>
              <w:top w:type="dxa" w:w="60"/>
              <w:left w:type="dxa" w:w="80"/>
              <w:bottom w:type="dxa" w:w="60"/>
              <w:right w:type="dxa" w:w="80"/>
            </w:tcMar>
          </w:tcPr>
          <w:p>
            <w:r>
              <w:rPr>
                <w:b/>
                <w:bCs/>
                <w:color w:val="FFFFFF"/>
                <w:sz w:val="18"/>
                <w:szCs w:val="18"/>
              </w:rPr>
              <w:t xml:space="preserve">Move</w:t>
            </w:r>
          </w:p>
        </w:tc>
      </w:tr>
      <w:tr>
        <w:tc>
          <w:tcPr>
            <w:tcW w:type="dxa" w:w="1560"/>
            <w:shd w:fill="FFFFFF" w:color="auto" w:val="clear"/>
            <w:tcMar>
              <w:top w:type="dxa" w:w="60"/>
              <w:left w:type="dxa" w:w="80"/>
              <w:bottom w:type="dxa" w:w="60"/>
              <w:right w:type="dxa" w:w="80"/>
            </w:tcMar>
          </w:tcPr>
          <w:p>
            <w:r>
              <w:rPr>
                <w:sz w:val="18"/>
                <w:szCs w:val="18"/>
              </w:rPr>
              <w:t xml:space="preserve">0:00-3:00</w:t>
            </w:r>
          </w:p>
        </w:tc>
        <w:tc>
          <w:tcPr>
            <w:tcW w:type="dxa" w:w="7800"/>
            <w:shd w:fill="FFFFFF" w:color="auto" w:val="clear"/>
            <w:tcMar>
              <w:top w:type="dxa" w:w="60"/>
              <w:left w:type="dxa" w:w="80"/>
              <w:bottom w:type="dxa" w:w="60"/>
              <w:right w:type="dxa" w:w="80"/>
            </w:tcMar>
          </w:tcPr>
          <w:p>
            <w:r>
              <w:rPr>
                <w:sz w:val="18"/>
                <w:szCs w:val="18"/>
              </w:rPr>
              <w:t xml:space="preserve">Cold read of the Overview, gut-check vote (Anchor 1) — no numbers shown yet</w:t>
            </w:r>
          </w:p>
        </w:tc>
      </w:tr>
      <w:tr>
        <w:tc>
          <w:tcPr>
            <w:tcW w:type="dxa" w:w="1560"/>
            <w:shd w:fill="F7F9FB" w:color="auto" w:val="clear"/>
            <w:tcMar>
              <w:top w:type="dxa" w:w="60"/>
              <w:left w:type="dxa" w:w="80"/>
              <w:bottom w:type="dxa" w:w="60"/>
              <w:right w:type="dxa" w:w="80"/>
            </w:tcMar>
          </w:tcPr>
          <w:p>
            <w:r>
              <w:rPr>
                <w:sz w:val="18"/>
                <w:szCs w:val="18"/>
              </w:rPr>
              <w:t xml:space="preserve">3:00-8:00</w:t>
            </w:r>
          </w:p>
        </w:tc>
        <w:tc>
          <w:tcPr>
            <w:tcW w:type="dxa" w:w="7800"/>
            <w:shd w:fill="F7F9FB" w:color="auto" w:val="clear"/>
            <w:tcMar>
              <w:top w:type="dxa" w:w="60"/>
              <w:left w:type="dxa" w:w="80"/>
              <w:bottom w:type="dxa" w:w="60"/>
              <w:right w:type="dxa" w:w="80"/>
            </w:tcMar>
          </w:tcPr>
          <w:p>
            <w:r>
              <w:rPr>
                <w:sz w:val="18"/>
                <w:szCs w:val="18"/>
              </w:rPr>
              <w:t xml:space="preserve">Position defense: “Convince us your shape is the smarter build, not just the more elegant one”</w:t>
            </w:r>
          </w:p>
        </w:tc>
      </w:tr>
      <w:tr>
        <w:tc>
          <w:tcPr>
            <w:tcW w:type="dxa" w:w="1560"/>
            <w:shd w:fill="FFFFFF" w:color="auto" w:val="clear"/>
            <w:tcMar>
              <w:top w:type="dxa" w:w="60"/>
              <w:left w:type="dxa" w:w="80"/>
              <w:bottom w:type="dxa" w:w="60"/>
              <w:right w:type="dxa" w:w="80"/>
            </w:tcMar>
          </w:tcPr>
          <w:p>
            <w:r>
              <w:rPr>
                <w:sz w:val="18"/>
                <w:szCs w:val="18"/>
              </w:rPr>
              <w:t xml:space="preserve">8:00-20:00</w:t>
            </w:r>
          </w:p>
        </w:tc>
        <w:tc>
          <w:tcPr>
            <w:tcW w:type="dxa" w:w="7800"/>
            <w:shd w:fill="FFFFFF" w:color="auto" w:val="clear"/>
            <w:tcMar>
              <w:top w:type="dxa" w:w="60"/>
              <w:left w:type="dxa" w:w="80"/>
              <w:bottom w:type="dxa" w:w="60"/>
              <w:right w:type="dxa" w:w="80"/>
            </w:tcMar>
          </w:tcPr>
          <w:p>
            <w:r>
              <w:rPr>
                <w:sz w:val="18"/>
                <w:szCs w:val="18"/>
              </w:rPr>
              <w:t xml:space="preserve">Data Deep Dive — build D1's dimension solve and D2's idealized surface-area comparison as a room</w:t>
            </w:r>
          </w:p>
        </w:tc>
      </w:tr>
      <w:tr>
        <w:tc>
          <w:tcPr>
            <w:tcW w:type="dxa" w:w="1560"/>
            <w:shd w:fill="F7F9FB" w:color="auto" w:val="clear"/>
            <w:tcMar>
              <w:top w:type="dxa" w:w="60"/>
              <w:left w:type="dxa" w:w="80"/>
              <w:bottom w:type="dxa" w:w="60"/>
              <w:right w:type="dxa" w:w="80"/>
            </w:tcMar>
          </w:tcPr>
          <w:p>
            <w:r>
              <w:rPr>
                <w:sz w:val="18"/>
                <w:szCs w:val="18"/>
              </w:rPr>
              <w:t xml:space="preserve">20:00-30:00</w:t>
            </w:r>
          </w:p>
        </w:tc>
        <w:tc>
          <w:tcPr>
            <w:tcW w:type="dxa" w:w="7800"/>
            <w:shd w:fill="F7F9FB" w:color="auto" w:val="clear"/>
            <w:tcMar>
              <w:top w:type="dxa" w:w="60"/>
              <w:left w:type="dxa" w:w="80"/>
              <w:bottom w:type="dxa" w:w="60"/>
              <w:right w:type="dxa" w:w="80"/>
            </w:tcMar>
          </w:tcPr>
          <w:p>
            <w:r>
              <w:rPr>
                <w:sz w:val="18"/>
                <w:szCs w:val="18"/>
              </w:rPr>
              <w:t xml:space="preserve">Build D3's per-gallon rate and D4's real cost-per-square-foot comparison; confirm the 14.0% margin and where it comes from</w:t>
            </w:r>
          </w:p>
        </w:tc>
      </w:tr>
      <w:tr>
        <w:tc>
          <w:tcPr>
            <w:tcW w:type="dxa" w:w="1560"/>
            <w:shd w:fill="FFFFFF" w:color="auto" w:val="clear"/>
            <w:tcMar>
              <w:top w:type="dxa" w:w="60"/>
              <w:left w:type="dxa" w:w="80"/>
              <w:bottom w:type="dxa" w:w="60"/>
              <w:right w:type="dxa" w:w="80"/>
            </w:tcMar>
          </w:tcPr>
          <w:p>
            <w:r>
              <w:rPr>
                <w:sz w:val="18"/>
                <w:szCs w:val="18"/>
              </w:rPr>
              <w:t xml:space="preserve">30:00</w:t>
            </w:r>
          </w:p>
        </w:tc>
        <w:tc>
          <w:tcPr>
            <w:tcW w:type="dxa" w:w="7800"/>
            <w:shd w:fill="FFFFFF" w:color="auto" w:val="clear"/>
            <w:tcMar>
              <w:top w:type="dxa" w:w="60"/>
              <w:left w:type="dxa" w:w="80"/>
              <w:bottom w:type="dxa" w:w="60"/>
              <w:right w:type="dxa" w:w="80"/>
            </w:tcMar>
          </w:tcPr>
          <w:p>
            <w:r>
              <w:rPr>
                <w:sz w:val="18"/>
                <w:szCs w:val="18"/>
              </w:rPr>
              <w:t xml:space="preserve">DROP THE TWIST — Socratic Question 1: the Spheroid has less area but costs more — why?</w:t>
            </w:r>
          </w:p>
        </w:tc>
      </w:tr>
      <w:tr>
        <w:tc>
          <w:tcPr>
            <w:tcW w:type="dxa" w:w="1560"/>
            <w:shd w:fill="F7F9FB" w:color="auto" w:val="clear"/>
            <w:tcMar>
              <w:top w:type="dxa" w:w="60"/>
              <w:left w:type="dxa" w:w="80"/>
              <w:bottom w:type="dxa" w:w="60"/>
              <w:right w:type="dxa" w:w="80"/>
            </w:tcMar>
          </w:tcPr>
          <w:p>
            <w:r>
              <w:rPr>
                <w:sz w:val="18"/>
                <w:szCs w:val="18"/>
              </w:rPr>
              <w:t xml:space="preserve">30:00-38:00</w:t>
            </w:r>
          </w:p>
        </w:tc>
        <w:tc>
          <w:tcPr>
            <w:tcW w:type="dxa" w:w="7800"/>
            <w:shd w:fill="F7F9FB" w:color="auto" w:val="clear"/>
            <w:tcMar>
              <w:top w:type="dxa" w:w="60"/>
              <w:left w:type="dxa" w:w="80"/>
              <w:bottom w:type="dxa" w:w="60"/>
              <w:right w:type="dxa" w:w="80"/>
            </w:tcMar>
          </w:tcPr>
          <w:p>
            <w:r>
              <w:rPr>
                <w:sz w:val="18"/>
                <w:szCs w:val="18"/>
              </w:rPr>
              <w:t xml:space="preserve">Pressure-test the recommendation: run Socratic Question 5's capacity-flex test live, confirm it does not flip; then reveal Appendix G's fabricator-competition data and run Socratic Questions 6-7 (including the scope caveat — S17's fabricator counts are only sourced at 0.5-0.75 MG, unlike the dollar-cost invariance, which was tested to ±50%)</w:t>
            </w:r>
          </w:p>
        </w:tc>
      </w:tr>
      <w:tr>
        <w:tc>
          <w:tcPr>
            <w:tcW w:type="dxa" w:w="1560"/>
            <w:shd w:fill="FFFFFF" w:color="auto" w:val="clear"/>
            <w:tcMar>
              <w:top w:type="dxa" w:w="60"/>
              <w:left w:type="dxa" w:w="80"/>
              <w:bottom w:type="dxa" w:w="60"/>
              <w:right w:type="dxa" w:w="80"/>
            </w:tcMar>
          </w:tcPr>
          <w:p>
            <w:r>
              <w:rPr>
                <w:sz w:val="18"/>
                <w:szCs w:val="18"/>
              </w:rPr>
              <w:t xml:space="preserve">38:00-45:00</w:t>
            </w:r>
          </w:p>
        </w:tc>
        <w:tc>
          <w:tcPr>
            <w:tcW w:type="dxa" w:w="7800"/>
            <w:shd w:fill="FFFFFF" w:color="auto" w:val="clear"/>
            <w:tcMar>
              <w:top w:type="dxa" w:w="60"/>
              <w:left w:type="dxa" w:w="80"/>
              <w:bottom w:type="dxa" w:w="60"/>
              <w:right w:type="dxa" w:w="80"/>
            </w:tcMar>
          </w:tcPr>
          <w:p>
            <w:r>
              <w:rPr>
                <w:sz w:val="18"/>
                <w:szCs w:val="18"/>
              </w:rPr>
              <w:t xml:space="preserve">Close, re-vote, D5's ballot-number recommendation, lessons learned</w:t>
            </w:r>
          </w:p>
        </w:tc>
      </w:tr>
    </w:tbl>
    <w:p>
      <w:pPr>
        <w:pStyle w:val="Heading2"/>
        <w:spacing w:after="120" w:before="240"/>
      </w:pPr>
      <w:r>
        <w:t xml:space="preserve">Cohort Bands (SPEC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shd w:fill="1a3a5c" w:color="auto" w:val="clear"/>
            <w:tcMar>
              <w:top w:type="dxa" w:w="60"/>
              <w:left w:type="dxa" w:w="80"/>
              <w:bottom w:type="dxa" w:w="60"/>
              <w:right w:type="dxa" w:w="80"/>
            </w:tcMar>
          </w:tcPr>
          <w:p>
            <w:r>
              <w:rPr>
                <w:b/>
                <w:bCs/>
                <w:color w:val="FFFFFF"/>
                <w:sz w:val="18"/>
                <w:szCs w:val="18"/>
              </w:rPr>
              <w:t xml:space="preserve">Band</w:t>
            </w:r>
          </w:p>
        </w:tc>
        <w:tc>
          <w:tcPr>
            <w:tcW w:type="dxa" w:w="1800"/>
            <w:shd w:fill="1a3a5c" w:color="auto" w:val="clear"/>
            <w:tcMar>
              <w:top w:type="dxa" w:w="60"/>
              <w:left w:type="dxa" w:w="80"/>
              <w:bottom w:type="dxa" w:w="60"/>
              <w:right w:type="dxa" w:w="80"/>
            </w:tcMar>
          </w:tcPr>
          <w:p>
            <w:r>
              <w:rPr>
                <w:b/>
                <w:bCs/>
                <w:color w:val="FFFFFF"/>
                <w:sz w:val="18"/>
                <w:szCs w:val="18"/>
              </w:rPr>
              <w:t xml:space="preserve">Typical size</w:t>
            </w:r>
          </w:p>
        </w:tc>
        <w:tc>
          <w:tcPr>
            <w:tcW w:type="dxa" w:w="5760"/>
            <w:shd w:fill="1a3a5c" w:color="auto" w:val="clear"/>
            <w:tcMar>
              <w:top w:type="dxa" w:w="60"/>
              <w:left w:type="dxa" w:w="80"/>
              <w:bottom w:type="dxa" w:w="60"/>
              <w:right w:type="dxa" w:w="80"/>
            </w:tcMar>
          </w:tcPr>
          <w:p>
            <w:r>
              <w:rPr>
                <w:b/>
                <w:bCs/>
                <w:color w:val="FFFFFF"/>
                <w:sz w:val="18"/>
                <w:szCs w:val="18"/>
              </w:rPr>
              <w:t xml:space="preserve">What changes</w:t>
            </w:r>
          </w:p>
        </w:tc>
      </w:tr>
      <w:tr>
        <w:tc>
          <w:tcPr>
            <w:tcW w:type="dxa" w:w="1800"/>
            <w:shd w:fill="FFFFFF" w:color="auto" w:val="clear"/>
            <w:tcMar>
              <w:top w:type="dxa" w:w="60"/>
              <w:left w:type="dxa" w:w="80"/>
              <w:bottom w:type="dxa" w:w="60"/>
              <w:right w:type="dxa" w:w="80"/>
            </w:tcMar>
          </w:tcPr>
          <w:p>
            <w:r>
              <w:rPr>
                <w:sz w:val="18"/>
                <w:szCs w:val="18"/>
              </w:rPr>
              <w:t xml:space="preserve">Full (12-20)</w:t>
            </w:r>
          </w:p>
        </w:tc>
        <w:tc>
          <w:tcPr>
            <w:tcW w:type="dxa" w:w="1800"/>
            <w:shd w:fill="FFFFFF" w:color="auto" w:val="clear"/>
            <w:tcMar>
              <w:top w:type="dxa" w:w="60"/>
              <w:left w:type="dxa" w:w="80"/>
              <w:bottom w:type="dxa" w:w="60"/>
              <w:right w:type="dxa" w:w="80"/>
            </w:tcMar>
          </w:tcPr>
          <w:p>
            <w:r>
              <w:rPr>
                <w:sz w:val="18"/>
                <w:szCs w:val="18"/>
              </w:rPr>
              <w:t xml:space="preserve">the size this case is written for</w:t>
            </w:r>
          </w:p>
        </w:tc>
        <w:tc>
          <w:tcPr>
            <w:tcW w:type="dxa" w:w="5760"/>
            <w:shd w:fill="FFFFFF" w:color="auto" w:val="clear"/>
            <w:tcMar>
              <w:top w:type="dxa" w:w="60"/>
              <w:left w:type="dxa" w:w="80"/>
              <w:bottom w:type="dxa" w:w="60"/>
              <w:right w:type="dxa" w:w="80"/>
            </w:tcMar>
          </w:tcPr>
          <w:p>
            <w:r>
              <w:rPr>
                <w:sz w:val="18"/>
                <w:szCs w:val="18"/>
              </w:rPr>
              <w:t xml:space="preserve">Anchors and the 45-minute timed plan run as written above</w:t>
            </w:r>
          </w:p>
        </w:tc>
      </w:tr>
      <w:tr>
        <w:tc>
          <w:tcPr>
            <w:tcW w:type="dxa" w:w="1800"/>
            <w:shd w:fill="F7F9FB" w:color="auto" w:val="clear"/>
            <w:tcMar>
              <w:top w:type="dxa" w:w="60"/>
              <w:left w:type="dxa" w:w="80"/>
              <w:bottom w:type="dxa" w:w="60"/>
              <w:right w:type="dxa" w:w="80"/>
            </w:tcMar>
          </w:tcPr>
          <w:p>
            <w:r>
              <w:rPr>
                <w:sz w:val="18"/>
                <w:szCs w:val="18"/>
              </w:rPr>
              <w:t xml:space="preserve">Compressed (6-11)</w:t>
            </w:r>
          </w:p>
        </w:tc>
        <w:tc>
          <w:tcPr>
            <w:tcW w:type="dxa" w:w="1800"/>
            <w:shd w:fill="F7F9FB" w:color="auto" w:val="clear"/>
            <w:tcMar>
              <w:top w:type="dxa" w:w="60"/>
              <w:left w:type="dxa" w:w="80"/>
              <w:bottom w:type="dxa" w:w="60"/>
              <w:right w:type="dxa" w:w="80"/>
            </w:tcMar>
          </w:tcPr>
          <w:p>
            <w:r>
              <w:rPr>
                <w:sz w:val="18"/>
                <w:szCs w:val="18"/>
              </w:rPr>
              <w:t xml:space="preserve">smaller room</w:t>
            </w:r>
          </w:p>
        </w:tc>
        <w:tc>
          <w:tcPr>
            <w:tcW w:type="dxa" w:w="5760"/>
            <w:shd w:fill="F7F9FB" w:color="auto" w:val="clear"/>
            <w:tcMar>
              <w:top w:type="dxa" w:w="60"/>
              <w:left w:type="dxa" w:w="80"/>
              <w:bottom w:type="dxa" w:w="60"/>
              <w:right w:type="dxa" w:w="80"/>
            </w:tcMar>
          </w:tcPr>
          <w:p>
            <w:r>
              <w:rPr>
                <w:sz w:val="18"/>
                <w:szCs w:val="18"/>
              </w:rPr>
              <w:t xml:space="preserve">Anchors 2-3 combine into one pass; D1-D2's geometry solve runs as a single worked example instead of small-group work; total runtime shortens proportionally</w:t>
            </w:r>
          </w:p>
        </w:tc>
      </w:tr>
      <w:tr>
        <w:tc>
          <w:tcPr>
            <w:tcW w:type="dxa" w:w="1800"/>
            <w:shd w:fill="FFFFFF" w:color="auto" w:val="clear"/>
            <w:tcMar>
              <w:top w:type="dxa" w:w="60"/>
              <w:left w:type="dxa" w:w="80"/>
              <w:bottom w:type="dxa" w:w="60"/>
              <w:right w:type="dxa" w:w="80"/>
            </w:tcMar>
          </w:tcPr>
          <w:p>
            <w:r>
              <w:rPr>
                <w:sz w:val="18"/>
                <w:szCs w:val="18"/>
              </w:rPr>
              <w:t xml:space="preserve">1:1 / pair (1-2)</w:t>
            </w:r>
          </w:p>
        </w:tc>
        <w:tc>
          <w:tcPr>
            <w:tcW w:type="dxa" w:w="1800"/>
            <w:shd w:fill="FFFFFF" w:color="auto" w:val="clear"/>
            <w:tcMar>
              <w:top w:type="dxa" w:w="60"/>
              <w:left w:type="dxa" w:w="80"/>
              <w:bottom w:type="dxa" w:w="60"/>
              <w:right w:type="dxa" w:w="80"/>
            </w:tcMar>
          </w:tcPr>
          <w:p>
            <w:r>
              <w:rPr>
                <w:sz w:val="18"/>
                <w:szCs w:val="18"/>
              </w:rPr>
              <w:t xml:space="preserve">tutoring context</w:t>
            </w:r>
          </w:p>
        </w:tc>
        <w:tc>
          <w:tcPr>
            <w:tcW w:type="dxa" w:w="5760"/>
            <w:shd w:fill="FFFFFF" w:color="auto" w:val="clear"/>
            <w:tcMar>
              <w:top w:type="dxa" w:w="60"/>
              <w:left w:type="dxa" w:w="80"/>
              <w:bottom w:type="dxa" w:w="60"/>
              <w:right w:type="dxa" w:w="80"/>
            </w:tcMar>
          </w:tcPr>
          <w:p>
            <w:r>
              <w:rPr>
                <w:sz w:val="18"/>
                <w:szCs w:val="18"/>
              </w:rPr>
              <w:t xml:space="preserve">No vote at Anchor 1 — ask for a stated initial position and why instead; the facilitator plays devil's advocate directly rather than cold-calling the room; the D4 cost-per-square-foot comparison still runs in full</w:t>
            </w:r>
          </w:p>
        </w:tc>
      </w:tr>
    </w:tbl>
    <w:p>
      <w:pPr>
        <w:pStyle w:val="Heading2"/>
        <w:spacing w:after="120" w:before="240"/>
      </w:pPr>
      <w:r>
        <w:t xml:space="preserve">Skills This Case Exercises</w:t>
      </w:r>
    </w:p>
    <w:p>
      <w:pPr>
        <w:spacing w:after="160"/>
      </w:pPr>
      <w:r>
        <w:t xml:space="preserve">Name these explicitly in debrief so students connect the case back to the standards ladder: sphere volume and surface-area formulas, cylinder volume and surface-area formulas, solving an equation for an unknown dimension (radius, height) given a fixed volume, converting a compound-unit rate (square feet per 1,000 gallons), and computing and interpreting a percent-based margin between two real-world cost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2026-09-06T12:15:37.078Z</dcterms:created>
  <dcterms:modified xsi:type="dcterms:W3CDTF">2026-09-06T12:15:37.082Z</dcterms:modified>
</cp:coreProperties>
</file>

<file path=docProps/custom.xml><?xml version="1.0" encoding="utf-8"?>
<Properties xmlns="http://schemas.openxmlformats.org/officeDocument/2006/custom-properties" xmlns:vt="http://schemas.openxmlformats.org/officeDocument/2006/docPropsVTypes"/>
</file>