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Case Study: The Sightline Vote</w:t>
      </w:r>
    </w:p>
    <w:p>
      <w:pPr>
        <w:spacing w:after="320"/>
      </w:pPr>
      <w:r>
        <w:rPr>
          <w:i/>
          <w:iCs/>
          <w:color w:val="5b6472"/>
          <w:sz w:val="22"/>
          <w:szCs w:val="22"/>
        </w:rPr>
        <w:t xml:space="preserve">MS | Math | Case Study | 2026-27 | Heroes Academy</w:t>
      </w:r>
    </w:p>
    <w:p>
      <w:pPr>
        <w:pStyle w:val="Heading1"/>
        <w:spacing w:after="140" w:before="280"/>
      </w:pPr>
      <w:r>
        <w:t xml:space="preserve">Overview</w:t>
      </w:r>
    </w:p>
    <w:p>
      <w:pPr>
        <w:spacing w:after="160"/>
      </w:pPr>
      <w:r>
        <w:t xml:space="preserve">Dana Whitcombe kneels on the shoulder of Birch Hollow Road, sketching the final skid mark into a police diagram while a tow truck winches a crushed sedan onto its flatbed. This is the second car she has watched get T-boned at this exact corner in a month — same blind approach, same crumpled driver’s door, same statement from the other driver: "I never saw it coming until it was already there." The smell of hot brake dust still hangs over the intersection.</w:t>
      </w:r>
    </w:p>
    <w:p>
      <w:pPr>
        <w:spacing w:after="160"/>
      </w:pPr>
      <w:r>
        <w:t xml:space="preserve">Dana is the city’s traffic engineer. She flagged this corner in a memo two years ago — Kellner Avenue and Birch Hollow Road have never met at a square angle, not since the road was laid out along an old farm-lot line generations before either street had a name — and the memo went into a budget queue that never got funded. Now the local paper has run both crashes on its front page, under the same headline font, eleven days apart.</w:t>
      </w:r>
    </w:p>
    <w:p>
      <w:pPr>
        <w:spacing w:after="160"/>
      </w:pPr>
      <w:r>
        <w:t xml:space="preserve">Her phone buzzes face-down on the hood of her city truck. It’s her department head: the council has put emergency funding for the intersection on the agenda, and they vote in ten days — one option, whichever one Dana recommends, no time to build a mockup of either first. Two contractors have already called, each swearing their own fix clears the state’s minimum sightline standard. Neither number has actually been checked.</w:t>
      </w:r>
    </w:p>
    <w:p>
      <w:pPr>
        <w:spacing w:after="160"/>
      </w:pPr>
      <w:r>
        <w:t xml:space="preserve">Dana pulls two folders out of her truck — one thick with land-purchase paperwork, one thin and ready to break ground next week — and opens both on the hood, next to the chalk outline of where the Civic used to be.</w:t>
      </w:r>
    </w:p>
    <w:p>
      <w:pPr>
        <w:pStyle w:val="Heading1"/>
        <w:spacing w:after="140" w:before="280"/>
      </w:pPr>
      <w:r>
        <w:t xml:space="preserve">Background</w:t>
      </w:r>
    </w:p>
    <w:p>
      <w:pPr>
        <w:spacing w:after="160"/>
      </w:pPr>
      <w:r>
        <w:t xml:space="preserve">Dana Whitcombe is the City of Caldwell Falls’s sole traffic engineer, responsible for signing off on any intersection redesign before public works can put it out to bid. She reports directly to the city council, and her professional judgment is the only technical review this project will get before the vote.</w:t>
      </w:r>
    </w:p>
    <w:p>
      <w:pPr>
        <w:spacing w:after="160"/>
      </w:pPr>
      <w:r>
        <w:t xml:space="preserve">Kellner Avenue (the four-lane through street) and Birch Hollow Road (the two-lane residential street) cross at a skewed angle — the two roads have never met at 90 degrees, because Birch Hollow was originally laid out along an 1880s farm-lot boundary that predates the street grid (SEE APPENDIX A). A driver stopped on Birch Hollow has to turn sharply in the seat to see traffic coming down Kellner, and that skew is the specific defect named in both crash reports.</w:t>
      </w:r>
    </w:p>
    <w:p>
      <w:pPr>
        <w:spacing w:after="160"/>
      </w:pPr>
      <w:r>
        <w:t xml:space="preserve">Two fixes are on the table, and only two — the council will fund exactly one of them before the vote closes:</w:t>
      </w:r>
    </w:p>
    <w:p>
      <w:pPr>
        <w:spacing w:after="160"/>
      </w:pPr>
      <w:r>
        <w:rPr>
          <w:b/>
          <w:bCs/>
        </w:rPr>
        <w:t xml:space="preserve">The Squared Corner</w:t>
      </w:r>
      <w:r>
        <w:t xml:space="preserve"> reconstructs the intersection so Kellner Avenue and Birch Hollow Road cross at a true 90-degree angle. This is the redesign both crash reports recommend outright, and it requires the city to first buy two narrow slivers of the northeast and southeast corner lots — land the city does not currently own — before public works can even start moving curb (SEE APPENDIX C).</w:t>
      </w:r>
    </w:p>
    <w:p>
      <w:pPr>
        <w:spacing w:after="160"/>
      </w:pPr>
      <w:r>
        <w:rPr>
          <w:b/>
          <w:bCs/>
        </w:rPr>
        <w:t xml:space="preserve">The Offset Bypass</w:t>
      </w:r>
      <w:r>
        <w:t xml:space="preserve"> adds a short new connector lane rather than rebuilding the corner itself. The new lane is built parallel to the platted 1880s lot line that already runs along the adjoining parcel (SEE APPENDIX A) — which means public works can build entirely inside the city’s existing right-of-way, with no land purchase and no title work, starting as soon as a crew is free (SEE APPENDIX C).</w:t>
      </w:r>
    </w:p>
    <w:p>
      <w:pPr>
        <w:spacing w:after="160"/>
      </w:pPr>
      <w:r>
        <w:t xml:space="preserve">Both contractors claim their design clears the state’s minimum sightline-safety angle for a public intersection (SEE APPENDIX B), a standard neither number has actually been checked against. The case’s own sightline-safety scoring method, and the real research behind why intersection angle matters for crash risk at all, are in Appendix B. All figures in this case are sourced in APPENDIX E, or stated as an explicit modeling assumption in APPENDIX D where no public figure exists for this specific, one-of-a-kind intersection. The vocabulary and the "how to…" skills this case will ask of you are listed in APPENDIX G — that is where Challenge 1 sends you. (SEE APPENDIX F for further reading on intersection geometry and sight-distance design.)</w:t>
      </w:r>
    </w:p>
    <w:p>
      <w:pPr>
        <w:pStyle w:val="Heading1"/>
        <w:spacing w:after="140" w:before="280"/>
      </w:pPr>
      <w:r>
        <w:t xml:space="preserve">Dilemma</w:t>
      </w:r>
    </w:p>
    <w:p>
      <w:pPr>
        <w:spacing w:after="160"/>
      </w:pPr>
      <w:r>
        <w:t xml:space="preserve">You are Dana Whitcombe.</w:t>
      </w:r>
    </w:p>
    <w:p>
      <w:pPr>
        <w:spacing w:after="160"/>
      </w:pPr>
      <w:r>
        <w:t xml:space="preserve">Do you:</w:t>
      </w:r>
    </w:p>
    <w:p>
      <w:pPr>
        <w:spacing w:after="160"/>
      </w:pPr>
      <w:r>
        <w:t xml:space="preserve">A.) Recommend The Squared Corner — buy the two corner-lot slivers and reconstruct the intersection at a full 90-degree angle OR</w:t>
      </w:r>
    </w:p>
    <w:p>
      <w:pPr>
        <w:spacing w:after="160"/>
      </w:pPr>
      <w:r>
        <w:t xml:space="preserve">B.) Recommend The Offset Bypass — build the new connector lane parallel to the existing platted lot line, at the intersection’s existing skew angle, with no land purchase</w:t>
      </w:r>
    </w:p>
    <w:p>
      <w:pPr>
        <w:pStyle w:val="Heading1"/>
        <w:spacing w:after="140" w:before="280"/>
      </w:pPr>
      <w: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spacing w:after="160"/>
      </w:pPr>
      <w:r>
        <w:t xml:space="preserve">    a.) Use of the "how to…" resource you researched in Challenge 1.</w:t>
      </w:r>
    </w:p>
    <w:p>
      <w:pPr>
        <w:spacing w:after="160"/>
      </w:pPr>
      <w:r>
        <w:t xml:space="preserve">    b.) At least one original visual display of the data.</w:t>
      </w:r>
    </w:p>
    <w:p>
      <w:pPr>
        <w:spacing w:after="160"/>
      </w:pPr>
      <w:r>
        <w:t xml:space="preserve">3.) Your pitch must include:</w:t>
      </w:r>
    </w:p>
    <w:p>
      <w:pPr>
        <w:spacing w:after="160"/>
      </w:pPr>
      <w:r>
        <w:t xml:space="preserve">    D1. A labeled plan-view site diagram of the current intersection and of each redesign option, marking on every diagram: one fixed point (a surveyed reference point at the existing curb corner), one line segment (a specific curb edge, with both endpoints labeled), one ray (the sightline a stopped driver on Birch Hollow Road would look along, extending down Kellner Avenue from a fixed point), and the vertex where the two road centerlines actually meet in that diagram.</w:t>
      </w:r>
    </w:p>
    <w:p>
      <w:pPr>
        <w:spacing w:after="160"/>
      </w:pPr>
      <w:r>
        <w:t xml:space="preserve">    D2. For the current, pre-redesign intersection, use the stated skew angle to find all four angles formed where Kellner Avenue and Birch Hollow Road cross, classify each one as acute or obtuse, show that each adjacent pair of angles is supplementary, and show that the two acute angles are a congruent vertical pair (and likewise for the two obtuse angles).</w:t>
      </w:r>
    </w:p>
    <w:p>
      <w:pPr>
        <w:spacing w:after="160"/>
      </w:pPr>
      <w:r>
        <w:t xml:space="preserve">    D3. For The Squared Corner, show the four angles the redesign creates where the roads cross, confirm each is a right angle, and — using the ADA curb ramp the redesign places diagonally across the northeast corner — show the ramp splits that corner’s right angle into two complementary angles and find the measure of both.</w:t>
      </w:r>
    </w:p>
    <w:p>
      <w:pPr>
        <w:spacing w:after="160"/>
      </w:pPr>
      <w:r>
        <w:t xml:space="preserve">    D4. For The Offset Bypass, show that the new connector lane is built parallel to the platted 1880s lot line, use the lot line’s known angle to Kellner Avenue as your one given angle measure, and find the resulting angle where the connector lane meets Kellner Avenue — naming the angle-pair relationship (corresponding, alternate interior, or co-interior) you used at each step.</w:t>
      </w:r>
    </w:p>
    <w:p>
      <w:pPr>
        <w:spacing w:after="160"/>
      </w:pPr>
      <w:r>
        <w:t xml:space="preserve">    D5. A sightline-safety-score-per-dollar comparison: using the angle values from D2–D4 and Appendix B’s scoring method, compute each option’s safety score, divide by each option’s total construction cost from Appendix C, and state which option wins on that number and by how much.</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t xml:space="preserve">5.) Participate twice or more in the Case Study discussion. *If you are absent the day of a discussion post 500 "excellent" words on the questions above.</w:t>
      </w:r>
    </w:p>
    <w:p>
      <w:pPr>
        <w:pStyle w:val="Heading1"/>
        <w:spacing w:after="140" w:before="280"/>
      </w:pPr>
      <w:r>
        <w:t xml:space="preserve">Appendix A — Intersection Geometry Reference</w:t>
      </w:r>
    </w:p>
    <w:p>
      <w:pPr>
        <w:spacing w:after="160"/>
      </w:pPr>
      <w:r>
        <w:t xml:space="preserve">Dana’s own site survey for this intersection — not a public GIS record (the city’s as-built survey is held internally pending the redesign), but built entirely from real, standard intersection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shd w:fill="1a3a5c" w:color="auto" w:val="clear"/>
            <w:tcMar>
              <w:top w:type="dxa" w:w="80"/>
              <w:left w:type="dxa" w:w="100"/>
              <w:bottom w:type="dxa" w:w="80"/>
              <w:right w:type="dxa" w:w="100"/>
            </w:tcMar>
          </w:tcPr>
          <w:p>
            <w:r>
              <w:rPr>
                <w:b/>
                <w:bCs/>
                <w:color w:val="FFFFFF"/>
                <w:sz w:val="20"/>
                <w:szCs w:val="20"/>
              </w:rPr>
              <w:t xml:space="preserve"/>
            </w:r>
          </w:p>
        </w:tc>
        <w:tc>
          <w:tcPr>
            <w:tcW w:type="dxa" w:w="3000"/>
            <w:shd w:fill="1a3a5c" w:color="auto" w:val="clear"/>
            <w:tcMar>
              <w:top w:type="dxa" w:w="80"/>
              <w:left w:type="dxa" w:w="100"/>
              <w:bottom w:type="dxa" w:w="80"/>
              <w:right w:type="dxa" w:w="100"/>
            </w:tcMar>
          </w:tcPr>
          <w:p>
            <w:r>
              <w:rPr>
                <w:b/>
                <w:bCs/>
                <w:color w:val="FFFFFF"/>
                <w:sz w:val="20"/>
                <w:szCs w:val="20"/>
              </w:rPr>
              <w:t xml:space="preserve">Value</w:t>
            </w:r>
          </w:p>
        </w:tc>
      </w:tr>
      <w:tr>
        <w:tc>
          <w:tcPr>
            <w:tcW w:type="dxa" w:w="6360"/>
            <w:tcMar>
              <w:top w:type="dxa" w:w="80"/>
              <w:left w:type="dxa" w:w="100"/>
              <w:bottom w:type="dxa" w:w="80"/>
              <w:right w:type="dxa" w:w="100"/>
            </w:tcMar>
          </w:tcPr>
          <w:p>
            <w:r>
              <w:rPr>
                <w:b w:val="false"/>
                <w:bCs w:val="false"/>
                <w:sz w:val="20"/>
                <w:szCs w:val="20"/>
              </w:rPr>
              <w:t xml:space="preserve">Kellner Avenue (major street) width</w:t>
            </w:r>
          </w:p>
        </w:tc>
        <w:tc>
          <w:tcPr>
            <w:tcW w:type="dxa" w:w="3000"/>
            <w:tcMar>
              <w:top w:type="dxa" w:w="80"/>
              <w:left w:type="dxa" w:w="100"/>
              <w:bottom w:type="dxa" w:w="80"/>
              <w:right w:type="dxa" w:w="100"/>
            </w:tcMar>
          </w:tcPr>
          <w:p>
            <w:r>
              <w:rPr>
                <w:b w:val="false"/>
                <w:bCs w:val="false"/>
                <w:sz w:val="20"/>
                <w:szCs w:val="20"/>
              </w:rPr>
              <w:t xml:space="preserve">36 ft, two lanes each direction</w:t>
            </w:r>
          </w:p>
        </w:tc>
      </w:tr>
      <w:tr>
        <w:tc>
          <w:tcPr>
            <w:tcW w:type="dxa" w:w="6360"/>
            <w:tcMar>
              <w:top w:type="dxa" w:w="80"/>
              <w:left w:type="dxa" w:w="100"/>
              <w:bottom w:type="dxa" w:w="80"/>
              <w:right w:type="dxa" w:w="100"/>
            </w:tcMar>
          </w:tcPr>
          <w:p>
            <w:r>
              <w:rPr>
                <w:b w:val="false"/>
                <w:bCs w:val="false"/>
                <w:sz w:val="20"/>
                <w:szCs w:val="20"/>
              </w:rPr>
              <w:t xml:space="preserve">Birch Hollow Road (minor street) width</w:t>
            </w:r>
          </w:p>
        </w:tc>
        <w:tc>
          <w:tcPr>
            <w:tcW w:type="dxa" w:w="3000"/>
            <w:tcMar>
              <w:top w:type="dxa" w:w="80"/>
              <w:left w:type="dxa" w:w="100"/>
              <w:bottom w:type="dxa" w:w="80"/>
              <w:right w:type="dxa" w:w="100"/>
            </w:tcMar>
          </w:tcPr>
          <w:p>
            <w:r>
              <w:rPr>
                <w:b w:val="false"/>
                <w:bCs w:val="false"/>
                <w:sz w:val="20"/>
                <w:szCs w:val="20"/>
              </w:rPr>
              <w:t xml:space="preserve">30 ft, two lanes</w:t>
            </w:r>
          </w:p>
        </w:tc>
      </w:tr>
      <w:tr>
        <w:tc>
          <w:tcPr>
            <w:tcW w:type="dxa" w:w="6360"/>
            <w:tcMar>
              <w:top w:type="dxa" w:w="80"/>
              <w:left w:type="dxa" w:w="100"/>
              <w:bottom w:type="dxa" w:w="80"/>
              <w:right w:type="dxa" w:w="100"/>
            </w:tcMar>
          </w:tcPr>
          <w:p>
            <w:r>
              <w:rPr>
                <w:b w:val="false"/>
                <w:bCs w:val="false"/>
                <w:sz w:val="20"/>
                <w:szCs w:val="20"/>
              </w:rPr>
              <w:t xml:space="preserve">Current intersection angle, acute pair</w:t>
            </w:r>
          </w:p>
        </w:tc>
        <w:tc>
          <w:tcPr>
            <w:tcW w:type="dxa" w:w="3000"/>
            <w:tcMar>
              <w:top w:type="dxa" w:w="80"/>
              <w:left w:type="dxa" w:w="100"/>
              <w:bottom w:type="dxa" w:w="80"/>
              <w:right w:type="dxa" w:w="100"/>
            </w:tcMar>
          </w:tcPr>
          <w:p>
            <w:r>
              <w:rPr>
                <w:b w:val="false"/>
                <w:bCs w:val="false"/>
                <w:sz w:val="20"/>
                <w:szCs w:val="20"/>
              </w:rPr>
              <w:t xml:space="preserve">50°</w:t>
            </w:r>
          </w:p>
        </w:tc>
      </w:tr>
      <w:tr>
        <w:tc>
          <w:tcPr>
            <w:tcW w:type="dxa" w:w="6360"/>
            <w:tcMar>
              <w:top w:type="dxa" w:w="80"/>
              <w:left w:type="dxa" w:w="100"/>
              <w:bottom w:type="dxa" w:w="80"/>
              <w:right w:type="dxa" w:w="100"/>
            </w:tcMar>
          </w:tcPr>
          <w:p>
            <w:r>
              <w:rPr>
                <w:b w:val="false"/>
                <w:bCs w:val="false"/>
                <w:sz w:val="20"/>
                <w:szCs w:val="20"/>
              </w:rPr>
              <w:t xml:space="preserve">Current intersection angle, obtuse pair</w:t>
            </w:r>
          </w:p>
        </w:tc>
        <w:tc>
          <w:tcPr>
            <w:tcW w:type="dxa" w:w="3000"/>
            <w:tcMar>
              <w:top w:type="dxa" w:w="80"/>
              <w:left w:type="dxa" w:w="100"/>
              <w:bottom w:type="dxa" w:w="80"/>
              <w:right w:type="dxa" w:w="100"/>
            </w:tcMar>
          </w:tcPr>
          <w:p>
            <w:r>
              <w:rPr>
                <w:b w:val="false"/>
                <w:bCs w:val="false"/>
                <w:sz w:val="20"/>
                <w:szCs w:val="20"/>
              </w:rPr>
              <w:t xml:space="preserve">130°</w:t>
            </w:r>
          </w:p>
        </w:tc>
      </w:tr>
      <w:tr>
        <w:tc>
          <w:tcPr>
            <w:tcW w:type="dxa" w:w="6360"/>
            <w:tcMar>
              <w:top w:type="dxa" w:w="80"/>
              <w:left w:type="dxa" w:w="100"/>
              <w:bottom w:type="dxa" w:w="80"/>
              <w:right w:type="dxa" w:w="100"/>
            </w:tcMar>
          </w:tcPr>
          <w:p>
            <w:r>
              <w:rPr>
                <w:b w:val="false"/>
                <w:bCs w:val="false"/>
                <w:sz w:val="20"/>
                <w:szCs w:val="20"/>
              </w:rPr>
              <w:t xml:space="preserve">Platted 1880s lot line angle to Kellner Avenue (given angle for The Offset Bypass)</w:t>
            </w:r>
          </w:p>
        </w:tc>
        <w:tc>
          <w:tcPr>
            <w:tcW w:type="dxa" w:w="3000"/>
            <w:tcMar>
              <w:top w:type="dxa" w:w="80"/>
              <w:left w:type="dxa" w:w="100"/>
              <w:bottom w:type="dxa" w:w="80"/>
              <w:right w:type="dxa" w:w="100"/>
            </w:tcMar>
          </w:tcPr>
          <w:p>
            <w:r>
              <w:rPr>
                <w:b w:val="false"/>
                <w:bCs w:val="false"/>
                <w:sz w:val="20"/>
                <w:szCs w:val="20"/>
              </w:rPr>
              <w:t xml:space="preserve">75°</w:t>
            </w:r>
          </w:p>
        </w:tc>
      </w:tr>
      <w:tr>
        <w:tc>
          <w:tcPr>
            <w:tcW w:type="dxa" w:w="6360"/>
            <w:tcMar>
              <w:top w:type="dxa" w:w="80"/>
              <w:left w:type="dxa" w:w="100"/>
              <w:bottom w:type="dxa" w:w="80"/>
              <w:right w:type="dxa" w:w="100"/>
            </w:tcMar>
          </w:tcPr>
          <w:p>
            <w:r>
              <w:rPr>
                <w:b w:val="false"/>
                <w:bCs w:val="false"/>
                <w:sz w:val="20"/>
                <w:szCs w:val="20"/>
              </w:rPr>
              <w:t xml:space="preserve">ADA curb ramp angle to the Kellner Avenue curb, northeast corner (The Squared Corner design)</w:t>
            </w:r>
          </w:p>
        </w:tc>
        <w:tc>
          <w:tcPr>
            <w:tcW w:type="dxa" w:w="3000"/>
            <w:tcMar>
              <w:top w:type="dxa" w:w="80"/>
              <w:left w:type="dxa" w:w="100"/>
              <w:bottom w:type="dxa" w:w="80"/>
              <w:right w:type="dxa" w:w="100"/>
            </w:tcMar>
          </w:tcPr>
          <w:p>
            <w:r>
              <w:rPr>
                <w:b w:val="false"/>
                <w:bCs w:val="false"/>
                <w:sz w:val="20"/>
                <w:szCs w:val="20"/>
              </w:rPr>
              <w:t xml:space="preserve">35°</w:t>
            </w:r>
          </w:p>
        </w:tc>
      </w:tr>
      <w:tr>
        <w:tc>
          <w:tcPr>
            <w:tcW w:type="dxa" w:w="6360"/>
            <w:tcMar>
              <w:top w:type="dxa" w:w="80"/>
              <w:left w:type="dxa" w:w="100"/>
              <w:bottom w:type="dxa" w:w="80"/>
              <w:right w:type="dxa" w:w="100"/>
            </w:tcMar>
          </w:tcPr>
          <w:p>
            <w:r>
              <w:rPr>
                <w:b w:val="false"/>
                <w:bCs w:val="false"/>
                <w:sz w:val="20"/>
                <w:szCs w:val="20"/>
              </w:rPr>
              <w:t xml:space="preserve">Corner curb-return radius, both options</w:t>
            </w:r>
          </w:p>
        </w:tc>
        <w:tc>
          <w:tcPr>
            <w:tcW w:type="dxa" w:w="3000"/>
            <w:tcMar>
              <w:top w:type="dxa" w:w="80"/>
              <w:left w:type="dxa" w:w="100"/>
              <w:bottom w:type="dxa" w:w="80"/>
              <w:right w:type="dxa" w:w="100"/>
            </w:tcMar>
          </w:tcPr>
          <w:p>
            <w:r>
              <w:rPr>
                <w:b w:val="false"/>
                <w:bCs w:val="false"/>
                <w:sz w:val="20"/>
                <w:szCs w:val="20"/>
              </w:rPr>
              <w:t xml:space="preserve">25 ft</w:t>
            </w:r>
          </w:p>
        </w:tc>
      </w:tr>
    </w:tbl>
    <w:p>
      <w:pPr>
        <w:spacing w:after="160"/>
      </w:pPr>
      <w:r>
        <w:t xml:space="preserve">The current 50°/130° skew and the 75° platted lot-line angle are two separate, independent facts about this site: the lot line is a legal boundary that has existed since the 1880s survey, while the 50°/130° skew is simply how the two roads happen to cross today. The Offset Bypass’s own resulting angle (D4) is derived from the lot line’s 75°, not from the current 50°/130° skew.</w:t>
      </w:r>
    </w:p>
    <w:p>
      <w:pPr>
        <w:pStyle w:val="Heading1"/>
        <w:spacing w:after="140" w:before="280"/>
      </w:pPr>
      <w:r>
        <w:t xml:space="preserve">Appendix B — Sightline Safety Score</w:t>
      </w:r>
    </w:p>
    <w:p>
      <w:pPr>
        <w:spacing w:after="160"/>
      </w:pPr>
      <w:r>
        <w:t xml:space="preserve">Real research backs why intersection angle matters for crash risk at all: FHWA’s own research report Impact of Intersection Angle on Highway Safety [S2] found a measurable, quantifiable relationship between an intersection’s angle and its crash rate, and recommended agencies revisit the "critical minimum angle" policies they design to. Separately, California’s own Highway Design Manual [S1] sets a real, binding minimum: an intersection’s interior angle "should not be less than 75 degrees."</w:t>
      </w:r>
    </w:p>
    <w:p>
      <w:pPr>
        <w:spacing w:after="160"/>
      </w:pPr>
      <w:r>
        <w:t xml:space="preserve">This case scores each redesign’s sightline safety on a 0–1 scale defined as:</w:t>
      </w:r>
    </w:p>
    <w:p>
      <w:pPr>
        <w:spacing w:after="160"/>
      </w:pPr>
      <w:r>
        <w:rPr>
          <w:i/>
          <w:iCs/>
        </w:rPr>
        <w:t xml:space="preserve">Safety score = sin(intersection angle), where "intersection angle" is the acute angle formed where the two roads cross, and the angle is measured in degrees.</w:t>
      </w:r>
    </w:p>
    <w:p>
      <w:pPr>
        <w:spacing w:after="160"/>
      </w:pPr>
      <w:r>
        <w:t xml:space="preserve">A full 90-degree, perfectly perpendicular crossing scores a perfect 1.0. This is a modeling simplification of the real relationship named above (SEE APPENDIX D, MA3) — not FHWA’s own crash-modification formula, which this case does not reproduce.</w:t>
      </w:r>
    </w:p>
    <w:p>
      <w:pPr>
        <w:spacing w:after="160"/>
      </w:pPr>
      <w:r>
        <w:t xml:space="preserve">The state’s minimum sightline-safety standard both contractors claim to clear is 75 degrees [S1] — the same real state design-manual standard named above.</w:t>
      </w:r>
    </w:p>
    <w:p>
      <w:pPr>
        <w:pStyle w:val="Heading1"/>
        <w:spacing w:after="140" w:before="280"/>
      </w:pPr>
      <w:r>
        <w:t xml:space="preserve">Appendix C — Construction Cost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shd w:fill="1a3a5c" w:color="auto" w:val="clear"/>
            <w:tcMar>
              <w:top w:type="dxa" w:w="80"/>
              <w:left w:type="dxa" w:w="100"/>
              <w:bottom w:type="dxa" w:w="80"/>
              <w:right w:type="dxa" w:w="100"/>
            </w:tcMar>
          </w:tcPr>
          <w:p>
            <w:r>
              <w:rPr>
                <w:b/>
                <w:bCs/>
                <w:color w:val="FFFFFF"/>
                <w:sz w:val="20"/>
                <w:szCs w:val="20"/>
              </w:rPr>
              <w:t xml:space="preserve"/>
            </w:r>
          </w:p>
        </w:tc>
        <w:tc>
          <w:tcPr>
            <w:tcW w:type="dxa" w:w="2500"/>
            <w:shd w:fill="1a3a5c" w:color="auto" w:val="clear"/>
            <w:tcMar>
              <w:top w:type="dxa" w:w="80"/>
              <w:left w:type="dxa" w:w="100"/>
              <w:bottom w:type="dxa" w:w="80"/>
              <w:right w:type="dxa" w:w="100"/>
            </w:tcMar>
          </w:tcPr>
          <w:p>
            <w:r>
              <w:rPr>
                <w:b/>
                <w:bCs/>
                <w:color w:val="FFFFFF"/>
                <w:sz w:val="20"/>
                <w:szCs w:val="20"/>
              </w:rPr>
              <w:t xml:space="preserve">The Squared Corner (A)</w:t>
            </w:r>
          </w:p>
        </w:tc>
        <w:tc>
          <w:tcPr>
            <w:tcW w:type="dxa" w:w="2500"/>
            <w:shd w:fill="1a3a5c" w:color="auto" w:val="clear"/>
            <w:tcMar>
              <w:top w:type="dxa" w:w="80"/>
              <w:left w:type="dxa" w:w="100"/>
              <w:bottom w:type="dxa" w:w="80"/>
              <w:right w:type="dxa" w:w="100"/>
            </w:tcMar>
          </w:tcPr>
          <w:p>
            <w:r>
              <w:rPr>
                <w:b/>
                <w:bCs/>
                <w:color w:val="FFFFFF"/>
                <w:sz w:val="20"/>
                <w:szCs w:val="20"/>
              </w:rPr>
              <w:t xml:space="preserve">The Offset Bypass (B)</w:t>
            </w:r>
          </w:p>
        </w:tc>
      </w:tr>
      <w:tr>
        <w:tc>
          <w:tcPr>
            <w:tcW w:type="dxa" w:w="4360"/>
            <w:tcMar>
              <w:top w:type="dxa" w:w="80"/>
              <w:left w:type="dxa" w:w="100"/>
              <w:bottom w:type="dxa" w:w="80"/>
              <w:right w:type="dxa" w:w="100"/>
            </w:tcMar>
          </w:tcPr>
          <w:p>
            <w:r>
              <w:rPr>
                <w:b w:val="false"/>
                <w:bCs w:val="false"/>
                <w:sz w:val="20"/>
                <w:szCs w:val="20"/>
              </w:rPr>
              <w:t xml:space="preserve">Shared base reconstruction (signal loop, drainage tie-in, ADA ramps, base course paving) [MA1]</w:t>
            </w:r>
          </w:p>
        </w:tc>
        <w:tc>
          <w:tcPr>
            <w:tcW w:type="dxa" w:w="2500"/>
            <w:tcMar>
              <w:top w:type="dxa" w:w="80"/>
              <w:left w:type="dxa" w:w="100"/>
              <w:bottom w:type="dxa" w:w="80"/>
              <w:right w:type="dxa" w:w="100"/>
            </w:tcMar>
          </w:tcPr>
          <w:p>
            <w:r>
              <w:rPr>
                <w:b w:val="false"/>
                <w:bCs w:val="false"/>
                <w:sz w:val="20"/>
                <w:szCs w:val="20"/>
              </w:rPr>
              <w:t xml:space="preserve">$400,000</w:t>
            </w:r>
          </w:p>
        </w:tc>
        <w:tc>
          <w:tcPr>
            <w:tcW w:type="dxa" w:w="2500"/>
            <w:tcMar>
              <w:top w:type="dxa" w:w="80"/>
              <w:left w:type="dxa" w:w="100"/>
              <w:bottom w:type="dxa" w:w="80"/>
              <w:right w:type="dxa" w:w="100"/>
            </w:tcMar>
          </w:tcPr>
          <w:p>
            <w:r>
              <w:rPr>
                <w:b w:val="false"/>
                <w:bCs w:val="false"/>
                <w:sz w:val="20"/>
                <w:szCs w:val="20"/>
              </w:rPr>
              <w:t xml:space="preserve">$400,000 — both options rebuild the same intersection core</w:t>
            </w:r>
          </w:p>
        </w:tc>
      </w:tr>
      <w:tr>
        <w:tc>
          <w:tcPr>
            <w:tcW w:type="dxa" w:w="4360"/>
            <w:tcMar>
              <w:top w:type="dxa" w:w="80"/>
              <w:left w:type="dxa" w:w="100"/>
              <w:bottom w:type="dxa" w:w="80"/>
              <w:right w:type="dxa" w:w="100"/>
            </w:tcMar>
          </w:tcPr>
          <w:p>
            <w:r>
              <w:rPr>
                <w:b w:val="false"/>
                <w:bCs w:val="false"/>
                <w:sz w:val="20"/>
                <w:szCs w:val="20"/>
              </w:rPr>
              <w:t xml:space="preserve">Land acquisition, two corner-lot slivers (Option A only) [MA2]</w:t>
            </w:r>
          </w:p>
        </w:tc>
        <w:tc>
          <w:tcPr>
            <w:tcW w:type="dxa" w:w="2500"/>
            <w:tcMar>
              <w:top w:type="dxa" w:w="80"/>
              <w:left w:type="dxa" w:w="100"/>
              <w:bottom w:type="dxa" w:w="80"/>
              <w:right w:type="dxa" w:w="100"/>
            </w:tcMar>
          </w:tcPr>
          <w:p>
            <w:r>
              <w:rPr>
                <w:b w:val="false"/>
                <w:bCs w:val="false"/>
                <w:sz w:val="20"/>
                <w:szCs w:val="20"/>
              </w:rPr>
              <w:t xml:space="preserve">$80,000</w:t>
            </w:r>
          </w:p>
        </w:tc>
        <w:tc>
          <w:tcPr>
            <w:tcW w:type="dxa" w:w="2500"/>
            <w:tcMar>
              <w:top w:type="dxa" w:w="80"/>
              <w:left w:type="dxa" w:w="100"/>
              <w:bottom w:type="dxa" w:w="80"/>
              <w:right w:type="dxa" w:w="100"/>
            </w:tcMar>
          </w:tcPr>
          <w:p>
            <w:r>
              <w:rPr>
                <w:b w:val="false"/>
                <w:bCs w:val="false"/>
                <w:sz w:val="20"/>
                <w:szCs w:val="20"/>
              </w:rPr>
              <w:t xml:space="preserve">$0 — no land purchase required</w:t>
            </w:r>
          </w:p>
        </w:tc>
      </w:tr>
      <w:tr>
        <w:tc>
          <w:tcPr>
            <w:tcW w:type="dxa" w:w="4360"/>
            <w:tcMar>
              <w:top w:type="dxa" w:w="80"/>
              <w:left w:type="dxa" w:w="100"/>
              <w:bottom w:type="dxa" w:w="80"/>
              <w:right w:type="dxa" w:w="100"/>
            </w:tcMar>
          </w:tcPr>
          <w:p>
            <w:r>
              <w:rPr>
                <w:b w:val="false"/>
                <w:bCs w:val="false"/>
                <w:sz w:val="20"/>
                <w:szCs w:val="20"/>
              </w:rPr>
              <w:t xml:space="preserve">New curb-and-gutter construction, this option’s own linear footage</w:t>
            </w:r>
          </w:p>
        </w:tc>
        <w:tc>
          <w:tcPr>
            <w:tcW w:type="dxa" w:w="2500"/>
            <w:tcMar>
              <w:top w:type="dxa" w:w="80"/>
              <w:left w:type="dxa" w:w="100"/>
              <w:bottom w:type="dxa" w:w="80"/>
              <w:right w:type="dxa" w:w="100"/>
            </w:tcMar>
          </w:tcPr>
          <w:p>
            <w:r>
              <w:rPr>
                <w:b w:val="false"/>
                <w:bCs w:val="false"/>
                <w:sz w:val="20"/>
                <w:szCs w:val="20"/>
              </w:rPr>
              <w:t xml:space="preserve">280 linear ft</w:t>
            </w:r>
          </w:p>
        </w:tc>
        <w:tc>
          <w:tcPr>
            <w:tcW w:type="dxa" w:w="2500"/>
            <w:tcMar>
              <w:top w:type="dxa" w:w="80"/>
              <w:left w:type="dxa" w:w="100"/>
              <w:bottom w:type="dxa" w:w="80"/>
              <w:right w:type="dxa" w:w="100"/>
            </w:tcMar>
          </w:tcPr>
          <w:p>
            <w:r>
              <w:rPr>
                <w:b w:val="false"/>
                <w:bCs w:val="false"/>
                <w:sz w:val="20"/>
                <w:szCs w:val="20"/>
              </w:rPr>
              <w:t xml:space="preserve">460 linear ft</w:t>
            </w:r>
          </w:p>
        </w:tc>
      </w:tr>
      <w:tr>
        <w:tc>
          <w:tcPr>
            <w:tcW w:type="dxa" w:w="4360"/>
            <w:tcMar>
              <w:top w:type="dxa" w:w="80"/>
              <w:left w:type="dxa" w:w="100"/>
              <w:bottom w:type="dxa" w:w="80"/>
              <w:right w:type="dxa" w:w="100"/>
            </w:tcMar>
          </w:tcPr>
          <w:p>
            <w:r>
              <w:rPr>
                <w:b w:val="false"/>
                <w:bCs w:val="false"/>
                <w:sz w:val="20"/>
                <w:szCs w:val="20"/>
              </w:rPr>
              <w:t xml:space="preserve">Curb-and-gutter unit cost [S3]</w:t>
            </w:r>
          </w:p>
        </w:tc>
        <w:tc>
          <w:tcPr>
            <w:tcW w:type="dxa" w:w="2500"/>
            <w:tcMar>
              <w:top w:type="dxa" w:w="80"/>
              <w:left w:type="dxa" w:w="100"/>
              <w:bottom w:type="dxa" w:w="80"/>
              <w:right w:type="dxa" w:w="100"/>
            </w:tcMar>
          </w:tcPr>
          <w:p>
            <w:r>
              <w:rPr>
                <w:b w:val="false"/>
                <w:bCs w:val="false"/>
                <w:sz w:val="20"/>
                <w:szCs w:val="20"/>
              </w:rPr>
              <w:t xml:space="preserve">$21.00 per linear foot</w:t>
            </w:r>
          </w:p>
        </w:tc>
        <w:tc>
          <w:tcPr>
            <w:tcW w:type="dxa" w:w="2500"/>
            <w:tcMar>
              <w:top w:type="dxa" w:w="80"/>
              <w:left w:type="dxa" w:w="100"/>
              <w:bottom w:type="dxa" w:w="80"/>
              <w:right w:type="dxa" w:w="100"/>
            </w:tcMar>
          </w:tcPr>
          <w:p>
            <w:r>
              <w:rPr>
                <w:b w:val="false"/>
                <w:bCs w:val="false"/>
                <w:sz w:val="20"/>
                <w:szCs w:val="20"/>
              </w:rPr>
              <w:t xml:space="preserve">same rate applies to both options</w:t>
            </w:r>
          </w:p>
        </w:tc>
      </w:tr>
    </w:tbl>
    <w:p>
      <w:pPr>
        <w:spacing w:after="160"/>
      </w:pPr>
      <w:r>
        <w:t xml:space="preserve">D5 asks you to compute each option’s own total estimated construction cost from the rows above.</w:t>
      </w:r>
    </w:p>
    <w:p>
      <w:pPr>
        <w:pStyle w:val="Heading1"/>
        <w:spacing w:after="140" w:before="280"/>
      </w:pPr>
      <w:r>
        <w:t xml:space="preserve">Appendix D — Modeling Assumptions</w:t>
      </w:r>
    </w:p>
    <w:p>
      <w:pPr>
        <w:spacing w:after="160"/>
      </w:pPr>
      <w:r>
        <w:rPr>
          <w:i/>
          <w:iCs/>
        </w:rPr>
        <w:t xml:space="preserve">These figures are not sourced. They are stated scenario assumptions chosen by the case author, each with a real basis named below. A Hero may challenge them in discussion — that is a legitimate move, and Appendix G names the skills a Hero would need to test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2900"/>
        <w:gridCol w:w="1960"/>
      </w:tblGrid>
      <w:tr>
        <w:tc>
          <w:tcPr>
            <w:tcW w:type="dxa" w:w="700"/>
            <w:shd w:fill="1a3a5c" w:color="auto" w:val="clear"/>
            <w:tcMar>
              <w:top w:type="dxa" w:w="80"/>
              <w:left w:type="dxa" w:w="100"/>
              <w:bottom w:type="dxa" w:w="80"/>
              <w:right w:type="dxa" w:w="100"/>
            </w:tcMar>
          </w:tcPr>
          <w:p>
            <w:r>
              <w:rPr>
                <w:b/>
                <w:bCs/>
                <w:color w:val="FFFFFF"/>
                <w:sz w:val="20"/>
                <w:szCs w:val="20"/>
              </w:rPr>
              <w:t xml:space="preserve">#</w:t>
            </w:r>
          </w:p>
        </w:tc>
        <w:tc>
          <w:tcPr>
            <w:tcW w:type="dxa" w:w="2400"/>
            <w:shd w:fill="1a3a5c" w:color="auto" w:val="clear"/>
            <w:tcMar>
              <w:top w:type="dxa" w:w="80"/>
              <w:left w:type="dxa" w:w="100"/>
              <w:bottom w:type="dxa" w:w="80"/>
              <w:right w:type="dxa" w:w="100"/>
            </w:tcMar>
          </w:tcPr>
          <w:p>
            <w:r>
              <w:rPr>
                <w:b/>
                <w:bCs/>
                <w:color w:val="FFFFFF"/>
                <w:sz w:val="20"/>
                <w:szCs w:val="20"/>
              </w:rPr>
              <w:t xml:space="preserve">Assumption</w:t>
            </w:r>
          </w:p>
        </w:tc>
        <w:tc>
          <w:tcPr>
            <w:tcW w:type="dxa" w:w="1400"/>
            <w:shd w:fill="1a3a5c" w:color="auto" w:val="clear"/>
            <w:tcMar>
              <w:top w:type="dxa" w:w="80"/>
              <w:left w:type="dxa" w:w="100"/>
              <w:bottom w:type="dxa" w:w="80"/>
              <w:right w:type="dxa" w:w="100"/>
            </w:tcMar>
          </w:tcPr>
          <w:p>
            <w:r>
              <w:rPr>
                <w:b/>
                <w:bCs/>
                <w:color w:val="FFFFFF"/>
                <w:sz w:val="20"/>
                <w:szCs w:val="20"/>
              </w:rPr>
              <w:t xml:space="preserve">Value used</w:t>
            </w:r>
          </w:p>
        </w:tc>
        <w:tc>
          <w:tcPr>
            <w:tcW w:type="dxa" w:w="2900"/>
            <w:shd w:fill="1a3a5c" w:color="auto" w:val="clear"/>
            <w:tcMar>
              <w:top w:type="dxa" w:w="80"/>
              <w:left w:type="dxa" w:w="100"/>
              <w:bottom w:type="dxa" w:w="80"/>
              <w:right w:type="dxa" w:w="100"/>
            </w:tcMar>
          </w:tcPr>
          <w:p>
            <w:r>
              <w:rPr>
                <w:b/>
                <w:bCs/>
                <w:color w:val="FFFFFF"/>
                <w:sz w:val="20"/>
                <w:szCs w:val="20"/>
              </w:rPr>
              <w:t xml:space="preserve">Basis</w:t>
            </w:r>
          </w:p>
        </w:tc>
        <w:tc>
          <w:tcPr>
            <w:tcW w:type="dxa" w:w="1960"/>
            <w:shd w:fill="1a3a5c" w:color="auto" w:val="clear"/>
            <w:tcMar>
              <w:top w:type="dxa" w:w="80"/>
              <w:left w:type="dxa" w:w="100"/>
              <w:bottom w:type="dxa" w:w="80"/>
              <w:right w:type="dxa" w:w="100"/>
            </w:tcMar>
          </w:tcPr>
          <w:p>
            <w:r>
              <w:rPr>
                <w:b/>
                <w:bCs/>
                <w:color w:val="FFFFFF"/>
                <w:sz w:val="20"/>
                <w:szCs w:val="20"/>
              </w:rPr>
              <w:t xml:space="preserve">Sensitivity</w:t>
            </w:r>
          </w:p>
        </w:tc>
      </w:tr>
      <w:tr>
        <w:tc>
          <w:tcPr>
            <w:tcW w:type="dxa" w:w="700"/>
            <w:tcMar>
              <w:top w:type="dxa" w:w="80"/>
              <w:left w:type="dxa" w:w="100"/>
              <w:bottom w:type="dxa" w:w="80"/>
              <w:right w:type="dxa" w:w="100"/>
            </w:tcMar>
          </w:tcPr>
          <w:p>
            <w:r>
              <w:rPr>
                <w:b w:val="false"/>
                <w:bCs w:val="false"/>
                <w:sz w:val="20"/>
                <w:szCs w:val="20"/>
              </w:rPr>
              <w:t xml:space="preserve">MA1</w:t>
            </w:r>
          </w:p>
        </w:tc>
        <w:tc>
          <w:tcPr>
            <w:tcW w:type="dxa" w:w="2400"/>
            <w:tcMar>
              <w:top w:type="dxa" w:w="80"/>
              <w:left w:type="dxa" w:w="100"/>
              <w:bottom w:type="dxa" w:w="80"/>
              <w:right w:type="dxa" w:w="100"/>
            </w:tcMar>
          </w:tcPr>
          <w:p>
            <w:r>
              <w:rPr>
                <w:b w:val="false"/>
                <w:bCs w:val="false"/>
                <w:sz w:val="20"/>
                <w:szCs w:val="20"/>
              </w:rPr>
              <w:t xml:space="preserve">Shared base intersection reconstruction cost (signal loop, drainage tie-in, ADA ramps, base course paving) — identical for both options since both rebuild the same intersection core</w:t>
            </w:r>
          </w:p>
        </w:tc>
        <w:tc>
          <w:tcPr>
            <w:tcW w:type="dxa" w:w="1400"/>
            <w:tcMar>
              <w:top w:type="dxa" w:w="80"/>
              <w:left w:type="dxa" w:w="100"/>
              <w:bottom w:type="dxa" w:w="80"/>
              <w:right w:type="dxa" w:w="100"/>
            </w:tcMar>
          </w:tcPr>
          <w:p>
            <w:r>
              <w:rPr>
                <w:b w:val="false"/>
                <w:bCs w:val="false"/>
                <w:sz w:val="20"/>
                <w:szCs w:val="20"/>
              </w:rPr>
              <w:t xml:space="preserve">$400,000</w:t>
            </w:r>
          </w:p>
        </w:tc>
        <w:tc>
          <w:tcPr>
            <w:tcW w:type="dxa" w:w="2900"/>
            <w:tcMar>
              <w:top w:type="dxa" w:w="80"/>
              <w:left w:type="dxa" w:w="100"/>
              <w:bottom w:type="dxa" w:w="80"/>
              <w:right w:type="dxa" w:w="100"/>
            </w:tcMar>
          </w:tcPr>
          <w:p>
            <w:r>
              <w:rPr>
                <w:b w:val="false"/>
                <w:bCs w:val="false"/>
                <w:sz w:val="20"/>
                <w:szCs w:val="20"/>
              </w:rPr>
              <w:t xml:space="preserve">No public cost estimate exists for this specific, one-of-a-kind intersection’s exact scope. Real comparable small-municipality intersection projects found during research bracket this figure: a minor signage/striping/curb-radii safety fix can run as little as $42,000, while a full state-highway-scale realignment can run into the millions; this case’s project (rebuilding drainage, signal, and pavement at a two-lane/four-lane local intersection) sits well above the minor fix and well below a state-highway project.</w:t>
            </w:r>
          </w:p>
        </w:tc>
        <w:tc>
          <w:tcPr>
            <w:tcW w:type="dxa" w:w="1960"/>
            <w:tcMar>
              <w:top w:type="dxa" w:w="80"/>
              <w:left w:type="dxa" w:w="100"/>
              <w:bottom w:type="dxa" w:w="80"/>
              <w:right w:type="dxa" w:w="100"/>
            </w:tcMar>
          </w:tcPr>
          <w:p>
            <w:r>
              <w:rPr>
                <w:b w:val="false"/>
                <w:bCs w:val="false"/>
                <w:sz w:val="20"/>
                <w:szCs w:val="20"/>
              </w:rPr>
              <w:t xml:space="preserve">Because this cost is identical for both options, it does not change which option wins — only how close the two final dollar totals are to each other. Flexed ±50% in Tier 2 probe 5.</w:t>
            </w:r>
          </w:p>
        </w:tc>
      </w:tr>
      <w:tr>
        <w:tc>
          <w:tcPr>
            <w:tcW w:type="dxa" w:w="700"/>
            <w:tcMar>
              <w:top w:type="dxa" w:w="80"/>
              <w:left w:type="dxa" w:w="100"/>
              <w:bottom w:type="dxa" w:w="80"/>
              <w:right w:type="dxa" w:w="100"/>
            </w:tcMar>
          </w:tcPr>
          <w:p>
            <w:r>
              <w:rPr>
                <w:b w:val="false"/>
                <w:bCs w:val="false"/>
                <w:sz w:val="20"/>
                <w:szCs w:val="20"/>
              </w:rPr>
              <w:t xml:space="preserve">MA2</w:t>
            </w:r>
          </w:p>
        </w:tc>
        <w:tc>
          <w:tcPr>
            <w:tcW w:type="dxa" w:w="2400"/>
            <w:tcMar>
              <w:top w:type="dxa" w:w="80"/>
              <w:left w:type="dxa" w:w="100"/>
              <w:bottom w:type="dxa" w:w="80"/>
              <w:right w:type="dxa" w:w="100"/>
            </w:tcMar>
          </w:tcPr>
          <w:p>
            <w:r>
              <w:rPr>
                <w:b w:val="false"/>
                <w:bCs w:val="false"/>
                <w:sz w:val="20"/>
                <w:szCs w:val="20"/>
              </w:rPr>
              <w:t xml:space="preserve">Land acquisition cost, two corner-lot slivers (Option A only)</w:t>
            </w:r>
          </w:p>
        </w:tc>
        <w:tc>
          <w:tcPr>
            <w:tcW w:type="dxa" w:w="1400"/>
            <w:tcMar>
              <w:top w:type="dxa" w:w="80"/>
              <w:left w:type="dxa" w:w="100"/>
              <w:bottom w:type="dxa" w:w="80"/>
              <w:right w:type="dxa" w:w="100"/>
            </w:tcMar>
          </w:tcPr>
          <w:p>
            <w:r>
              <w:rPr>
                <w:b w:val="false"/>
                <w:bCs w:val="false"/>
                <w:sz w:val="20"/>
                <w:szCs w:val="20"/>
              </w:rPr>
              <w:t xml:space="preserve">$80,000</w:t>
            </w:r>
          </w:p>
        </w:tc>
        <w:tc>
          <w:tcPr>
            <w:tcW w:type="dxa" w:w="2900"/>
            <w:tcMar>
              <w:top w:type="dxa" w:w="80"/>
              <w:left w:type="dxa" w:w="100"/>
              <w:bottom w:type="dxa" w:w="80"/>
              <w:right w:type="dxa" w:w="100"/>
            </w:tcMar>
          </w:tcPr>
          <w:p>
            <w:r>
              <w:rPr>
                <w:b w:val="false"/>
                <w:bCs w:val="false"/>
                <w:sz w:val="20"/>
                <w:szCs w:val="20"/>
              </w:rPr>
              <w:t xml:space="preserve">No public appraisal exists for these specific, not-yet-acquired slivers. Right-of-way acquisition research indicates corner parcels near a signalized or high-traffic intersection carry a real, documented acquisition premium over a mid-block parcel of the same size — this case prices two narrow slivers (not full lots) at a modest small-town value consistent with that premium.</w:t>
            </w:r>
          </w:p>
        </w:tc>
        <w:tc>
          <w:tcPr>
            <w:tcW w:type="dxa" w:w="1960"/>
            <w:tcMar>
              <w:top w:type="dxa" w:w="80"/>
              <w:left w:type="dxa" w:w="100"/>
              <w:bottom w:type="dxa" w:w="80"/>
              <w:right w:type="dxa" w:w="100"/>
            </w:tcMar>
          </w:tcPr>
          <w:p>
            <w:r>
              <w:rPr>
                <w:b w:val="false"/>
                <w:bCs w:val="false"/>
                <w:sz w:val="20"/>
                <w:szCs w:val="20"/>
              </w:rPr>
              <w:t xml:space="preserve">This is load-bearing: raising or lowering this figure changes Option A’s total cost directly, and can move the case’s margin. Flexed ±50% in Tier 2 probe 5.</w:t>
            </w:r>
          </w:p>
        </w:tc>
      </w:tr>
      <w:tr>
        <w:tc>
          <w:tcPr>
            <w:tcW w:type="dxa" w:w="700"/>
            <w:tcMar>
              <w:top w:type="dxa" w:w="80"/>
              <w:left w:type="dxa" w:w="100"/>
              <w:bottom w:type="dxa" w:w="80"/>
              <w:right w:type="dxa" w:w="100"/>
            </w:tcMar>
          </w:tcPr>
          <w:p>
            <w:r>
              <w:rPr>
                <w:b w:val="false"/>
                <w:bCs w:val="false"/>
                <w:sz w:val="20"/>
                <w:szCs w:val="20"/>
              </w:rPr>
              <w:t xml:space="preserve">MA3</w:t>
            </w:r>
          </w:p>
        </w:tc>
        <w:tc>
          <w:tcPr>
            <w:tcW w:type="dxa" w:w="2400"/>
            <w:tcMar>
              <w:top w:type="dxa" w:w="80"/>
              <w:left w:type="dxa" w:w="100"/>
              <w:bottom w:type="dxa" w:w="80"/>
              <w:right w:type="dxa" w:w="100"/>
            </w:tcMar>
          </w:tcPr>
          <w:p>
            <w:r>
              <w:rPr>
                <w:b w:val="false"/>
                <w:bCs w:val="false"/>
                <w:sz w:val="20"/>
                <w:szCs w:val="20"/>
              </w:rPr>
              <w:t xml:space="preserve">Sightline safety score defined as sin(intersection angle)</w:t>
            </w:r>
          </w:p>
        </w:tc>
        <w:tc>
          <w:tcPr>
            <w:tcW w:type="dxa" w:w="1400"/>
            <w:tcMar>
              <w:top w:type="dxa" w:w="80"/>
              <w:left w:type="dxa" w:w="100"/>
              <w:bottom w:type="dxa" w:w="80"/>
              <w:right w:type="dxa" w:w="100"/>
            </w:tcMar>
          </w:tcPr>
          <w:p>
            <w:r>
              <w:rPr>
                <w:b w:val="false"/>
                <w:bCs w:val="false"/>
                <w:sz w:val="20"/>
                <w:szCs w:val="20"/>
              </w:rPr>
              <w:t xml:space="preserve">0–1 scale, 1.0 at 90°</w:t>
            </w:r>
          </w:p>
        </w:tc>
        <w:tc>
          <w:tcPr>
            <w:tcW w:type="dxa" w:w="2900"/>
            <w:tcMar>
              <w:top w:type="dxa" w:w="80"/>
              <w:left w:type="dxa" w:w="100"/>
              <w:bottom w:type="dxa" w:w="80"/>
              <w:right w:type="dxa" w:w="100"/>
            </w:tcMar>
          </w:tcPr>
          <w:p>
            <w:r>
              <w:rPr>
                <w:b w:val="false"/>
                <w:bCs w:val="false"/>
                <w:sz w:val="20"/>
                <w:szCs w:val="20"/>
              </w:rPr>
              <w:t xml:space="preserve">A modeling simplification of the real, cited relationship between intersection angle and crash risk (Appendix B) — not FHWA’s own crash-modification formula, which is not public in a form this case can reproduce exactly.</w:t>
            </w:r>
          </w:p>
        </w:tc>
        <w:tc>
          <w:tcPr>
            <w:tcW w:type="dxa" w:w="1960"/>
            <w:tcMar>
              <w:top w:type="dxa" w:w="80"/>
              <w:left w:type="dxa" w:w="100"/>
              <w:bottom w:type="dxa" w:w="80"/>
              <w:right w:type="dxa" w:w="100"/>
            </w:tcMar>
          </w:tcPr>
          <w:p>
            <w:r>
              <w:rPr>
                <w:b w:val="false"/>
                <w:bCs w:val="false"/>
                <w:sz w:val="20"/>
                <w:szCs w:val="20"/>
              </w:rPr>
              <w:t xml:space="preserve">The shape of the relationship (smaller gains as the angle approaches 90°) is real and documented; the exact sin() form is this case’s own simplification for a tractable score.</w:t>
            </w:r>
          </w:p>
        </w:tc>
      </w:tr>
    </w:tbl>
    <w:p>
      <w:pPr>
        <w:pStyle w:val="Heading1"/>
        <w:spacing w:after="140" w:before="280"/>
      </w:pPr>
      <w:r>
        <w:t xml:space="preserve">Appendix E — Sources</w:t>
      </w:r>
    </w:p>
    <w:p>
      <w:pPr>
        <w:spacing w:after="160"/>
      </w:pPr>
      <w:r>
        <w:t xml:space="preserve">S1 — Minimum interior intersection angle for an at-grade public roadway intersection: </w:t>
      </w:r>
      <w:r>
        <w:t xml:space="preserve">should not be less than 75 degrees. </w:t>
      </w:r>
      <w:r>
        <w:t xml:space="preserve">California Department of Transportation, </w:t>
      </w:r>
      <w:r>
        <w:rPr>
          <w:i/>
          <w:iCs/>
        </w:rPr>
        <w:t xml:space="preserve">Highway Design Manual</w:t>
      </w:r>
      <w:r>
        <w:t xml:space="preserve">, Chapter 400, Topic 403.3 "Angle of Intersection" (</w:t>
      </w:r>
      <w:hyperlink w:history="1" r:id="rIdbqhdtv6gx94ierbzylmft">
        <w:r>
          <w:rPr>
            <w:rStyle w:val="Hyperlink"/>
            <w:color w:val="1a3a5c"/>
            <w:u w:val="single"/>
          </w:rPr>
          <w:t xml:space="preserve">link</w:t>
        </w:r>
      </w:hyperlink>
      <w:r>
        <w:t xml:space="preserve">). Accessed 2026-09-05. Confidence: MEDIUM.</w:t>
      </w:r>
    </w:p>
    <w:p>
      <w:pPr>
        <w:spacing w:after="160"/>
      </w:pPr>
      <w:r>
        <w:t xml:space="preserve">S2 — A real, quantitative relationship exists between intersection angle and crash safety, and agencies should reconsider their "critical minimum angle" design policy accordingly (qualitative finding, cited as the real-world basis for this case’s own safety score, not for a specific formula). </w:t>
      </w:r>
      <w:r>
        <w:t xml:space="preserve">Federal Highway Administration, </w:t>
      </w:r>
      <w:r>
        <w:rPr>
          <w:i/>
          <w:iCs/>
        </w:rPr>
        <w:t xml:space="preserve">Impact of Intersection Angle on Highway Safety</w:t>
      </w:r>
      <w:r>
        <w:t xml:space="preserve">, Report No. FHWA-HRT-20-067, January 2021 (</w:t>
      </w:r>
      <w:hyperlink w:history="1" r:id="rIdbpsia37zvsrh-4nqqldwg">
        <w:r>
          <w:rPr>
            <w:rStyle w:val="Hyperlink"/>
            <w:color w:val="1a3a5c"/>
            <w:u w:val="single"/>
          </w:rPr>
          <w:t xml:space="preserve">link</w:t>
        </w:r>
      </w:hyperlink>
      <w:r>
        <w:t xml:space="preserve">). Accessed 2026-09-05. Confidence: HIGH.</w:t>
      </w:r>
    </w:p>
    <w:p>
      <w:pPr>
        <w:spacing w:after="160"/>
      </w:pPr>
      <w:r>
        <w:t xml:space="preserve">S3 — Municipal curb-and-gutter construction reimbursement rate: $21.00 per linear foot, 2026. </w:t>
      </w:r>
      <w:r>
        <w:t xml:space="preserve">City of Idaho Falls, Idaho, Public Works Department, "Curbs, Gutters and Sidewalks" (</w:t>
      </w:r>
      <w:hyperlink w:history="1" r:id="rIdr_s2suakmmg1hgzzfymll">
        <w:r>
          <w:rPr>
            <w:rStyle w:val="Hyperlink"/>
            <w:color w:val="1a3a5c"/>
            <w:u w:val="single"/>
          </w:rPr>
          <w:t xml:space="preserve">link</w:t>
        </w:r>
      </w:hyperlink>
      <w:r>
        <w:t xml:space="preserve">). Accessed 2026-09-05. Confidence: HIGH.</w:t>
      </w:r>
    </w:p>
    <w:p>
      <w:pPr>
        <w:pStyle w:val="Heading1"/>
        <w:spacing w:after="140" w:before="280"/>
      </w:pPr>
      <w:r>
        <w:t xml:space="preserve">Appendix F — Learn More</w:t>
      </w:r>
    </w:p>
    <w:p>
      <w:pPr>
        <w:spacing w:after="160"/>
      </w:pPr>
      <w:r>
        <w:t xml:space="preserve">Curious about the real-world math and industry behind this case? These resources go beyond what the challenges require.</w:t>
      </w:r>
    </w:p>
    <w:p>
      <w:pPr>
        <w:spacing w:after="160"/>
      </w:pPr>
      <w:hyperlink w:history="1" r:id="rIdmvrhb8ujedltxclrim0st">
        <w:r>
          <w:rPr>
            <w:rStyle w:val="Hyperlink"/>
            <w:color w:val="1a3a5c"/>
            <w:u w:val="single"/>
          </w:rPr>
          <w:t xml:space="preserve">Intersection (road) — Wikipedia</w:t>
        </w:r>
      </w:hyperlink>
      <w:r>
        <w:t xml:space="preserve"> — background on how roads meet and why the angle they meet at matters to drivers and designers.</w:t>
      </w:r>
    </w:p>
    <w:p>
      <w:pPr>
        <w:spacing w:after="160"/>
      </w:pPr>
      <w:hyperlink w:history="1" r:id="rIdgxht2m4fmlbujean0-pwv">
        <w:r>
          <w:rPr>
            <w:rStyle w:val="Hyperlink"/>
            <w:color w:val="1a3a5c"/>
            <w:u w:val="single"/>
          </w:rPr>
          <w:t xml:space="preserve">Sight distance — Wikipedia</w:t>
        </w:r>
      </w:hyperlink>
      <w:r>
        <w:t xml:space="preserve"> — the general concept behind why a driver being able to see far enough down a road is a safety requirement, not just a convenience.</w:t>
      </w:r>
    </w:p>
    <w:p>
      <w:pPr>
        <w:spacing w:after="160"/>
      </w:pPr>
      <w:hyperlink w:history="1" r:id="rIdm00hvhmmwzy8hjchak4cw">
        <w:r>
          <w:rPr>
            <w:rStyle w:val="Hyperlink"/>
            <w:color w:val="1a3a5c"/>
            <w:u w:val="single"/>
          </w:rPr>
          <w:t xml:space="preserve">Right of way (transportation) — Wikipedia</w:t>
        </w:r>
      </w:hyperlink>
      <w:r>
        <w:t xml:space="preserve"> — what a city actually owns versus what it has to buy, the real distinction behind Option A’s land purchase.</w:t>
      </w:r>
    </w:p>
    <w:p>
      <w:pPr>
        <w:spacing w:after="160"/>
      </w:pPr>
      <w:hyperlink w:history="1" r:id="rIdx7291qhr0lxgccjk3jmva">
        <w:r>
          <w:rPr>
            <w:rStyle w:val="Hyperlink"/>
            <w:color w:val="1a3a5c"/>
            <w:u w:val="single"/>
          </w:rPr>
          <w:t xml:space="preserve">FHWA, Impact of Intersection Angle on Highway Safety (Report FHWA-HRT-20-067)</w:t>
        </w:r>
      </w:hyperlink>
      <w:r>
        <w:t xml:space="preserve"> — the real federal research this case’s safety-score idea is built on.</w:t>
      </w:r>
    </w:p>
    <w:p>
      <w:pPr>
        <w:spacing w:after="160"/>
      </w:pPr>
      <w:hyperlink w:history="1" r:id="rIdezxxxp1u8fw3ebcch6rju">
        <w:r>
          <w:rPr>
            <w:rStyle w:val="Hyperlink"/>
            <w:color w:val="1a3a5c"/>
            <w:u w:val="single"/>
          </w:rPr>
          <w:t xml:space="preserve">Caltrans Highway Design Manual, Chapter 400 — Intersections at Grade</w:t>
        </w:r>
      </w:hyperlink>
      <w:r>
        <w:t xml:space="preserve"> — a real state design manual’s own intersection-angle standard (Appendix E, S1).</w:t>
      </w:r>
    </w:p>
    <w:p>
      <w:pPr>
        <w:pStyle w:val="Heading1"/>
        <w:spacing w:after="140" w:before="280"/>
      </w:pPr>
      <w:r>
        <w:t xml:space="preserve">Appendix G — "How To…" Math Questions To Research</w:t>
      </w:r>
    </w:p>
    <w:p>
      <w:pPr>
        <w:spacing w:after="160"/>
      </w:pPr>
      <w:r>
        <w:rPr>
          <w:b/>
          <w:bCs/>
        </w:rPr>
        <w:t xml:space="preserve">Vocabulary terms</w:t>
      </w:r>
    </w:p>
    <w:p>
      <w:pPr>
        <w:pStyle w:val="ListParagraph"/>
        <w:numPr>
          <w:ilvl w:val="0"/>
          <w:numId w:val="1"/>
        </w:numPr>
        <w:spacing w:after="60"/>
      </w:pPr>
      <w:r>
        <w:t xml:space="preserve">Point</w:t>
      </w:r>
    </w:p>
    <w:p>
      <w:pPr>
        <w:pStyle w:val="ListParagraph"/>
        <w:numPr>
          <w:ilvl w:val="0"/>
          <w:numId w:val="1"/>
        </w:numPr>
        <w:spacing w:after="60"/>
      </w:pPr>
      <w:r>
        <w:t xml:space="preserve">Line Segment</w:t>
      </w:r>
    </w:p>
    <w:p>
      <w:pPr>
        <w:pStyle w:val="ListParagraph"/>
        <w:numPr>
          <w:ilvl w:val="0"/>
          <w:numId w:val="1"/>
        </w:numPr>
        <w:spacing w:after="60"/>
      </w:pPr>
      <w:r>
        <w:t xml:space="preserve">Ray</w:t>
      </w:r>
    </w:p>
    <w:p>
      <w:pPr>
        <w:pStyle w:val="ListParagraph"/>
        <w:numPr>
          <w:ilvl w:val="0"/>
          <w:numId w:val="1"/>
        </w:numPr>
        <w:spacing w:after="60"/>
      </w:pPr>
      <w:r>
        <w:t xml:space="preserve">Vertex</w:t>
      </w:r>
    </w:p>
    <w:p>
      <w:pPr>
        <w:pStyle w:val="ListParagraph"/>
        <w:numPr>
          <w:ilvl w:val="0"/>
          <w:numId w:val="1"/>
        </w:numPr>
        <w:spacing w:after="60"/>
      </w:pPr>
      <w:r>
        <w:t xml:space="preserve">Degree</w:t>
      </w:r>
    </w:p>
    <w:p>
      <w:pPr>
        <w:pStyle w:val="ListParagraph"/>
        <w:numPr>
          <w:ilvl w:val="0"/>
          <w:numId w:val="1"/>
        </w:numPr>
        <w:spacing w:after="60"/>
      </w:pPr>
      <w:r>
        <w:t xml:space="preserve">Acute Angle</w:t>
      </w:r>
    </w:p>
    <w:p>
      <w:pPr>
        <w:pStyle w:val="ListParagraph"/>
        <w:numPr>
          <w:ilvl w:val="0"/>
          <w:numId w:val="1"/>
        </w:numPr>
        <w:spacing w:after="60"/>
      </w:pPr>
      <w:r>
        <w:t xml:space="preserve">Obtuse Angle</w:t>
      </w:r>
    </w:p>
    <w:p>
      <w:pPr>
        <w:pStyle w:val="ListParagraph"/>
        <w:numPr>
          <w:ilvl w:val="0"/>
          <w:numId w:val="1"/>
        </w:numPr>
        <w:spacing w:after="60"/>
      </w:pPr>
      <w:r>
        <w:t xml:space="preserve">Right Angle</w:t>
      </w:r>
    </w:p>
    <w:p>
      <w:pPr>
        <w:pStyle w:val="ListParagraph"/>
        <w:numPr>
          <w:ilvl w:val="0"/>
          <w:numId w:val="1"/>
        </w:numPr>
        <w:spacing w:after="60"/>
      </w:pPr>
      <w:r>
        <w:t xml:space="preserve">Parallel Lines</w:t>
      </w:r>
    </w:p>
    <w:p>
      <w:pPr>
        <w:pStyle w:val="ListParagraph"/>
        <w:numPr>
          <w:ilvl w:val="0"/>
          <w:numId w:val="1"/>
        </w:numPr>
        <w:spacing w:after="60"/>
      </w:pPr>
      <w:r>
        <w:t xml:space="preserve">Perpendicular Lines</w:t>
      </w:r>
    </w:p>
    <w:p>
      <w:pPr>
        <w:pStyle w:val="ListParagraph"/>
        <w:numPr>
          <w:ilvl w:val="0"/>
          <w:numId w:val="1"/>
        </w:numPr>
        <w:spacing w:after="60"/>
      </w:pPr>
      <w:r>
        <w:t xml:space="preserve">Transversal Line</w:t>
      </w:r>
    </w:p>
    <w:p>
      <w:pPr>
        <w:pStyle w:val="ListParagraph"/>
        <w:numPr>
          <w:ilvl w:val="0"/>
          <w:numId w:val="1"/>
        </w:numPr>
        <w:spacing w:after="60"/>
      </w:pPr>
      <w:r>
        <w:t xml:space="preserve">Congruent</w:t>
      </w:r>
    </w:p>
    <w:p>
      <w:pPr>
        <w:pStyle w:val="ListParagraph"/>
        <w:numPr>
          <w:ilvl w:val="0"/>
          <w:numId w:val="1"/>
        </w:numPr>
        <w:spacing w:after="60"/>
      </w:pPr>
      <w:r>
        <w:t xml:space="preserve">Supplementary Angles</w:t>
      </w:r>
    </w:p>
    <w:p>
      <w:pPr>
        <w:pStyle w:val="ListParagraph"/>
        <w:numPr>
          <w:ilvl w:val="0"/>
          <w:numId w:val="1"/>
        </w:numPr>
        <w:spacing w:after="60"/>
      </w:pPr>
      <w:r>
        <w:t xml:space="preserve">Complementary Angles</w:t>
      </w:r>
    </w:p>
    <w:p>
      <w:pPr>
        <w:pStyle w:val="ListParagraph"/>
        <w:numPr>
          <w:ilvl w:val="0"/>
          <w:numId w:val="1"/>
        </w:numPr>
        <w:spacing w:after="60"/>
      </w:pPr>
      <w:r>
        <w:t xml:space="preserve">Vertical Angles</w:t>
      </w:r>
    </w:p>
    <w:p>
      <w:pPr>
        <w:pStyle w:val="ListParagraph"/>
        <w:numPr>
          <w:ilvl w:val="0"/>
          <w:numId w:val="1"/>
        </w:numPr>
        <w:spacing w:after="60"/>
      </w:pPr>
      <w:r>
        <w:t xml:space="preserve">Adjacent Angles</w:t>
      </w:r>
    </w:p>
    <w:p>
      <w:pPr>
        <w:spacing w:after="160" w:before="200"/>
      </w:pPr>
      <w:r>
        <w:rPr>
          <w:b/>
          <w:bCs/>
        </w:rPr>
        <w:t xml:space="preserve">"How to…" questions</w:t>
      </w:r>
    </w:p>
    <w:p>
      <w:pPr>
        <w:pStyle w:val="ListParagraph"/>
        <w:numPr>
          <w:ilvl w:val="0"/>
          <w:numId w:val="1"/>
        </w:numPr>
        <w:spacing w:after="60"/>
      </w:pPr>
      <w:r>
        <w:t xml:space="preserve">How to find angle measures of intersecting lines</w:t>
      </w:r>
    </w:p>
    <w:p>
      <w:pPr>
        <w:pStyle w:val="ListParagraph"/>
        <w:numPr>
          <w:ilvl w:val="0"/>
          <w:numId w:val="1"/>
        </w:numPr>
        <w:spacing w:after="60"/>
      </w:pPr>
      <w:r>
        <w:t xml:space="preserve">How to find angle measures given parallel lines, a transversal line and at least one angle measure</w:t>
      </w:r>
    </w:p>
    <w:p>
      <w:pPr>
        <w:pStyle w:val="ListParagraph"/>
        <w:numPr>
          <w:ilvl w:val="0"/>
          <w:numId w:val="1"/>
        </w:numPr>
        <w:spacing w:after="60"/>
      </w:pPr>
      <w:r>
        <w:t xml:space="preserve">How to multiply decimal numbers</w:t>
      </w:r>
    </w:p>
    <w:p>
      <w:pPr>
        <w:pStyle w:val="ListParagraph"/>
        <w:numPr>
          <w:ilvl w:val="0"/>
          <w:numId w:val="1"/>
        </w:numPr>
        <w:spacing w:after="60"/>
      </w:pPr>
      <w:r>
        <w:t xml:space="preserve">How to divide decimal numbers</w:t>
      </w:r>
    </w:p>
    <w:p>
      <w:pPr>
        <w:pStyle w:val="ListParagraph"/>
        <w:numPr>
          <w:ilvl w:val="0"/>
          <w:numId w:val="1"/>
        </w:numPr>
        <w:spacing w:after="60"/>
      </w:pPr>
      <w:r>
        <w:t xml:space="preserve">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qhdtv6gx94ierbzylmft" Type="http://schemas.openxmlformats.org/officeDocument/2006/relationships/hyperlink" Target="https://up.codes/s/angle-of-intersection" TargetMode="External"/><Relationship Id="rIdbpsia37zvsrh-4nqqldwg" Type="http://schemas.openxmlformats.org/officeDocument/2006/relationships/hyperlink" Target="https://www.fhwa.dot.gov/publications/research/safety/20067/index.cfm" TargetMode="External"/><Relationship Id="rIdr_s2suakmmg1hgzzfymll" Type="http://schemas.openxmlformats.org/officeDocument/2006/relationships/hyperlink" Target="https://www.idahofallsidaho.gov/1470/Curbs-Gutters-and-Sidewalks" TargetMode="External"/><Relationship Id="rIdmvrhb8ujedltxclrim0st" Type="http://schemas.openxmlformats.org/officeDocument/2006/relationships/hyperlink" Target="https://en.wikipedia.org/wiki/Intersection_(road)" TargetMode="External"/><Relationship Id="rIdgxht2m4fmlbujean0-pwv" Type="http://schemas.openxmlformats.org/officeDocument/2006/relationships/hyperlink" Target="https://en.wikipedia.org/wiki/Sight_distance" TargetMode="External"/><Relationship Id="rIdm00hvhmmwzy8hjchak4cw" Type="http://schemas.openxmlformats.org/officeDocument/2006/relationships/hyperlink" Target="https://en.wikipedia.org/wiki/Right-of-way_(transportation)" TargetMode="External"/><Relationship Id="rIdx7291qhr0lxgccjk3jmva" Type="http://schemas.openxmlformats.org/officeDocument/2006/relationships/hyperlink" Target="https://www.fhwa.dot.gov/publications/research/safety/20067/index.cfm" TargetMode="External"/><Relationship Id="rIdezxxxp1u8fw3ebcch6rju" Type="http://schemas.openxmlformats.org/officeDocument/2006/relationships/hyperlink" Target="https://dot.ca.gov/-/media/dot-media/programs/design/documents/chp0400-a11y.pdf"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2026-09-06T12:19:22.648Z</dcterms:created>
  <dcterms:modified xsi:type="dcterms:W3CDTF">2026-09-06T12:19:22.657Z</dcterms:modified>
</cp:coreProperties>
</file>

<file path=docProps/custom.xml><?xml version="1.0" encoding="utf-8"?>
<Properties xmlns="http://schemas.openxmlformats.org/officeDocument/2006/custom-properties" xmlns:vt="http://schemas.openxmlformats.org/officeDocument/2006/docPropsVTypes"/>
</file>