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Facilitator Guide: The Sightline Vote</w:t>
      </w:r>
    </w:p>
    <w:p>
      <w:pPr>
        <w:spacing w:after="100"/>
      </w:pPr>
      <w:r>
        <w:rPr>
          <w:i/>
          <w:iCs/>
          <w:color w:val="A3312A"/>
          <w:sz w:val="22"/>
          <w:szCs w:val="22"/>
        </w:rPr>
        <w:t xml:space="preserve">MS | Math | Case Study | 2026-27 | Heroes Academy — FACILITATOR ONLY, do not share with students</w:t>
      </w:r>
    </w:p>
    <w:p>
      <w:pPr>
        <w:spacing w:after="320"/>
      </w:pPr>
      <w:r>
        <w:rPr>
          <w:i/>
          <w:iCs/>
          <w:color w:val="5b6472"/>
          <w:sz w:val="20"/>
          <w:szCs w:val="20"/>
        </w:rPr>
        <w:t xml:space="preserve">Tier T2 · Band MS-core · Geometry / Fundamentals of Geometry (reinforcement, see case.json.reinforcement_note) · Margin 14.56% · Researched and margin-resolved 2026-09-05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F8EE" w:color="auto" w:val="clear"/>
            <w:tcMar>
              <w:top w:type="dxa" w:w="160"/>
              <w:left w:type="dxa" w:w="200"/>
              <w:bottom w:type="dxa" w:w="160"/>
              <w:right w:type="dxa" w:w="200"/>
            </w:tcMar>
          </w:tcPr>
          <w:p>
            <w:pPr>
              <w:spacing w:after="100"/>
            </w:pPr>
            <w:r>
              <w:rPr>
                <w:b/>
                <w:bCs/>
                <w:color w:val="8a7015"/>
                <w:sz w:val="22"/>
                <w:szCs w:val="22"/>
              </w:rPr>
              <w:t xml:space="preserve">SENSITIVITY NOTE (SPEC §6) — read before facilitating</w:t>
            </w:r>
          </w:p>
          <w:p>
            <w:r>
              <w:rPr>
                <w:sz w:val="20"/>
                <w:szCs w:val="20"/>
              </w:rPr>
              <w:t xml:space="preserve">Unlike a case where the graded metric is pure geometry, here MA1 (shared base reconstruction cost) and MA2 (land acquisition cost) both enter the total-cost denominator directly, so the MARGIN is genuinely sensitive to both — flexing either ±50% (holding the other at its stated value) never flips the winner (Option B wins at every tested combination) but does move the margin outside the SPEC §2 20% band at the extremes (as low as ~5% and as high as ~32%). This is disclosed here rather than hidden: the WINNER is stable under both assumptions; the exact SIZE of B's win is not, and a Hero who treats the margin as a fixed fact rather than a modeled estimate has missed the point of Appendix D.</w:t>
            </w:r>
          </w:p>
        </w:tc>
      </w:tr>
    </w:tbl>
    <w:p>
      <w:pPr>
        <w:spacing w:after="200"/>
      </w:pPr>
    </w:p>
    <w:p>
      <w:pPr>
        <w:pStyle w:val="Heading1"/>
        <w:spacing w:after="130" w:before="260"/>
      </w:pPr>
      <w:r>
        <w:t xml:space="preserve">Case Summary</w:t>
      </w:r>
    </w:p>
    <w:p>
      <w:pPr>
        <w:spacing w:after="160"/>
      </w:pPr>
      <w:r>
        <w:t xml:space="preserve">Dana Whitcombe, the sole traffic engineer for the City of Caldwell Falls, must recommend one of two fixes for a skewed, crash-prone intersection to the city council, which votes in ten days. The Squared Corner rebuilds the intersection at a full 90-degree angle but requires buying two corner-lot slivers. The Offset Bypass builds a new connector lane parallel to an 1880s platted lot line, at the existing 75-degree angle, with no land purchase. The case is graded on sightline-safety-score-per-dollar of construction cost.</w:t>
      </w:r>
    </w:p>
    <w:p>
      <w:pPr>
        <w:pStyle w:val="Heading1"/>
        <w:spacing w:after="130" w:before="260"/>
      </w:pPr>
      <w:r>
        <w:t xml:space="preserve">The Two Arguments</w:t>
      </w:r>
    </w:p>
    <w:p>
      <w:pPr>
        <w:spacing w:after="160"/>
      </w:pPr>
      <w:r>
        <w:rPr>
          <w:b/>
          <w:bCs/>
        </w:rPr>
        <w:t xml:space="preserve">Argument A — The Squared Corner: </w:t>
      </w:r>
      <w:r>
        <w:t xml:space="preserve">achieves the maximum possible sightline safety score — sin(90°) = 1.0, the best any redesign can score — clearing the real 75-degree state minimum [S1] with the largest possible margin, not just barely meeting it. Its total cost ($485,880: $400,000 shared base reconstruction + $80,000 land for the two corner slivers + 280 ft of new curb-and-gutter at $21/ft) is only 18.6% more than Option B's, because the shared base reconstruction dominates both totals — the land purchase is a real but comparatively modest addition on top of work the city has to do either way.</w:t>
      </w:r>
    </w:p>
    <w:p>
      <w:pPr>
        <w:spacing w:after="160"/>
      </w:pPr>
      <w:r>
        <w:rPr>
          <w:b/>
          <w:bCs/>
        </w:rPr>
        <w:t xml:space="preserve">Argument B — The Offset Bypass: </w:t>
      </w:r>
      <w:r>
        <w:t xml:space="preserve">wins the case's actual graded metric — safety score per dollar — by 14.56%, using real geometry (the connector lane's 75-degree angle to Kellner Avenue is derived directly from the platted lot line via the parallel-lines/transversal relationship, not assumed) and a real sourced construction rate [S3]. Its 75-degree sightline angle exactly meets the real state minimum standard [S1] — code-compliant, not a near-miss — while needing no land acquisition and no title work, and its total cost ($409,660) is lower than Option A's in absolute dollars despite needing more linear feet of new curb-and-gutter, because it avoids the $80,000 land line entirely.</w:t>
      </w:r>
    </w:p>
    <w:p>
      <w:pPr>
        <w:spacing w:after="160"/>
      </w:pPr>
      <w:r>
        <w:rPr>
          <w:b/>
          <w:bCs/>
        </w:rPr>
        <w:t xml:space="preserve">Margin: </w:t>
      </w:r>
      <w:r>
        <w:t xml:space="preserve">14.56%, Option B wins the graded metric (sightline safety score ÷ total construction cost). Basis: sin(angle) ÷ (shared base + Option A land + each option's own curb-and-gutter cost), computed in sensitivity_model.py.</w:t>
      </w:r>
    </w:p>
    <w:p>
      <w:pPr>
        <w:pStyle w:val="Heading1"/>
        <w:spacing w:after="130" w:before="260"/>
      </w:pPr>
      <w:r>
        <w:t xml:space="preserve">The Trap</w:t>
      </w:r>
    </w:p>
    <w:p>
      <w:pPr>
        <w:spacing w:after="160"/>
      </w:pPr>
      <w:r>
        <w:t xml:space="preserve">Most Heroes will assume "more perpendicular" and "safer" and "the better recommendation" all point the same direction, and that the cheaper option (Offset Bypass) must be settling for less safety to save money. Watch for a pitch that asserts The Squared Corner is "obviously" the better recommendation because 90 degrees beats 75 degrees, without ever running D5's actual safety-score-per-dollar comparison — it has not done the arithmetic, and the arithmetic says the 75-degree option is the better value, right up until the twist changes what "value" means.</w:t>
      </w:r>
    </w:p>
    <w:p>
      <w:pPr>
        <w:pStyle w:val="Heading1"/>
        <w:spacing w:after="130" w:before="260"/>
      </w:pPr>
      <w:r>
        <w:t xml:space="preserve">Socratic Questions</w:t>
      </w:r>
    </w:p>
    <w:p>
      <w:pPr>
        <w:spacing w:after="140"/>
      </w:pPr>
      <w:r>
        <w:t xml:space="preserve">1. Option B's connector lane ends up at exactly 75 degrees — the real state minimum, not a comfortable margin above it. Why might a Hero be more nervous recommending an option that just barely clears a standard than one that clears it by 15 degrees, even after running the numbers?</w:t>
      </w:r>
    </w:p>
    <w:p>
      <w:pPr>
        <w:spacing w:after="140"/>
      </w:pPr>
      <w:r>
        <w:t xml:space="preserve">2. D4 asks you to derive Option B's angle using the parallel-lines/transversal relationship rather than measuring it directly. What would change about your confidence in that 75-degree number if the platted lot line's own angle to Kellner Avenue turned out to be wrong?</w:t>
      </w:r>
    </w:p>
    <w:p>
      <w:pPr>
        <w:spacing w:after="140"/>
      </w:pPr>
      <w:r>
        <w:t xml:space="preserve">3. Going from the current skew to Option B is a much bigger safety-score gain than going from Option B to Option A. Does that mean Option A's extra safety isn't worth having — or does it mean "worth it" depends on a question this case's numbers alone can't answer?</w:t>
      </w:r>
    </w:p>
    <w:p>
      <w:pPr>
        <w:spacing w:after="140"/>
      </w:pPr>
      <w:r>
        <w:t xml:space="preserve">4. After the grant threshold lands, Option A wins by 118.22 percent instead of losing by 14.56 percent — a full reversal, not just an erosion. Which of those two numbers would you want in front of you if you were the one signing Dana's recommendation?</w:t>
      </w:r>
    </w:p>
    <w:p>
      <w:pPr>
        <w:spacing w:after="140"/>
      </w:pPr>
      <w:r>
        <w:t xml:space="preserve">5. Dana has ten days. What does she actually tell the council — and does the grant threshold change the answer, or just how confident she should sound giving it?</w:t>
      </w:r>
    </w:p>
    <w:p>
      <w:pPr>
        <w:pStyle w:val="Heading1"/>
        <w:spacing w:after="130" w:before="260"/>
      </w:pPr>
      <w:r>
        <w:t xml:space="preserve">The Twist</w:t>
      </w:r>
    </w:p>
    <w:p>
      <w:pPr>
        <w:spacing w:after="160"/>
      </w:pPr>
      <w:r>
        <w:t xml:space="preserve">Deliver slowly, with pauses, at ~15 minutes into the discussion:</w:t>
      </w:r>
    </w:p>
    <w:p>
      <w:pPr>
        <w:spacing w:after="160"/>
      </w:pPr>
      <w:r>
        <w:rPr>
          <w:i/>
          <w:iCs/>
        </w:rPr>
        <w:t xml:space="preserve">"Dana takes her numbers to the council's grants administrator, hoping for a state safety-grant match. The administrator pulls up the actual grant terms: the state's Highway Safety Improvement Program will reimburse 60 percent of construction cost — but only for a design that reaches at least 85 degrees. 'The Offset Bypass doesn't qualify. It's still a 75-degree intersection. You'd be paying the full $409,660 yourself.'" — "Does the grant change what Dana should actually recommend?"</w:t>
      </w:r>
    </w:p>
    <w:p>
      <w:pPr>
        <w:spacing w:after="160"/>
      </w:pPr>
      <w:r>
        <w:rPr>
          <w:b/>
          <w:bCs/>
        </w:rPr>
        <w:t xml:space="preserve">What the numbers actually do: </w:t>
      </w:r>
      <w:r>
        <w:t xml:space="preserve">With the grant applied only where the design reaches 85° or more (evaluate_twist in sensitivity_model.py): Option A's NET cost drops to $485,880 × 0.40 = $194,352 (it qualifies at 90°); Option B's net cost stays the full $409,660 (75° does not qualify). New safety-score-per-dollar: A = 5.1453e-6, B = 2.3579e-6. The twist doesn't just erode B's margin — it fully reverses the verdict: Option A now wins by 118.22%. Do not hand this reasoning over unprompted; let a Hero who took Anchor 4's finding seriously (that the graded metric is sensitive to MA1/MA2, even though the winner wasn't) reason toward why a grant eligibility threshold is a different kind of lever entirely — one the case's own appendices never mentioned, because Dana didn't know about it either until this moment.</w:t>
      </w:r>
    </w:p>
    <w:p>
      <w:pPr>
        <w:pStyle w:val="Heading1"/>
        <w:spacing w:after="130" w:before="260"/>
      </w:pPr>
      <w:r>
        <w:t xml:space="preserve">What a Strong Defense Sounds Like</w:t>
      </w:r>
    </w:p>
    <w:p>
      <w:pPr>
        <w:spacing w:after="160"/>
      </w:pPr>
      <w:r>
        <w:t xml:space="preserve">This case has no single right answer — grade reasoning quality, not the pick. A strong defense of either option: (1) correctly derives D2's four angles and their supplementary/vertical relationships, and D4's parallel/transversal angle, rather than eyeballing a diagram; (2) actually runs D5's safety-score-per-dollar division rather than asserting a winner from the raw angle comparison alone; (3) names which of the two figures (the graded per-dollar metric, or the raw safety score) it is prioritizing and why, rather than treating them as interchangeable; (4) after the twist, explains WHY the grant threshold changes the calculus (an eligibility cliff at 85°, not a gradual shift) rather than simply restating the new number; and (5) is honest about MA1/MA2 being stated assumptions, not sourced figures, when asked to defend the exact margin.</w:t>
      </w:r>
    </w:p>
    <w:p>
      <w:pPr>
        <w:pStyle w:val="Heading1"/>
        <w:spacing w:after="130" w:before="260"/>
      </w:pPr>
      <w:r>
        <w:t xml:space="preserve">Skills This Case Exercises</w:t>
      </w:r>
    </w:p>
    <w:p>
      <w:pPr>
        <w:spacing w:after="160"/>
      </w:pPr>
      <w:r>
        <w:t xml:space="preserve">Point · Line Segment · Ray · Vertex · Degree · Acute Angle · Obtuse Angle · Right Angle · Parallel Lines · Perpendicular Lines · Transversal Line · Congruent · Supplementary Angles · Complementary Angles · Vertical Angles · Adjacent Angles · How to find angle measures of intersecting lines · How to find angle measures given parallel lines, a transversal line and at least one angle measure · How to multiply decimal numbers · How to divide decimal numbers · How to find the percent of a number</w:t>
      </w:r>
    </w:p>
    <w:p>
      <w:pPr>
        <w:spacing w:after="160"/>
      </w:pPr>
      <w:r>
        <w:t xml:space="preserve">All 18 skills sit at n=2 in the standards spine's Geometry/Fundamentals Of Geometry group already — this case reinforces, rather than newly closes, that coverage (see case.json.reinforcement_note for the adjacent-gap check performed before accepting an empty new_coverage[]).</w:t>
      </w:r>
    </w:p>
    <w:p>
      <w:pPr>
        <w:pStyle w:val="Heading1"/>
        <w:spacing w:after="130" w:before="260"/>
      </w:pPr>
      <w:r>
        <w:t xml:space="preserve">45-Minute Socratic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a3a5c" w:color="auto" w:val="clear"/>
            <w:tcMar>
              <w:top w:type="dxa" w:w="80"/>
              <w:left w:type="dxa" w:w="100"/>
              <w:bottom w:type="dxa" w:w="80"/>
              <w:right w:type="dxa" w:w="100"/>
            </w:tcMar>
          </w:tcPr>
          <w:p>
            <w:r>
              <w:rPr>
                <w:b/>
                <w:bCs/>
                <w:color w:val="FFFFFF"/>
                <w:sz w:val="20"/>
                <w:szCs w:val="20"/>
              </w:rPr>
              <w:t xml:space="preserve">Time</w:t>
            </w:r>
          </w:p>
        </w:tc>
        <w:tc>
          <w:tcPr>
            <w:tcW w:type="dxa" w:w="7160"/>
            <w:shd w:fill="1a3a5c" w:color="auto" w:val="clear"/>
            <w:tcMar>
              <w:top w:type="dxa" w:w="80"/>
              <w:left w:type="dxa" w:w="100"/>
              <w:bottom w:type="dxa" w:w="80"/>
              <w:right w:type="dxa" w:w="100"/>
            </w:tcMar>
          </w:tcPr>
          <w:p>
            <w:r>
              <w:rPr>
                <w:b/>
                <w:bCs/>
                <w:color w:val="FFFFFF"/>
                <w:sz w:val="20"/>
                <w:szCs w:val="20"/>
              </w:rPr>
              <w:t xml:space="preserve">Move</w:t>
            </w:r>
          </w:p>
        </w:tc>
      </w:tr>
      <w:tr>
        <w:tc>
          <w:tcPr>
            <w:tcW w:type="dxa" w:w="2200"/>
            <w:tcMar>
              <w:top w:type="dxa" w:w="80"/>
              <w:left w:type="dxa" w:w="100"/>
              <w:bottom w:type="dxa" w:w="80"/>
              <w:right w:type="dxa" w:w="100"/>
            </w:tcMar>
          </w:tcPr>
          <w:p>
            <w:r>
              <w:rPr>
                <w:b w:val="false"/>
                <w:bCs w:val="false"/>
                <w:sz w:val="20"/>
                <w:szCs w:val="20"/>
              </w:rPr>
              <w:t xml:space="preserve">0:00–3:00</w:t>
            </w:r>
          </w:p>
        </w:tc>
        <w:tc>
          <w:tcPr>
            <w:tcW w:type="dxa" w:w="7160"/>
            <w:tcMar>
              <w:top w:type="dxa" w:w="80"/>
              <w:left w:type="dxa" w:w="100"/>
              <w:bottom w:type="dxa" w:w="80"/>
              <w:right w:type="dxa" w:w="100"/>
            </w:tcMar>
          </w:tcPr>
          <w:p>
            <w:r>
              <w:rPr>
                <w:b w:val="false"/>
                <w:bCs w:val="false"/>
                <w:sz w:val="20"/>
                <w:szCs w:val="20"/>
              </w:rPr>
              <w:t xml:space="preserve">Launch — show the current intersection, cold-call for a gut read, no formulas yet</w:t>
            </w:r>
          </w:p>
        </w:tc>
      </w:tr>
      <w:tr>
        <w:tc>
          <w:tcPr>
            <w:tcW w:type="dxa" w:w="2200"/>
            <w:tcMar>
              <w:top w:type="dxa" w:w="80"/>
              <w:left w:type="dxa" w:w="100"/>
              <w:bottom w:type="dxa" w:w="80"/>
              <w:right w:type="dxa" w:w="100"/>
            </w:tcMar>
          </w:tcPr>
          <w:p>
            <w:r>
              <w:rPr>
                <w:b w:val="false"/>
                <w:bCs w:val="false"/>
                <w:sz w:val="20"/>
                <w:szCs w:val="20"/>
              </w:rPr>
              <w:t xml:space="preserve">3:00–10:00</w:t>
            </w:r>
          </w:p>
        </w:tc>
        <w:tc>
          <w:tcPr>
            <w:tcW w:type="dxa" w:w="7160"/>
            <w:tcMar>
              <w:top w:type="dxa" w:w="80"/>
              <w:left w:type="dxa" w:w="100"/>
              <w:bottom w:type="dxa" w:w="80"/>
              <w:right w:type="dxa" w:w="100"/>
            </w:tcMar>
          </w:tcPr>
          <w:p>
            <w:r>
              <w:rPr>
                <w:b w:val="false"/>
                <w:bCs w:val="false"/>
                <w:sz w:val="20"/>
                <w:szCs w:val="20"/>
              </w:rPr>
              <w:t xml:space="preserve">Position defense — "Convince us the graded number is the number that matters"</w:t>
            </w:r>
          </w:p>
        </w:tc>
      </w:tr>
      <w:tr>
        <w:tc>
          <w:tcPr>
            <w:tcW w:type="dxa" w:w="2200"/>
            <w:tcMar>
              <w:top w:type="dxa" w:w="80"/>
              <w:left w:type="dxa" w:w="100"/>
              <w:bottom w:type="dxa" w:w="80"/>
              <w:right w:type="dxa" w:w="100"/>
            </w:tcMar>
          </w:tcPr>
          <w:p>
            <w:r>
              <w:rPr>
                <w:b w:val="false"/>
                <w:bCs w:val="false"/>
                <w:sz w:val="20"/>
                <w:szCs w:val="20"/>
              </w:rPr>
              <w:t xml:space="preserve">10:00–15:00</w:t>
            </w:r>
          </w:p>
        </w:tc>
        <w:tc>
          <w:tcPr>
            <w:tcW w:type="dxa" w:w="7160"/>
            <w:tcMar>
              <w:top w:type="dxa" w:w="80"/>
              <w:left w:type="dxa" w:w="100"/>
              <w:bottom w:type="dxa" w:w="80"/>
              <w:right w:type="dxa" w:w="100"/>
            </w:tcMar>
          </w:tcPr>
          <w:p>
            <w:r>
              <w:rPr>
                <w:b w:val="false"/>
                <w:bCs w:val="false"/>
                <w:sz w:val="20"/>
                <w:szCs w:val="20"/>
              </w:rPr>
              <w:t xml:space="preserve">Pressure-test the models — "Whose recommendation is most fragile to a bad assumption?"</w:t>
            </w:r>
          </w:p>
        </w:tc>
      </w:tr>
      <w:tr>
        <w:tc>
          <w:tcPr>
            <w:tcW w:type="dxa" w:w="2200"/>
            <w:tcMar>
              <w:top w:type="dxa" w:w="80"/>
              <w:left w:type="dxa" w:w="100"/>
              <w:bottom w:type="dxa" w:w="80"/>
              <w:right w:type="dxa" w:w="100"/>
            </w:tcMar>
          </w:tcPr>
          <w:p>
            <w:r>
              <w:rPr>
                <w:b w:val="false"/>
                <w:bCs w:val="false"/>
                <w:sz w:val="20"/>
                <w:szCs w:val="20"/>
              </w:rPr>
              <w:t xml:space="preserve">15:00</w:t>
            </w:r>
          </w:p>
        </w:tc>
        <w:tc>
          <w:tcPr>
            <w:tcW w:type="dxa" w:w="7160"/>
            <w:tcMar>
              <w:top w:type="dxa" w:w="80"/>
              <w:left w:type="dxa" w:w="100"/>
              <w:bottom w:type="dxa" w:w="80"/>
              <w:right w:type="dxa" w:w="100"/>
            </w:tcMar>
          </w:tcPr>
          <w:p>
            <w:r>
              <w:rPr>
                <w:b w:val="false"/>
                <w:bCs w:val="false"/>
                <w:sz w:val="20"/>
                <w:szCs w:val="20"/>
              </w:rPr>
              <w:t xml:space="preserve">DROP THE TWIST — the grant threshold, delivered slowly</w:t>
            </w:r>
          </w:p>
        </w:tc>
      </w:tr>
      <w:tr>
        <w:tc>
          <w:tcPr>
            <w:tcW w:type="dxa" w:w="2200"/>
            <w:tcMar>
              <w:top w:type="dxa" w:w="80"/>
              <w:left w:type="dxa" w:w="100"/>
              <w:bottom w:type="dxa" w:w="80"/>
              <w:right w:type="dxa" w:w="100"/>
            </w:tcMar>
          </w:tcPr>
          <w:p>
            <w:r>
              <w:rPr>
                <w:b w:val="false"/>
                <w:bCs w:val="false"/>
                <w:sz w:val="20"/>
                <w:szCs w:val="20"/>
              </w:rPr>
              <w:t xml:space="preserve">15:00–20:00</w:t>
            </w:r>
          </w:p>
        </w:tc>
        <w:tc>
          <w:tcPr>
            <w:tcW w:type="dxa" w:w="7160"/>
            <w:tcMar>
              <w:top w:type="dxa" w:w="80"/>
              <w:left w:type="dxa" w:w="100"/>
              <w:bottom w:type="dxa" w:w="80"/>
              <w:right w:type="dxa" w:w="100"/>
            </w:tcMar>
          </w:tcPr>
          <w:p>
            <w:r>
              <w:rPr>
                <w:b w:val="false"/>
                <w:bCs w:val="false"/>
                <w:sz w:val="20"/>
                <w:szCs w:val="20"/>
              </w:rPr>
              <w:t xml:space="preserve">Immediate recommit — who reverses, and why</w:t>
            </w:r>
          </w:p>
        </w:tc>
      </w:tr>
      <w:tr>
        <w:tc>
          <w:tcPr>
            <w:tcW w:type="dxa" w:w="2200"/>
            <w:tcMar>
              <w:top w:type="dxa" w:w="80"/>
              <w:left w:type="dxa" w:w="100"/>
              <w:bottom w:type="dxa" w:w="80"/>
              <w:right w:type="dxa" w:w="100"/>
            </w:tcMar>
          </w:tcPr>
          <w:p>
            <w:r>
              <w:rPr>
                <w:b w:val="false"/>
                <w:bCs w:val="false"/>
                <w:sz w:val="20"/>
                <w:szCs w:val="20"/>
              </w:rPr>
              <w:t xml:space="preserve">20:00–30:00</w:t>
            </w:r>
          </w:p>
        </w:tc>
        <w:tc>
          <w:tcPr>
            <w:tcW w:type="dxa" w:w="7160"/>
            <w:tcMar>
              <w:top w:type="dxa" w:w="80"/>
              <w:left w:type="dxa" w:w="100"/>
              <w:bottom w:type="dxa" w:w="80"/>
              <w:right w:type="dxa" w:w="100"/>
            </w:tcMar>
          </w:tcPr>
          <w:p>
            <w:r>
              <w:rPr>
                <w:b w:val="false"/>
                <w:bCs w:val="false"/>
                <w:sz w:val="20"/>
                <w:szCs w:val="20"/>
              </w:rPr>
              <w:t xml:space="preserve">Threaded deep conflict (graded metric vs. grant eligibility; diminishing returns; whose $80,000)</w:t>
            </w:r>
          </w:p>
        </w:tc>
      </w:tr>
      <w:tr>
        <w:tc>
          <w:tcPr>
            <w:tcW w:type="dxa" w:w="2200"/>
            <w:tcMar>
              <w:top w:type="dxa" w:w="80"/>
              <w:left w:type="dxa" w:w="100"/>
              <w:bottom w:type="dxa" w:w="80"/>
              <w:right w:type="dxa" w:w="100"/>
            </w:tcMar>
          </w:tcPr>
          <w:p>
            <w:r>
              <w:rPr>
                <w:b w:val="false"/>
                <w:bCs w:val="false"/>
                <w:sz w:val="20"/>
                <w:szCs w:val="20"/>
              </w:rPr>
              <w:t xml:space="preserve">30:00–45:00</w:t>
            </w:r>
          </w:p>
        </w:tc>
        <w:tc>
          <w:tcPr>
            <w:tcW w:type="dxa" w:w="7160"/>
            <w:tcMar>
              <w:top w:type="dxa" w:w="80"/>
              <w:left w:type="dxa" w:w="100"/>
              <w:bottom w:type="dxa" w:w="80"/>
              <w:right w:type="dxa" w:w="100"/>
            </w:tcMar>
          </w:tcPr>
          <w:p>
            <w:r>
              <w:rPr>
                <w:b w:val="false"/>
                <w:bCs w:val="false"/>
                <w:sz w:val="20"/>
                <w:szCs w:val="20"/>
              </w:rPr>
              <w:t xml:space="preserve">Close, re-vote, reflection, lessons learned</w:t>
            </w:r>
          </w:p>
        </w:tc>
      </w:tr>
    </w:tbl>
    <w:p>
      <w:pPr>
        <w:pStyle w:val="Heading1"/>
        <w:spacing w:after="130" w:before="260"/>
      </w:pPr>
      <w:r>
        <w:t xml:space="preserve">Deep Conflict Threads (20:00–30:00)</w:t>
      </w:r>
    </w:p>
    <w:p>
      <w:pPr>
        <w:spacing w:after="160"/>
      </w:pPr>
      <w:r>
        <w:t xml:space="preserve">1. The metric you're graded on isn't always the metric that decides the vote. Safety-score-per-dollar is real, and Option B wins it cleanly — until a grant program with its own angle threshold changes what "per dollar" actually means. Is that a flaw in the case, or a real lesson about reading the fine print before recommending a number?</w:t>
      </w:r>
    </w:p>
    <w:p>
      <w:pPr>
        <w:spacing w:after="160"/>
      </w:pPr>
      <w:r>
        <w:t xml:space="preserve">2. Diminishing returns, made concrete. Going from the current 50-degree skew to Option B's 75 degrees is a 26.09% relative gain in the safety score; going from 75 to Option A's full 90 degrees is only a 3.53% relative gain. Why does the last 15 degrees cost so much more (land, title work) for so much less safety-score benefit than the first 25 degrees did?</w:t>
      </w:r>
    </w:p>
    <w:p>
      <w:pPr>
        <w:spacing w:after="160"/>
      </w:pPr>
      <w:r>
        <w:t xml:space="preserve">3. Whose $80,000. MA2's land-acquisition figure is the case author's own reasoned estimate, not an appraisal. Is a stated, reasoned dollar figure trustworthy enough to help decide a real public vote — and what would you want to see before you trusted it more, or less?</w:t>
      </w:r>
    </w:p>
    <w:p>
      <w:pPr>
        <w:pStyle w:val="Heading1"/>
        <w:spacing w:after="130" w:before="260"/>
      </w:pPr>
      <w:r>
        <w:t xml:space="preserve">Cohort Bands</w:t>
      </w:r>
    </w:p>
    <w:p>
      <w:pPr>
        <w:spacing w:after="160"/>
      </w:pPr>
      <w:r>
        <w:rPr>
          <w:b/>
          <w:bCs/>
        </w:rPr>
        <w:t xml:space="preserve">Full (12–20): </w:t>
      </w:r>
      <w:r>
        <w:t xml:space="preserve">Socratic plan and anchor timings run as written above (0:00–45:00).</w:t>
      </w:r>
    </w:p>
    <w:p>
      <w:pPr>
        <w:spacing w:after="160"/>
      </w:pPr>
      <w:r>
        <w:rPr>
          <w:b/>
          <w:bCs/>
        </w:rPr>
        <w:t xml:space="preserve">Compressed (6–11): </w:t>
      </w:r>
      <w:r>
        <w:t xml:space="preserve">Anchors 2 and 3 combine into one pass. Run only one deep-conflict thread at 20:00–30:00. Twist still drops at 15:00. Total runtime ~30 min.</w:t>
      </w:r>
    </w:p>
    <w:p>
      <w:pPr>
        <w:spacing w:after="160"/>
      </w:pPr>
      <w:r>
        <w:rPr>
          <w:b/>
          <w:bCs/>
        </w:rPr>
        <w:t xml:space="preserve">1:1 or pair (1–2): </w:t>
      </w:r>
      <w:r>
        <w:t xml:space="preserve">No vote at Anchor 1 — the learner states an initial position instead. Skip the deep-conflict threads; go straight from twist-recommit to Close.</w:t>
      </w:r>
    </w:p>
    <w:p>
      <w:pPr>
        <w:pStyle w:val="Heading1"/>
        <w:spacing w:after="130" w:before="260"/>
      </w:pPr>
      <w:r>
        <w:t xml:space="preserve">Sensitive-Topic Note</w:t>
      </w:r>
    </w:p>
    <w:p>
      <w:pPr>
        <w:spacing w:after="160"/>
      </w:pPr>
      <w:r>
        <w:t xml:space="preserve">This case touches a real public-safety topic (two car crashes, one T-boned driver per incident) as its inciting event. Frame the Overview's crashes matter-of-factly at the open — property damage and a scare, not a fatality or injury the case dwells on — and steer discussion toward the engineering and funding decision, not toward dwelling on the crash itself.</w:t>
      </w:r>
    </w:p>
    <w:p>
      <w:pPr>
        <w:pStyle w:val="Heading1"/>
        <w:spacing w:after="130" w:before="260"/>
      </w:pPr>
      <w:r>
        <w:t xml:space="preserve">Lessons Learned (placeholder — fill after first real run)</w:t>
      </w:r>
    </w:p>
    <w:p>
      <w:pPr>
        <w:spacing w:after="160"/>
      </w:pPr>
      <w:r>
        <w:t xml:space="preserve">Whether Anchor 4's "the winner is stable, the margin isn't" finding landed as a discovery or had to be told outright. Whether the "cheaper must mean less safe" trap was the actual sticking point, or whether D2/D4's angle-pair reasoning was the harder gate for most Heroes. Whether the twist's full flip (not just an erosion) felt earned or felt like the case moving the goalposts.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2026-09-06T12:22:36.793Z</dcterms:created>
  <dcterms:modified xsi:type="dcterms:W3CDTF">2026-09-06T12:22:36.799Z</dcterms:modified>
</cp:coreProperties>
</file>

<file path=docProps/custom.xml><?xml version="1.0" encoding="utf-8"?>
<Properties xmlns="http://schemas.openxmlformats.org/officeDocument/2006/custom-properties" xmlns:vt="http://schemas.openxmlformats.org/officeDocument/2006/docPropsVTypes"/>
</file>