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Facilitator Guide: The Special Order</w:t>
      </w:r>
    </w:p>
    <w:p>
      <w:pPr>
        <w:spacing w:after="200"/>
      </w:pPr>
      <w:r>
        <w:rPr>
          <w:b/>
          <w:bCs/>
          <w:i/>
          <w:iCs/>
          <w:color w:val="a3312a"/>
          <w:sz w:val="20"/>
          <w:szCs w:val="20"/>
        </w:rPr>
        <w:t xml:space="preserve">MS | Math | Case Study | 2026 | Adventure — FACILITATOR-ONLY</w:t>
      </w:r>
    </w:p>
    <w:p>
      <w:pPr>
        <w:pBdr>
          <w:top w:val="single" w:color="dfe4ea" w:sz="4" w:space="8"/>
          <w:bottom w:val="single" w:color="dfe4ea" w:sz="4" w:space="8"/>
          <w:left w:val="single" w:color="c9a227" w:sz="24" w:space="8"/>
          <w:right w:val="single" w:color="dfe4ea" w:sz="4" w:space="8"/>
        </w:pBdr>
        <w:shd w:fill="fbf8ee" w:val="clear"/>
        <w:spacing w:after="240"/>
      </w:pPr>
      <w:r>
        <w:rPr>
          <w:b/>
          <w:bCs/>
        </w:rPr>
        <w:t xml:space="preserve">Sensitivity note (SPEC §6): ordinary small-business schedule/budget pressure (a fixed-bid job, a client-facing install date). No illness, death, or family hardship. No heavier facilitator touch than usual is expected.</w:t>
      </w:r>
    </w:p>
    <w:p>
      <w:pPr>
        <w:spacing w:after="60"/>
      </w:pPr>
      <w:r>
        <w:rPr>
          <w:b/>
          <w:bCs/>
        </w:rPr>
        <w:t xml:space="preserve">Case: </w:t>
      </w:r>
      <w:r>
        <w:t xml:space="preserve">The Special Order · </w:t>
      </w:r>
      <w:r>
        <w:rPr>
          <w:b/>
          <w:bCs/>
        </w:rPr>
        <w:t xml:space="preserve">Tier: </w:t>
      </w:r>
      <w:r>
        <w:t xml:space="preserve">T2 (MS-core) · </w:t>
      </w:r>
      <w:r>
        <w:rPr>
          <w:b/>
          <w:bCs/>
        </w:rPr>
        <w:t xml:space="preserve">Studio: </w:t>
      </w:r>
      <w:r>
        <w:t xml:space="preserve">MS Adventure</w:t>
      </w:r>
    </w:p>
    <w:p>
      <w:pPr>
        <w:spacing w:after="60"/>
      </w:pPr>
      <w:r>
        <w:rPr>
          <w:b/>
          <w:bCs/>
        </w:rPr>
        <w:t xml:space="preserve">Standards: </w:t>
      </w:r>
      <w:r>
        <w:t xml:space="preserve">Fractions/Understanding Fractions — Equivalent Fractions, Simplify, Improper Fraction, Mixed Number, and all four matching "how to…" skills (see case.json.standards[] for exact ids).</w:t>
      </w:r>
    </w:p>
    <w:p>
      <w:pPr>
        <w:spacing w:after="260"/>
      </w:pPr>
      <w:r>
        <w:t xml:space="preserve">Status: case-research complete (2026-09-05). All {{NEEDS_SOURCE: ...}} placeholders in case.md are resolved — five real figures are sourced (Appendix G: two milling allowances, the hard maple base price, the custom-milling upcharge, and the mill's lead time), and Appendix C's minimum order quantity is a disclosed Modeling Assumption (MA1), because no source publishes a minimum specific to a small custom exact-width dimensioning run. case.json.balance.margin_pct is a real, computed 8.33%. Everything below is the case of record, not a placeholder.</w:t>
      </w:r>
    </w:p>
    <w:p>
      <w:pPr>
        <w:pStyle w:val="Heading1"/>
        <w:spacing w:after="140"/>
      </w:pPr>
      <w:r>
        <w:t xml:space="preserve">Argument for A — Standard Stock</w:t>
      </w:r>
    </w:p>
    <w:p>
      <w:pPr>
        <w:spacing w:after="260"/>
      </w:pPr>
      <w:r>
        <w:t xml:space="preserve">A's case is availability and control: the shop already owns the equipment, the stock is on the shelf today, and there is no minimum order to clear and no lead time to plan around — the kind of certainty that matters when the install date is already fixed. Its real cost is higher than the sticker width suggests: every stile/rail requires a rough width of 7/4 in (net) + 1/4 in (jointing [S1]) + 1/8 in (kerf [S2]) = 17/8 in (2-1/8 in) once converted to a common denominator — real, recurring, fractional-inch waste on every one of this job's 96 pieces. Over the whole job (34 board feet at $8.99/board foot [S3]) that comes to $12.7358.../door, a cost that is fixed regardless of batch size because Standard Stock carries no minimum order.</w:t>
      </w:r>
    </w:p>
    <w:p>
      <w:pPr>
        <w:pStyle w:val="Heading1"/>
        <w:spacing w:after="140"/>
      </w:pPr>
      <w:r>
        <w:t xml:space="preserve">Argument for B — The Special Order</w:t>
      </w:r>
    </w:p>
    <w:p>
      <w:pPr>
        <w:spacing w:after="260"/>
      </w:pPr>
      <w:r>
        <w:t xml:space="preserve">B's real, quantitative case is that its exact-width supply eliminates all width waste — but its correctly-computed cost is not simply "$9.34/board foot [S3][S4] times the board feet actually used." Appendix E's 30-board-foot minimum (MA1) means Grace must pay for 30 board feet even though this job's stiles/rails only need 28, so B's true cost is $280.20 total, $11.675/door — genuinely cheaper than A's $12.7358.../door, but only because this job's 24-door batch is large enough to absorb the 2 unused board feet without erasing the per-board-foot savings. B's real weakness is structural: the minimum order and 1–2 week lead time [S5] are commitments Grace has to make before she can change her mind, and a smaller job would not clear the threshold at all (see "The margin," below).</w:t>
      </w:r>
    </w:p>
    <w:p>
      <w:pPr>
        <w:pStyle w:val="Heading1"/>
        <w:spacing w:after="140"/>
      </w:pPr>
      <w:r>
        <w:t xml:space="preserve">The Margin — Real Numbers, and How Thin They Are</w:t>
      </w:r>
    </w:p>
    <w:p>
      <w:pPr>
        <w:spacing w:after="120"/>
      </w:pPr>
      <w:r>
        <w:t xml:space="preserve">case.json.balance.margin_pct = </w:t>
      </w:r>
      <w:r>
        <w:rPr>
          <w:b/>
          <w:bCs/>
        </w:rPr>
        <w:t xml:space="preserve">8.33%</w:t>
      </w:r>
      <w:r>
        <w:t xml:space="preserve">, inside the project's 5–10% target band. The arithmetic, in full: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Standard Stock (A): </w:t>
      </w:r>
      <w:r>
        <w:t xml:space="preserve">rough width 17/8 in (2-1/8 in) per piece x 24 in length x 1 in thickness / 144 = 17/48 board feet/piece x 4 pieces/door = 17/12 board feet/door x 24 doors = </w:t>
      </w:r>
      <w:r>
        <w:rPr>
          <w:b/>
          <w:bCs/>
        </w:rPr>
        <w:t xml:space="preserve">34 board feet total</w:t>
      </w:r>
      <w:r>
        <w:t xml:space="preserve"> x $8.99/board foot [S3] = $305.66 -&gt; </w:t>
      </w:r>
      <w:r>
        <w:rPr>
          <w:b/>
          <w:bCs/>
        </w:rPr>
        <w:t xml:space="preserve">$12.7358.../door</w:t>
      </w:r>
      <w:r>
        <w:t xml:space="preserve"> (constant at any batch size — no minimum order applies to Standard Stock).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Special Order (B): </w:t>
      </w:r>
      <w:r>
        <w:t xml:space="preserve">exact width 7/4 in per piece -&gt; 7/24 board feet/piece x 4 pieces/door = 7/6 board feet/door x 24 doors = </w:t>
      </w:r>
      <w:r>
        <w:rPr>
          <w:b/>
          <w:bCs/>
        </w:rPr>
        <w:t xml:space="preserve">28 board feet needed</w:t>
      </w:r>
      <w:r>
        <w:t xml:space="preserve">. Appendix E's 30-board-foot minimum (MA1) means Grace buys </w:t>
      </w:r>
      <w:r>
        <w:rPr>
          <w:b/>
          <w:bCs/>
        </w:rPr>
        <w:t xml:space="preserve">30 board feet</w:t>
      </w:r>
      <w:r>
        <w:t xml:space="preserve">, not 28. 30 x $9.34/board foot [S3][S4] = $280.20 -&gt; </w:t>
      </w:r>
      <w:r>
        <w:rPr>
          <w:b/>
          <w:bCs/>
        </w:rPr>
        <w:t xml:space="preserve">$11.675/door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Margin: </w:t>
      </w:r>
      <w:r>
        <w:t xml:space="preserve">|12.7358 - 11.675| / 12.7358 = </w:t>
      </w:r>
      <w:r>
        <w:rPr>
          <w:b/>
          <w:bCs/>
        </w:rPr>
        <w:t xml:space="preserve">8.33%</w:t>
      </w:r>
      <w:r>
        <w:t xml:space="preserve">. B is the cheaper option under MA1's current 30-board-foot value.</w:t>
      </w:r>
    </w:p>
    <w:p>
      <w:pPr>
        <w:spacing w:after="260"/>
      </w:pPr>
      <w:r>
        <w:rPr>
          <w:b/>
          <w:bCs/>
        </w:rPr>
        <w:t xml:space="preserve">Why this matters for the facilitator, specifically: </w:t>
      </w:r>
      <w:r>
        <w:t xml:space="preserve">the breakeven batch size — the smallest number of doors at which B's cost per door first drops below A's — is </w:t>
      </w:r>
      <w:r>
        <w:rPr>
          <w:b/>
          <w:bCs/>
        </w:rPr>
        <w:t xml:space="preserve">23 doors</w:t>
      </w:r>
      <w:r>
        <w:t xml:space="preserve">. This job's batch of 24 doors clears that threshold by exactly </w:t>
      </w:r>
      <w:r>
        <w:rPr>
          <w:b/>
          <w:bCs/>
        </w:rPr>
        <w:t xml:space="preserve">one door</w:t>
      </w:r>
      <w:r>
        <w:t xml:space="preserve">. At 22 doors, B would still be (barely) more expensive than A ($12.7364 vs. $12.7358/door); at 23 doors it flips ($12.18 vs. $12.7358). MA1's 30-board-foot minimum is the case's single load-bearing dial: raise it and the breakeven batch size rises with it, and a large enough increase pushes the breakeven past 24 doors and flips this exact job's recommendation to A. </w:t>
      </w:r>
      <w:r>
        <w:rPr>
          <w:b/>
          <w:bCs/>
          <w:i/>
          <w:iCs/>
        </w:rPr>
        <w:t xml:space="preserve">Do not treat a student who argues the minimum should be lower, and concludes "B wins by even more," as having found the case's fragility — the fragile direction is upward, and the margin is thin enough (one door of headroom) that facilitators should expect this to come up.</w:t>
      </w:r>
    </w:p>
    <w:p>
      <w:pPr>
        <w:pStyle w:val="Heading1"/>
        <w:spacing w:after="140"/>
      </w:pPr>
      <w:r>
        <w:t xml:space="preserve">Five Socratic Questions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1. Your D2 rough-width calculation adds three fractions with different denominators — why can't you just add the numerators of 7/4, the jointing allowance, and the kerf allowance directly?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2. Appendix D's two operators wrote down what looks like two different waste widths for the same physical cut — how do you prove, mathematically, that they measured the same thing?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3. One of Appendix D's three logged entries genuinely differs from the other two — what would happen to your total waste figure for the whole job if you assumed all three were equal without checking?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4. The Special Order only becomes worthwhile once you clear its minimum order quantity — walk us through how you found the batch size, in doors, where its cost per door first drops below Standard Stock's?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5. Appendix E's 30-board-foot minimum is not a published figure — if the real minimum this mill actually enforces were somewhat higher than 30 board feet, would this job's recommendation survive?</w:t>
      </w:r>
    </w:p>
    <w:p>
      <w:pPr>
        <w:spacing w:after="160"/>
      </w:pPr>
      <w:r>
        <w:t xml:space="preserve"/>
      </w:r>
    </w:p>
    <w:p>
      <w:pPr>
        <w:pStyle w:val="Heading1"/>
        <w:spacing w:after="140"/>
      </w:pPr>
      <w:r>
        <w:t xml:space="preserve">The Trap</w:t>
      </w:r>
    </w:p>
    <w:p>
      <w:pPr>
        <w:spacing w:after="120"/>
      </w:pPr>
      <w:r>
        <w:rPr>
          <w:b/>
          <w:bCs/>
        </w:rPr>
        <w:t xml:space="preserve">A learner who treats Appendix D's two logged waste widths (one unsimplified, in eighths; one already reduced) as two genuinely different measurements — rather than recognizing they are the same physical width in two fraction forms — will either double-count total waste (if they mistakenly add both logs together) or become confused about which crew's number to trust, and either error corrupts every downstream cost-per-door figure in D4.</w:t>
      </w:r>
    </w:p>
    <w:p>
      <w:pPr>
        <w:spacing w:after="160"/>
      </w:pPr>
      <w:r>
        <w:t xml:space="preserve">This is the case's core "comparing unsimplified fractions" trap: 6/8 and 3/4 (or whatever the sourced allowance sum turns out to equal) are the same width, and a pitch that never reduces both entries to lowest terms before comparing them has fallen into this trap even if its final dollar figures look plausible. A second, related version of the same trap: a student who correctly computes D2's rough width in fraction form but then silently switches to decimals for D4's cost comparison has abandoned the case's explicit fraction-only instruction — watch for a pitch with a clean fraction-based D2 and a suddenly-decimal D4.</w:t>
      </w:r>
    </w:p>
    <w:p>
      <w:pPr>
        <w:spacing w:after="260"/>
      </w:pPr>
      <w:r>
        <w:rPr>
          <w:b/>
          <w:bCs/>
        </w:rPr>
        <w:t xml:space="preserve">A third trap (Tier 2 P3 finding, added after adversarial review): </w:t>
      </w:r>
      <w:r>
        <w:t xml:space="preserve">a student can execute D2 perfectly as a standalone fraction drill and still silently revert to the net width (7/4 in, 1-3/4 in) instead of carrying forward their own D2 answer (17/8 in, 2-1/8 in) when they set up D4's cost formula for Standard Stock. This is a genuinely easy slip to miss because 7/4 in is the single most-repeated number in the whole case (it is the correct width for Option B, it is the cut-list's headline figure, and it appears in the title of nearly every table) — nothing in Challenge 3 explicitly flags "carry D2's result forward," the way Appendix D's own text flags itself as a reconciliation exercise for the waste-log trap above. A pitch whose D4 cost-per-door for Standard Stock comes out to $8.99 x 7/4 x (24/144) x 4 = $10.4883/door instead of the correct $12.7358/door (using 17/8 in) has fallen into this trap — and because that wrong number is lower than the correct one, it can make Standard Stock look artificially competitive with, or even cheaper than, The Special Order. Watch for a D4 table whose Standard Stock width column does not match D2's own stated rough-width answer.</w:t>
      </w:r>
    </w:p>
    <w:p>
      <w:pPr>
        <w:pStyle w:val="Heading1"/>
        <w:spacing w:after="140"/>
      </w:pPr>
      <w:r>
        <w:t xml:space="preserve">Twist</w:t>
      </w:r>
    </w:p>
    <w:p>
      <w:pPr>
        <w:spacing w:after="260"/>
      </w:pPr>
      <w:r>
        <w:rPr>
          <w:b/>
          <w:bCs/>
        </w:rPr>
        <w:t xml:space="preserve">Structural, not a dropped mid-discussion fact: </w:t>
      </w:r>
      <w:r>
        <w:rPr>
          <w:b/>
          <w:bCs/>
        </w:rPr>
        <w:t xml:space="preserve">this job's batch of 24 doors clears the 23-door breakeven threshold by exactly one door</w:t>
      </w:r>
      <w:r>
        <w:t xml:space="preserve">, and Appendix E's 30-board-foot minimum is an undisclosed-to-the-mill, author-stated assumption rather than a measured fact. A student who gets D2's common-denominator addition wrong in either direction (too small an allowance understates Standard Stock's true cost; too large overstates it) will compute a different breakeven batch size without realizing their arithmetic error, not their judgment, moved the answer — and because the job's real headroom above breakeven is only one door, even a small arithmetic slip can flip which option looks cheaper. Facilitators should treat the moment a student double-checks their D2 total against a partner's as the natural twist moment, and can manufacture it directly with Socratic Question 5: "If the real minimum this mill enforces were somewhat higher than 30 board feet, would this job's recommendation survive?"</w:t>
      </w:r>
    </w:p>
    <w:p>
      <w:pPr>
        <w:pStyle w:val="Heading1"/>
        <w:spacing w:after="140"/>
      </w:pPr>
      <w:r>
        <w:t xml:space="preserve">What a Strong Defense Sounds Like</w:t>
      </w:r>
    </w:p>
    <w:p>
      <w:pPr>
        <w:spacing w:after="260"/>
      </w:pPr>
      <w:r>
        <w:t xml:space="preserve">This case has no single right answer — B wins the correctly-computed cost math for this exact 24-door batch, but by a real, thin margin (8.33%, one door of headroom above breakeven). A strong defense of either option carries its own arithmetic all the way through in fraction form (never dropping to decimals mid-argument), correctly carries D2's true rough width forward into D4 rather than silently reverting to the net width, and treats MA1's 30-board-foot minimum as a disclosed assumption open to challenge rather than settled fact. A strong defense of A can concede B's cost edge and argue schedule certainty and zero commitment risk are worth more to this specific client relationship than B's small per-door savings. A strong defense of B should be able to say, unprompted, how much the minimum-order assumption would have to move before the recommendation flips. A pitch that never questions where 30 board feet came from, on either side, has not engaged with the case's real fragility.</w:t>
      </w:r>
    </w:p>
    <w:p>
      <w:pPr>
        <w:pStyle w:val="Heading1"/>
        <w:spacing w:after="140"/>
      </w:pPr>
      <w:r>
        <w:t xml:space="preserve">Skills This Case Exercises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Equivalent Fractions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Simplify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Improper Fraction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Mixed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find equivalent fractions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simplify a fraction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convert an improper fraction to a mixed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convert a mixed number to an improper fraction</w:t>
      </w:r>
    </w:p>
    <w:p>
      <w:pPr>
        <w:spacing w:after="200"/>
      </w:pPr>
      <w:r>
        <w:t xml:space="preserve"/>
      </w:r>
    </w:p>
    <w:p>
      <w:pPr>
        <w:pStyle w:val="Heading1"/>
        <w:spacing w:after="140"/>
      </w:pPr>
      <w:r>
        <w:t xml:space="preserve">Guide Notes — The Anchor Ladder (SPEC Section 7)</w:t>
      </w:r>
    </w:p>
    <w:p>
      <w:pPr>
        <w:pStyle w:val="Heading2"/>
        <w:spacing w:after="80"/>
      </w:pPr>
      <w:r>
        <w:t xml:space="preserve">Intro</w:t>
      </w:r>
    </w:p>
    <w:p>
      <w:pPr>
        <w:spacing w:after="180"/>
      </w:pPr>
      <w:r>
        <w:t xml:space="preserve">Frame the format: a blinking cursor, a saw screaming in the background, a fixed install date. This is a real small-business sourcing decision wearing a lumber cut list, not a fractions worksheet wearing a story.</w:t>
      </w:r>
    </w:p>
    <w:p>
      <w:pPr>
        <w:pStyle w:val="Heading2"/>
        <w:spacing w:after="80"/>
      </w:pPr>
      <w:r>
        <w:t xml:space="preserve">Launch</w:t>
      </w:r>
    </w:p>
    <w:p>
      <w:pPr>
        <w:spacing w:after="180"/>
      </w:pPr>
      <w:r>
        <w:t xml:space="preserve">Read the Overview aloud. Stop at "Her thumb hovers over the quantity field." Ask the room: "Before you've seen a single number, which of the two options do you already suspect costs more per door — and why?"</w:t>
      </w:r>
    </w:p>
    <w:p>
      <w:pPr>
        <w:pStyle w:val="Heading2"/>
        <w:spacing w:after="80"/>
      </w:pPr>
      <w:r>
        <w:t xml:space="preserve">Anchor 1 — Take a Stand and Vote</w:t>
      </w:r>
    </w:p>
    <w:p>
      <w:pPr>
        <w:spacing w:after="180"/>
      </w:pPr>
      <w:r>
        <w:t xml:space="preserve">No reasoning yet. "Standard Stock or The Special Order — show of hands." Record the split.</w:t>
      </w:r>
    </w:p>
    <w:p>
      <w:pPr>
        <w:pStyle w:val="Heading2"/>
        <w:spacing w:after="80"/>
      </w:pPr>
      <w:r>
        <w:t xml:space="preserve">Anchor 2 — What Is the Problem We're Solving?</w:t>
      </w:r>
    </w:p>
    <w:p>
      <w:pPr>
        <w:spacing w:after="180"/>
      </w:pPr>
      <w:r>
        <w:t xml:space="preserve">Push the room past "which stock is nicer" toward "which option's true cost per door, once milling waste is counted honestly, is actually lower." Surface that the cut list's 1-3/4" width is not the width Grace actually has to buy under Option A.</w:t>
      </w:r>
    </w:p>
    <w:p>
      <w:pPr>
        <w:pStyle w:val="Heading2"/>
        <w:spacing w:after="80"/>
      </w:pPr>
      <w:r>
        <w:t xml:space="preserve">Anchor 3 — What Is the Process?</w:t>
      </w:r>
    </w:p>
    <w:p>
      <w:pPr>
        <w:spacing w:after="180"/>
      </w:pPr>
      <w:r>
        <w:t xml:space="preserve">Before touching Appendix B/C's numbers, get the room to state the process out loud: find the true rough width per stile (D2), reconcile the waste log (D3), then compare true cost per door across both options at the job's real batch size (D4). Re-ask: "Now that we have a process, is 'which stock is nicer' still the right question?"</w:t>
      </w:r>
    </w:p>
    <w:p>
      <w:pPr>
        <w:pStyle w:val="Heading2"/>
        <w:spacing w:after="80"/>
      </w:pPr>
      <w:r>
        <w:t xml:space="preserve">Anchor 4 — What Don't We Know?</w:t>
      </w:r>
    </w:p>
    <w:p>
      <w:pPr>
        <w:spacing w:after="180"/>
      </w:pPr>
      <w:r>
        <w:t xml:space="preserve">Name the load-bearing unknown explicitly: Appendix E's 30-board-foot minimum order quantity is not a published figure from a real mill — it is this case's own stated Modeling Assumption (MA1), because no source publishes a minimum specific to a small custom exact-width dimensioning run. "Is 30 board feet a fact, or a stated, defensible guess? What would make a different guess just as defensible?"</w:t>
      </w:r>
    </w:p>
    <w:p>
      <w:pPr>
        <w:pStyle w:val="Heading2"/>
        <w:spacing w:after="80"/>
      </w:pPr>
      <w:r>
        <w:t xml:space="preserve">Data Deep Dive</w:t>
      </w:r>
    </w:p>
    <w:p>
      <w:pPr>
        <w:spacing w:after="180"/>
      </w:pPr>
      <w:r>
        <w:t xml:space="preserve">Open Appendices A–E. Run D1–D5 as a room, or have groups report out. This is also the moment to run Socratic Questions 1 and 3 (common denominators, and the compound board-footage build-out).</w:t>
      </w:r>
    </w:p>
    <w:p>
      <w:pPr>
        <w:pStyle w:val="Heading2"/>
        <w:spacing w:after="80"/>
      </w:pPr>
      <w:r>
        <w:t xml:space="preserve">Twist</w:t>
      </w:r>
    </w:p>
    <w:p>
      <w:pPr>
        <w:spacing w:after="180"/>
      </w:pPr>
      <w:r>
        <w:t xml:space="preserve">Once D2 and D4 are on the table, run Socratic Questions 4 and 5: "How many doors of headroom does this job actually have above the breakeven batch size?" (Answer: exactly one door — 24 vs. a 23-door threshold.) Then: "If the real minimum this mill enforces were somewhat higher than 30 board feet, would this job's recommendation survive?" Let the room discover how thin the margin (8.33%) and the batch-size headroom (one door) actually are.</w:t>
      </w:r>
    </w:p>
    <w:p>
      <w:pPr>
        <w:pStyle w:val="Heading2"/>
        <w:spacing w:after="80"/>
      </w:pPr>
      <w:r>
        <w:t xml:space="preserve">Close</w:t>
      </w:r>
    </w:p>
    <w:p>
      <w:pPr>
        <w:spacing w:after="180"/>
      </w:pPr>
      <w:r>
        <w:t xml:space="preserve">VOTE AGAIN. "Did the vote move? For anyone who didn't move, what would it take to change your mind — a different number, or a different priority (cost vs. schedule certainty) entirely?"</w:t>
      </w:r>
    </w:p>
    <w:p>
      <w:pPr>
        <w:pStyle w:val="Heading2"/>
        <w:spacing w:after="80"/>
      </w:pPr>
      <w:r>
        <w:t xml:space="preserve">Lessons Learned</w:t>
      </w:r>
    </w:p>
    <w:p>
      <w:pPr>
        <w:spacing w:after="180"/>
      </w:pPr>
      <w:r>
        <w:t xml:space="preserve">The core transferable idea: two numbers that look different on paper (an unsimplified fraction and a simplified one; a net width and a true rough width) can be the same or meaningfully different, and the only way to tell is to actually do the fraction arithmetic — not to trust how a number is written down.</w:t>
      </w:r>
    </w:p>
    <w:p>
      <w:pPr>
        <w:pStyle w:val="Heading2"/>
        <w:spacing w:after="80"/>
      </w:pPr>
      <w:r>
        <w:t xml:space="preserve">Standards Touched On</w:t>
      </w:r>
    </w:p>
    <w:p>
      <w:pPr>
        <w:spacing w:after="180"/>
      </w:pPr>
      <w:r>
        <w:t xml:space="preserve">Equivalent Fractions; Simplify; Improper Fraction; Mixed Number; How to find equivalent fractions; How to simplify a fraction; How to convert an improper fraction to a mixed number; How to convert a mixed number to an improper fraction.</w:t>
      </w:r>
    </w:p>
    <w:p>
      <w:pPr>
        <w:pStyle w:val="Heading1"/>
        <w:spacing w:after="140"/>
      </w:pPr>
      <w:r>
        <w:t xml:space="preserve">45-Minute Socratic Plan (SPEC §7.3)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a3a5c" w:val="clea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7560"/>
            <w:shd w:fill="1a3a5c" w:val="clear"/>
          </w:tcPr>
          <w:p>
            <w:r>
              <w:rPr>
                <w:b/>
                <w:bCs/>
                <w:color w:val="FFFFFF"/>
              </w:rPr>
              <w:t xml:space="preserve">Move</w:t>
            </w:r>
          </w:p>
        </w:tc>
      </w:tr>
      <w:tr>
        <w:tc>
          <w:tcPr>
            <w:tcW w:type="dxa" w:w="1800"/>
          </w:tcPr>
          <w:p>
            <w:r>
              <w:t xml:space="preserve">0:00–3:00</w:t>
            </w:r>
          </w:p>
        </w:tc>
        <w:tc>
          <w:tcPr>
            <w:tcW w:type="dxa" w:w="7560"/>
          </w:tcPr>
          <w:p>
            <w:r>
              <w:t xml:space="preserve">Cold read of the Overview, gut-check vote (Anchor 1) — no numbers shown yet</w:t>
            </w:r>
          </w:p>
        </w:tc>
      </w:tr>
      <w:tr>
        <w:tc>
          <w:tcPr>
            <w:tcW w:type="dxa" w:w="1800"/>
            <w:shd w:fill="F7F9FB" w:val="clear"/>
          </w:tcPr>
          <w:p>
            <w:r>
              <w:t xml:space="preserve">3:00–8:00</w:t>
            </w:r>
          </w:p>
        </w:tc>
        <w:tc>
          <w:tcPr>
            <w:tcW w:type="dxa" w:w="7560"/>
            <w:shd w:fill="F7F9FB" w:val="clear"/>
          </w:tcPr>
          <w:p>
            <w:r>
              <w:t xml:space="preserve">Position defense: "Convince us your pick is cheaper, not just more familiar"</w:t>
            </w:r>
          </w:p>
        </w:tc>
      </w:tr>
      <w:tr>
        <w:tc>
          <w:tcPr>
            <w:tcW w:type="dxa" w:w="1800"/>
          </w:tcPr>
          <w:p>
            <w:r>
              <w:t xml:space="preserve">8:00–20:00</w:t>
            </w:r>
          </w:p>
        </w:tc>
        <w:tc>
          <w:tcPr>
            <w:tcW w:type="dxa" w:w="7560"/>
          </w:tcPr>
          <w:p>
            <w:r>
              <w:t xml:space="preserve">Data Deep Dive — build D1's conversion table and D2's rough-width sum as a room</w:t>
            </w:r>
          </w:p>
        </w:tc>
      </w:tr>
      <w:tr>
        <w:tc>
          <w:tcPr>
            <w:tcW w:type="dxa" w:w="1800"/>
            <w:shd w:fill="F7F9FB" w:val="clear"/>
          </w:tcPr>
          <w:p>
            <w:r>
              <w:t xml:space="preserve">20:00–30:00</w:t>
            </w:r>
          </w:p>
        </w:tc>
        <w:tc>
          <w:tcPr>
            <w:tcW w:type="dxa" w:w="7560"/>
            <w:shd w:fill="F7F9FB" w:val="clear"/>
          </w:tcPr>
          <w:p>
            <w:r>
              <w:t xml:space="preserve">Reconcile Appendix D's waste log (D3); build D4's cost-per-door and breakeven</w:t>
            </w:r>
          </w:p>
        </w:tc>
      </w:tr>
      <w:tr>
        <w:tc>
          <w:tcPr>
            <w:tcW w:type="dxa" w:w="1800"/>
          </w:tcPr>
          <w:p>
            <w:r>
              <w:t xml:space="preserve">30:00</w:t>
            </w:r>
          </w:p>
        </w:tc>
        <w:tc>
          <w:tcPr>
            <w:tcW w:type="dxa" w:w="7560"/>
          </w:tcPr>
          <w:p>
            <w:r>
              <w:t xml:space="preserve">DROP THE TWIST — "This job's batch clears the breakeven threshold by exactly one door. If the mill's real minimum were somewhat higher than 30 board feet, does the recommendation survive?"</w:t>
            </w:r>
          </w:p>
        </w:tc>
      </w:tr>
      <w:tr>
        <w:tc>
          <w:tcPr>
            <w:tcW w:type="dxa" w:w="1800"/>
            <w:shd w:fill="F7F9FB" w:val="clear"/>
          </w:tcPr>
          <w:p>
            <w:r>
              <w:t xml:space="preserve">30:00–38:00</w:t>
            </w:r>
          </w:p>
        </w:tc>
        <w:tc>
          <w:tcPr>
            <w:tcW w:type="dxa" w:w="7560"/>
            <w:shd w:fill="F7F9FB" w:val="clear"/>
          </w:tcPr>
          <w:p>
            <w:r>
              <w:t xml:space="preserve">Pressure-test MA1 directly: re-derive D4's breakeven with a higher assumed minimum and see where the answer moves</w:t>
            </w:r>
          </w:p>
        </w:tc>
      </w:tr>
      <w:tr>
        <w:tc>
          <w:tcPr>
            <w:tcW w:type="dxa" w:w="1800"/>
          </w:tcPr>
          <w:p>
            <w:r>
              <w:t xml:space="preserve">38:00–45:00</w:t>
            </w:r>
          </w:p>
        </w:tc>
        <w:tc>
          <w:tcPr>
            <w:tcW w:type="dxa" w:w="7560"/>
          </w:tcPr>
          <w:p>
            <w:r>
              <w:t xml:space="preserve">Close, re-vote, D5's visual walkthrough, lessons learned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/>
      </w:pPr>
      <w:r>
        <w:t xml:space="preserve">Cohort Bands (SPEC Section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</w:rPr>
              <w:t xml:space="preserve">Band</w:t>
            </w:r>
          </w:p>
        </w:tc>
        <w:tc>
          <w:tcPr>
            <w:tcW w:type="dxa" w:w="1600"/>
            <w:shd w:fill="1a3a5c" w:val="clear"/>
          </w:tcPr>
          <w:p>
            <w:r>
              <w:rPr>
                <w:b/>
                <w:bCs/>
                <w:color w:val="FFFFFF"/>
              </w:rPr>
              <w:t xml:space="preserve">Typical size</w:t>
            </w:r>
          </w:p>
        </w:tc>
        <w:tc>
          <w:tcPr>
            <w:tcW w:type="dxa" w:w="5360"/>
            <w:shd w:fill="1a3a5c" w:val="clear"/>
          </w:tcPr>
          <w:p>
            <w:r>
              <w:rPr>
                <w:b/>
                <w:bCs/>
                <w:color w:val="FFFFFF"/>
              </w:rPr>
              <w:t xml:space="preserve">What changes</w:t>
            </w:r>
          </w:p>
        </w:tc>
      </w:tr>
      <w:tr>
        <w:tc>
          <w:tcPr>
            <w:tcW w:type="dxa" w:w="2400"/>
          </w:tcPr>
          <w:p>
            <w:r>
              <w:t xml:space="preserve">Full (12–20)</w:t>
            </w:r>
          </w:p>
        </w:tc>
        <w:tc>
          <w:tcPr>
            <w:tcW w:type="dxa" w:w="1600"/>
          </w:tcPr>
          <w:p>
            <w:r>
              <w:t xml:space="preserve">the size this case is written for</w:t>
            </w:r>
          </w:p>
        </w:tc>
        <w:tc>
          <w:tcPr>
            <w:tcW w:type="dxa" w:w="5360"/>
          </w:tcPr>
          <w:p>
            <w:r>
              <w:t xml:space="preserve">Anchors and the 45-minute timed plan run as written above</w:t>
            </w:r>
          </w:p>
        </w:tc>
      </w:tr>
      <w:tr>
        <w:tc>
          <w:tcPr>
            <w:tcW w:type="dxa" w:w="2400"/>
            <w:shd w:fill="F7F9FB" w:val="clear"/>
          </w:tcPr>
          <w:p>
            <w:r>
              <w:t xml:space="preserve">Compressed (6–11)</w:t>
            </w:r>
          </w:p>
        </w:tc>
        <w:tc>
          <w:tcPr>
            <w:tcW w:type="dxa" w:w="1600"/>
            <w:shd w:fill="F7F9FB" w:val="clear"/>
          </w:tcPr>
          <w:p>
            <w:r>
              <w:t xml:space="preserve">smaller room</w:t>
            </w:r>
          </w:p>
        </w:tc>
        <w:tc>
          <w:tcPr>
            <w:tcW w:type="dxa" w:w="5360"/>
            <w:shd w:fill="F7F9FB" w:val="clear"/>
          </w:tcPr>
          <w:p>
            <w:r>
              <w:t xml:space="preserve">Anchors 2–3 combine into one pass; the 20:00–30:00 build-out runs as a single worked example instead of small-group work; total runtime shortens proportionally</w:t>
            </w:r>
          </w:p>
        </w:tc>
      </w:tr>
      <w:tr>
        <w:tc>
          <w:tcPr>
            <w:tcW w:type="dxa" w:w="2400"/>
          </w:tcPr>
          <w:p>
            <w:r>
              <w:t xml:space="preserve">1:1 / pair (1–2)</w:t>
            </w:r>
          </w:p>
        </w:tc>
        <w:tc>
          <w:tcPr>
            <w:tcW w:type="dxa" w:w="1600"/>
          </w:tcPr>
          <w:p>
            <w:r>
              <w:t xml:space="preserve">tutoring context</w:t>
            </w:r>
          </w:p>
        </w:tc>
        <w:tc>
          <w:tcPr>
            <w:tcW w:type="dxa" w:w="5360"/>
          </w:tcPr>
          <w:p>
            <w:r>
              <w:t xml:space="preserve">No vote at Anchor 1 — ask for a stated initial position and why instead; the facilitator plays devil's advocate directly; the arithmetic pressure-test (30:00–38:00) still runs in full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2026-09-06T12:20:12.435Z</dcterms:created>
  <dcterms:modified xsi:type="dcterms:W3CDTF">2026-09-06T12:20:12.439Z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