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Dice Roll</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Twenty ten-sided dice sit in a shallow tray under the meeting-room camera, and the livestream chat is already scrolling faster than Marisol Ibarra can read it. A staffer in a blazer picks up the first die, rolls it across the felt, and reads the digit into the microphone. </w:t>
      </w:r>
      <w:r>
        <w:rPr>
          <w:i/>
          <w:iCs/>
        </w:rPr>
        <w:t xml:space="preserve">Four.</w:t>
      </w:r>
      <w:r>
        <w:t xml:space="preserve"> Another staffer types it into a form on the projector screen. Nineteen more to go.</w:t>
      </w:r>
    </w:p>
    <w:p>
      <w:r>
        <w:t xml:space="preserve">Marisol watches from the second row with a legal pad on her knee, half her attention on the dice and half on the seating chart of Colorado's sixty-four counties taped to the wall behind the podium. In eleven minutes, that twenty-digit number the dice are building — random, public, impossible to have picked in advance — will seed the software that tells every county in the state exactly which ballots its bipartisan audit board has to pull and recount by hand.</w:t>
      </w:r>
    </w:p>
    <w:p>
      <w:r>
        <w:t xml:space="preserve">The audit itself isn't Marisol's call. State law already requires it, in all sixty-four counties, every time. What's on her legal pad is a narrower question, and it's the one her director wants answered before the seating chart comes down off that wall: with a travel budget that covers five site visits this cycle, which five counties does the compliance-monitoring team actually go stand inside, in person, to watch the audit boards work?</w:t>
      </w:r>
    </w:p>
    <w:p>
      <w:r>
        <w:t xml:space="preserve">The last die lands. </w:t>
      </w:r>
      <w:r>
        <w:rPr>
          <w:i/>
          <w:iCs/>
        </w:rPr>
        <w:t xml:space="preserve">Six.</w:t>
      </w:r>
      <w:r>
        <w:t xml:space="preserve"> Her director leans over. "You said you'd have the visit list by end of day."</w:t>
      </w:r>
    </w:p>
    <w:p>
      <w:r>
        <w:t xml:space="preserve">Marisol looks down at the two lists already sketched on her legal pad.</w:t>
      </w:r>
    </w:p>
    <w:p>
      <w:pPr>
        <w:pStyle w:val="Heading2"/>
        <w:spacing w:after="120" w:before="240"/>
      </w:pPr>
      <w:r>
        <w:t xml:space="preserve">Background</w:t>
      </w:r>
    </w:p>
    <w:p>
      <w:r>
        <w:t xml:space="preserve">Colorado has </w:t>
      </w:r>
      <w:r>
        <w:rPr>
          <w:b/>
          <w:bCs/>
        </w:rPr>
        <w:t xml:space="preserve">64 counties</w:t>
      </w:r>
      <w:r>
        <w:t xml:space="preserve"> (SEE APPENDIX A) [S1]. Since 2009, Colorado Revised Statutes </w:t>
      </w:r>
      <w:r>
        <w:rPr>
          <w:b/>
          <w:bCs/>
        </w:rPr>
        <w:t xml:space="preserve">§1-7-515</w:t>
      </w:r>
      <w:r>
        <w:t xml:space="preserve"> has required that, starting with the 2017 coordinated election and after every primary, general, coordinated, or congressional vacancy election held since, </w:t>
      </w:r>
      <w:r>
        <w:rPr>
          <w:b/>
          <w:bCs/>
        </w:rPr>
        <w:t xml:space="preserve">every county that uses ballot-counting equipment must conduct a risk-limiting audit (RLA)</w:t>
      </w:r>
      <w:r>
        <w:t xml:space="preserve"> — a statistically designed manual recount of a randomly selected set of ballots, run by a bipartisan county audit board, that continues until it either confirms the reported outcome to a fixed confidence level or triggers a full hand count [S2] [S3]. That requirement does not change based on anything in this case: all 64 counties run their own RLA, every cycle, regardless of which counties Marisol picks.</w:t>
      </w:r>
    </w:p>
    <w:p>
      <w:r>
        <w:t xml:space="preserve">Marisol Ibarra is the Compliance Audit Coordinator in the Colorado Department of State's Elections Division. Her job is not to run the county audits — it is to make sure the Department can stand behind them. Beyond the paperwork every county already files, the Division sends a small compliance-monitoring team to a limited number of counties each cycle to observe the audit board's work in person: watching chain of custody handling, confirming the audit follows the seed-driven ballot selection exactly as designed, and catching the kind of procedural slip that never shows up in a written report (SEE APPENDIX C). This cycle, the team's travel budget and staff-days cover exactly </w:t>
      </w:r>
      <w:r>
        <w:rPr>
          <w:b/>
          <w:bCs/>
        </w:rPr>
        <w:t xml:space="preserve">5 in-person site visits</w:t>
      </w:r>
      <w:r>
        <w:t xml:space="preserve"> (SEE APPENDIX C) — out of a </w:t>
      </w:r>
      <w:r>
        <w:rPr>
          <w:b/>
          <w:bCs/>
        </w:rPr>
        <w:t xml:space="preserve">12-county working roster</w:t>
      </w:r>
      <w:r>
        <w:t xml:space="preserve"> [MA4] this case uses to represent Colorado's full geographic spread, from the Front Range to the Eastern Plains, the San Luis Valley, and the Western Slope (SEE APPENDIX A).</w:t>
      </w:r>
    </w:p>
    <w:p>
      <w:r>
        <w:t xml:space="preserve">Marisol worked as a county poll worker herself for three elections before she ever crossed over to the compliance side, so she knows what a real polling place feels like from the inside — the folding tables, the long lines of forms to sign, the exact moment in the evening when a tired precinct judge starts making small procedural shortcuts nobody meant any harm by. That ground-level memory is part of why she reads a county's audit floor so well now, and part of why she doesn't rattle when a county clerk pushes back hard on a finding — she's stood on the other side of that conversation. A single six-sided die sits on the corner of her desk, worn smooth at the edges; an instructor in her very first audit-methods training years ago used a handful of ordinary dice to walk the room through what a random sample actually is, and she kept one as a reminder that the math in front of her — 5 of 12 counties, sessions picked on an interval — is the same simple idea, just scaled up.</w:t>
      </w:r>
    </w:p>
    <w:p>
      <w:r>
        <w:t xml:space="preserve">Marisol has narrowed her visit plan to two options, using the same kind of public, reproducible random-seed process the statewide RLA itself uses (SEE APPENDIX B) [S4]:</w:t>
      </w:r>
    </w:p>
    <w:p>
      <w:r>
        <w:rPr>
          <w:b/>
          <w:bCs/>
        </w:rPr>
        <w:t xml:space="preserve">The Statewide Draw</w:t>
      </w:r>
      <w:r>
        <w:t xml:space="preserve"> selects the 5 visited counties by simple random sampling from the full 12-county roster, then, inside each selected county, uses systematic sampling to pick which of that county's scheduled audit sessions the team actually sits in on (SEE APPENDIX B). Every county on the roster — Front Range, plains, valley, or Western Slope — has a real, calculable chance of a Division observer walking in the door.</w:t>
      </w:r>
    </w:p>
    <w:p>
      <w:r>
        <w:rPr>
          <w:b/>
          <w:bCs/>
        </w:rPr>
        <w:t xml:space="preserve">The Front Range Loop</w:t>
      </w:r>
      <w:r>
        <w:t xml:space="preserve"> sends the team to the 5 counties nearest the Denver office — a convenience sample (SEE APPENDIX A). It costs less to run and needs no overnight travel. It also means the Division's own eyes never once reach the Eastern Plains, the San Luis Valley, or the Western Slope, no matter how many cycles run, no matter how the travel budget is spent.</w:t>
      </w:r>
    </w:p>
    <w:p>
      <w:r>
        <w:t xml:space="preserve">Every figure in this case is either cited to a real source or disclosed as a stated Modeling Assumption (SEE APPENDICES D AND E) — never invented quietly. The vocabulary and "how to…" skills this case will ask you to research are listed in Appendix F — that is where Challenge 1 sends you.</w:t>
      </w:r>
    </w:p>
    <w:p>
      <w:pPr>
        <w:pStyle w:val="Heading2"/>
        <w:spacing w:after="120" w:before="240"/>
      </w:pPr>
      <w:r>
        <w:t xml:space="preserve">Dilemma</w:t>
      </w:r>
    </w:p>
    <w:p>
      <w:r>
        <w:t xml:space="preserve">You are Marisol Ibarra.</w:t>
      </w:r>
    </w:p>
    <w:p>
      <w:r>
        <w:t xml:space="preserve">Do you:</w:t>
      </w:r>
    </w:p>
    <w:p>
      <w:r>
        <w:t xml:space="preserve">A.) Run </w:t>
      </w:r>
      <w:r>
        <w:rPr>
          <w:b/>
          <w:bCs/>
        </w:rPr>
        <w:t xml:space="preserve">The Statewide Draw</w:t>
      </w:r>
      <w:r>
        <w:t xml:space="preserve"> — a multistage sample: 5 of the 12 counties chosen by simple random sampling, then audit sessions inside each chosen county picked by systematic sampling, so every region of the state has a real chance of an in-person Division visit OR</w:t>
      </w:r>
    </w:p>
    <w:p>
      <w:r>
        <w:t xml:space="preserve">B.) Run </w:t>
      </w:r>
      <w:r>
        <w:rPr>
          <w:b/>
          <w:bCs/>
        </w:rPr>
        <w:t xml:space="preserve">The Front Range Loop</w:t>
      </w:r>
      <w:r>
        <w:t xml:space="preserve"> — a convenience sample of the 5 counties nearest the Denver office, cheaper and simpler to run, but the Eastern Plains, the San Luis Valley, and the Western Slope are never visited, no matter how many cycles pass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r>
        <w:t xml:space="preserve">D1. </w:t>
      </w:r>
      <w:r>
        <w:rPr>
          <w:b/>
          <w:bCs/>
        </w:rPr>
        <w:t xml:space="preserve">A population-and-sample description</w:t>
      </w:r>
      <w:r>
        <w:t xml:space="preserve">, in your own words: how many counties are on this case's working roster, how many the state actually has (SEE APPENDIX A), the size of this cycle's visit sample, and what percent of the working roster — and, separately, what percent of the full state — that sample represents, showing your arithmetic.</w:t>
      </w:r>
    </w:p>
    <w:p>
      <w:r>
        <w:t xml:space="preserve">D2. </w:t>
      </w:r>
      <w:r>
        <w:rPr>
          <w:b/>
          <w:bCs/>
        </w:rPr>
        <w:t xml:space="preserve">A Statewide Draw sampling plan</w:t>
      </w:r>
      <w:r>
        <w:t xml:space="preserve">: which 5 counties the simple-random first-stage draw selects (SEE APPENDIX B), and, for each selected county, the systematic-sampling interval and starting point you would use to choose which of that county's scheduled audit sessions to observe (SEE APPENDIX B).</w:t>
      </w:r>
    </w:p>
    <w:p>
      <w:r>
        <w:t xml:space="preserve">D3. </w:t>
      </w:r>
      <w:r>
        <w:rPr>
          <w:b/>
          <w:bCs/>
        </w:rPr>
        <w:t xml:space="preserve">A cluster-sampling cost check</w:t>
      </w:r>
      <w:r>
        <w:t xml:space="preserve">: what it would cost in review time to observe </w:t>
      </w:r>
      <w:r>
        <w:rPr>
          <w:i/>
          <w:iCs/>
        </w:rPr>
        <w:t xml:space="preserve">every single scheduled audit session</w:t>
      </w:r>
      <w:r>
        <w:t xml:space="preserve"> — not a systematic subsample — at the 5 Statewide Draw counties, showing why the plan systematically samples sessions inside each selected county instead of observing the whole cluster.</w:t>
      </w:r>
    </w:p>
    <w:p>
      <w:r>
        <w:t xml:space="preserve">D4. </w:t>
      </w:r>
      <w:r>
        <w:rPr>
          <w:b/>
          <w:bCs/>
        </w:rPr>
        <w:t xml:space="preserve">A Front Range Loop representativeness analysis</w:t>
      </w:r>
      <w:r>
        <w:t xml:space="preserve">: which counties on the roster sit inside the Front Range Loop's reach and which sit permanently outside it, plus a selection-probability comparison — the chance a specific Western Slope or San Luis Valley county is visited under each option this cycle, and the chance it is visited at least once across three consecutive election cycles under each option.</w:t>
      </w:r>
    </w:p>
    <w:p>
      <w:r>
        <w:t xml:space="preserve">D5. </w:t>
      </w:r>
      <w:r>
        <w:rPr>
          <w:b/>
          <w:bCs/>
        </w:rPr>
        <w:t xml:space="preserve">A total program cost comparison</w:t>
      </w:r>
      <w:r>
        <w:t xml:space="preserve"> (mileage, per diem, and staff time) for The Statewide Draw vs. The Front Range Loop (SEE APPENDIX C).</w:t>
      </w:r>
    </w:p>
    <w:p>
      <w:r>
        <w:t xml:space="preserve">D6. </w:t>
      </w:r>
      <w:r>
        <w:rPr>
          <w:b/>
          <w:bCs/>
        </w:rPr>
        <w:t xml:space="preserve">Two original visual displays of the data</w:t>
      </w:r>
      <w:r>
        <w:t xml:space="preserve">: a bar graph comparing each option's total program cost by category (mileage, lodging, meals and incidentals, staff time), and a pie chart showing what share of Colorado's population lives in the Front Range Loop's 5 reachable counties versus the rest of the state (SEE APPENDIX A).</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County Roster</w:t>
      </w:r>
    </w:p>
    <w:p>
      <w:r>
        <w:t xml:space="preserve">This case works with a representative 12-county subset of Colorado's 64 counties [S1], chosen to span the state's major geographic regions: the Front Range (near the Denver office), the Eastern Plains, the San Luis Valley, and the Western Slope. Distance is one-way driving miles from the Elections Division's Denver office to each county seat [S5]. 2024 population estimates are shown for Appendix D6's pie chart [S6].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County</w:t>
            </w:r>
          </w:p>
        </w:tc>
        <w:tc>
          <w:tcPr>
            <w:tcW w:type="dxa" w:w="1500"/>
            <w:shd w:fill="DDDDDD" w:val="clear"/>
          </w:tcPr>
          <w:p>
            <w:r>
              <w:t xml:space="preserve">County Seat</w:t>
            </w:r>
          </w:p>
        </w:tc>
        <w:tc>
          <w:tcPr>
            <w:tcW w:type="dxa" w:w="1500"/>
            <w:shd w:fill="DDDDDD" w:val="clear"/>
          </w:tcPr>
          <w:p>
            <w:r>
              <w:t xml:space="preserve">Region</w:t>
            </w:r>
          </w:p>
        </w:tc>
        <w:tc>
          <w:tcPr>
            <w:tcW w:type="dxa" w:w="1500"/>
            <w:shd w:fill="DDDDDD" w:val="clear"/>
          </w:tcPr>
          <w:p>
            <w:r>
              <w:t xml:space="preserve">One-way miles from Denver</w:t>
            </w:r>
          </w:p>
        </w:tc>
        <w:tc>
          <w:tcPr>
            <w:tcW w:type="dxa" w:w="1500"/>
            <w:shd w:fill="DDDDDD" w:val="clear"/>
          </w:tcPr>
          <w:p>
            <w:r>
              <w:t xml:space="preserve">2024 population</w:t>
            </w:r>
          </w:p>
        </w:tc>
      </w:tr>
      <w:tr>
        <w:tc>
          <w:tcPr>
            <w:tcW w:type="dxa" w:w="1500"/>
          </w:tcPr>
          <w:p>
            <w:r>
              <w:t xml:space="preserve">1</w:t>
            </w:r>
          </w:p>
        </w:tc>
        <w:tc>
          <w:tcPr>
            <w:tcW w:type="dxa" w:w="1500"/>
          </w:tcPr>
          <w:p>
            <w:r>
              <w:t xml:space="preserve">Alamosa</w:t>
            </w:r>
          </w:p>
        </w:tc>
        <w:tc>
          <w:tcPr>
            <w:tcW w:type="dxa" w:w="1500"/>
          </w:tcPr>
          <w:p>
            <w:r>
              <w:t xml:space="preserve">Alamosa</w:t>
            </w:r>
          </w:p>
        </w:tc>
        <w:tc>
          <w:tcPr>
            <w:tcW w:type="dxa" w:w="1500"/>
          </w:tcPr>
          <w:p>
            <w:r>
              <w:t xml:space="preserve">San Luis Valley</w:t>
            </w:r>
          </w:p>
        </w:tc>
        <w:tc>
          <w:tcPr>
            <w:tcW w:type="dxa" w:w="1500"/>
          </w:tcPr>
          <w:p>
            <w:r>
              <w:t xml:space="preserve">235 [S5]</w:t>
            </w:r>
          </w:p>
        </w:tc>
        <w:tc>
          <w:tcPr>
            <w:tcW w:type="dxa" w:w="1500"/>
          </w:tcPr>
          <w:p>
            <w:r>
              <w:t xml:space="preserve">16,300 [S6]</w:t>
            </w:r>
          </w:p>
        </w:tc>
      </w:tr>
      <w:tr>
        <w:tc>
          <w:tcPr>
            <w:tcW w:type="dxa" w:w="1500"/>
          </w:tcPr>
          <w:p>
            <w:r>
              <w:t xml:space="preserve">2</w:t>
            </w:r>
          </w:p>
        </w:tc>
        <w:tc>
          <w:tcPr>
            <w:tcW w:type="dxa" w:w="1500"/>
          </w:tcPr>
          <w:p>
            <w:r>
              <w:t xml:space="preserve">Boulder</w:t>
            </w:r>
          </w:p>
        </w:tc>
        <w:tc>
          <w:tcPr>
            <w:tcW w:type="dxa" w:w="1500"/>
          </w:tcPr>
          <w:p>
            <w:r>
              <w:t xml:space="preserve">Boulder</w:t>
            </w:r>
          </w:p>
        </w:tc>
        <w:tc>
          <w:tcPr>
            <w:tcW w:type="dxa" w:w="1500"/>
          </w:tcPr>
          <w:p>
            <w:r>
              <w:t xml:space="preserve">Front Range</w:t>
            </w:r>
          </w:p>
        </w:tc>
        <w:tc>
          <w:tcPr>
            <w:tcW w:type="dxa" w:w="1500"/>
          </w:tcPr>
          <w:p>
            <w:r>
              <w:t xml:space="preserve">66 [S5]</w:t>
            </w:r>
          </w:p>
        </w:tc>
        <w:tc>
          <w:tcPr>
            <w:tcW w:type="dxa" w:w="1500"/>
          </w:tcPr>
          <w:p>
            <w:r>
              <w:t xml:space="preserve">328,560 [S6]</w:t>
            </w:r>
          </w:p>
        </w:tc>
      </w:tr>
      <w:tr>
        <w:tc>
          <w:tcPr>
            <w:tcW w:type="dxa" w:w="1500"/>
          </w:tcPr>
          <w:p>
            <w:r>
              <w:t xml:space="preserve">3</w:t>
            </w:r>
          </w:p>
        </w:tc>
        <w:tc>
          <w:tcPr>
            <w:tcW w:type="dxa" w:w="1500"/>
          </w:tcPr>
          <w:p>
            <w:r>
              <w:t xml:space="preserve">Douglas</w:t>
            </w:r>
          </w:p>
        </w:tc>
        <w:tc>
          <w:tcPr>
            <w:tcW w:type="dxa" w:w="1500"/>
          </w:tcPr>
          <w:p>
            <w:r>
              <w:t xml:space="preserve">Castle Rock</w:t>
            </w:r>
          </w:p>
        </w:tc>
        <w:tc>
          <w:tcPr>
            <w:tcW w:type="dxa" w:w="1500"/>
          </w:tcPr>
          <w:p>
            <w:r>
              <w:t xml:space="preserve">Front Range</w:t>
            </w:r>
          </w:p>
        </w:tc>
        <w:tc>
          <w:tcPr>
            <w:tcW w:type="dxa" w:w="1500"/>
          </w:tcPr>
          <w:p>
            <w:r>
              <w:t xml:space="preserve">29 [S5]</w:t>
            </w:r>
          </w:p>
        </w:tc>
        <w:tc>
          <w:tcPr>
            <w:tcW w:type="dxa" w:w="1500"/>
          </w:tcPr>
          <w:p>
            <w:r>
              <w:t xml:space="preserve">399,396 [S6]</w:t>
            </w:r>
          </w:p>
        </w:tc>
      </w:tr>
      <w:tr>
        <w:tc>
          <w:tcPr>
            <w:tcW w:type="dxa" w:w="1500"/>
          </w:tcPr>
          <w:p>
            <w:r>
              <w:t xml:space="preserve">4</w:t>
            </w:r>
          </w:p>
        </w:tc>
        <w:tc>
          <w:tcPr>
            <w:tcW w:type="dxa" w:w="1500"/>
          </w:tcPr>
          <w:p>
            <w:r>
              <w:t xml:space="preserve">El Paso</w:t>
            </w:r>
          </w:p>
        </w:tc>
        <w:tc>
          <w:tcPr>
            <w:tcW w:type="dxa" w:w="1500"/>
          </w:tcPr>
          <w:p>
            <w:r>
              <w:t xml:space="preserve">Colorado Springs</w:t>
            </w:r>
          </w:p>
        </w:tc>
        <w:tc>
          <w:tcPr>
            <w:tcW w:type="dxa" w:w="1500"/>
          </w:tcPr>
          <w:p>
            <w:r>
              <w:t xml:space="preserve">Front Range</w:t>
            </w:r>
          </w:p>
        </w:tc>
        <w:tc>
          <w:tcPr>
            <w:tcW w:type="dxa" w:w="1500"/>
          </w:tcPr>
          <w:p>
            <w:r>
              <w:t xml:space="preserve">69 [S5]</w:t>
            </w:r>
          </w:p>
        </w:tc>
        <w:tc>
          <w:tcPr>
            <w:tcW w:type="dxa" w:w="1500"/>
          </w:tcPr>
          <w:p>
            <w:r>
              <w:t xml:space="preserve">757,040 [S6]</w:t>
            </w:r>
          </w:p>
        </w:tc>
      </w:tr>
      <w:tr>
        <w:tc>
          <w:tcPr>
            <w:tcW w:type="dxa" w:w="1500"/>
          </w:tcPr>
          <w:p>
            <w:r>
              <w:t xml:space="preserve">5</w:t>
            </w:r>
          </w:p>
        </w:tc>
        <w:tc>
          <w:tcPr>
            <w:tcW w:type="dxa" w:w="1500"/>
          </w:tcPr>
          <w:p>
            <w:r>
              <w:t xml:space="preserve">Jefferson</w:t>
            </w:r>
          </w:p>
        </w:tc>
        <w:tc>
          <w:tcPr>
            <w:tcW w:type="dxa" w:w="1500"/>
          </w:tcPr>
          <w:p>
            <w:r>
              <w:t xml:space="preserve">Golden</w:t>
            </w:r>
          </w:p>
        </w:tc>
        <w:tc>
          <w:tcPr>
            <w:tcW w:type="dxa" w:w="1500"/>
          </w:tcPr>
          <w:p>
            <w:r>
              <w:t xml:space="preserve">Front Range</w:t>
            </w:r>
          </w:p>
        </w:tc>
        <w:tc>
          <w:tcPr>
            <w:tcW w:type="dxa" w:w="1500"/>
          </w:tcPr>
          <w:p>
            <w:r>
              <w:t xml:space="preserve">15 [S5]</w:t>
            </w:r>
          </w:p>
        </w:tc>
        <w:tc>
          <w:tcPr>
            <w:tcW w:type="dxa" w:w="1500"/>
          </w:tcPr>
          <w:p>
            <w:r>
              <w:t xml:space="preserve">580,451 [S6]</w:t>
            </w:r>
          </w:p>
        </w:tc>
      </w:tr>
      <w:tr>
        <w:tc>
          <w:tcPr>
            <w:tcW w:type="dxa" w:w="1500"/>
          </w:tcPr>
          <w:p>
            <w:r>
              <w:t xml:space="preserve">6</w:t>
            </w:r>
          </w:p>
        </w:tc>
        <w:tc>
          <w:tcPr>
            <w:tcW w:type="dxa" w:w="1500"/>
          </w:tcPr>
          <w:p>
            <w:r>
              <w:t xml:space="preserve">Kit Carson</w:t>
            </w:r>
          </w:p>
        </w:tc>
        <w:tc>
          <w:tcPr>
            <w:tcW w:type="dxa" w:w="1500"/>
          </w:tcPr>
          <w:p>
            <w:r>
              <w:t xml:space="preserve">Burlington</w:t>
            </w:r>
          </w:p>
        </w:tc>
        <w:tc>
          <w:tcPr>
            <w:tcW w:type="dxa" w:w="1500"/>
          </w:tcPr>
          <w:p>
            <w:r>
              <w:t xml:space="preserve">Eastern Plains</w:t>
            </w:r>
          </w:p>
        </w:tc>
        <w:tc>
          <w:tcPr>
            <w:tcW w:type="dxa" w:w="1500"/>
          </w:tcPr>
          <w:p>
            <w:r>
              <w:t xml:space="preserve">169 [S5]</w:t>
            </w:r>
          </w:p>
        </w:tc>
        <w:tc>
          <w:tcPr>
            <w:tcW w:type="dxa" w:w="1500"/>
          </w:tcPr>
          <w:p>
            <w:r>
              <w:t xml:space="preserve">7,100 [S6]</w:t>
            </w:r>
          </w:p>
        </w:tc>
      </w:tr>
      <w:tr>
        <w:tc>
          <w:tcPr>
            <w:tcW w:type="dxa" w:w="1500"/>
          </w:tcPr>
          <w:p>
            <w:r>
              <w:t xml:space="preserve">7</w:t>
            </w:r>
          </w:p>
        </w:tc>
        <w:tc>
          <w:tcPr>
            <w:tcW w:type="dxa" w:w="1500"/>
          </w:tcPr>
          <w:p>
            <w:r>
              <w:t xml:space="preserve">La Plata</w:t>
            </w:r>
          </w:p>
        </w:tc>
        <w:tc>
          <w:tcPr>
            <w:tcW w:type="dxa" w:w="1500"/>
          </w:tcPr>
          <w:p>
            <w:r>
              <w:t xml:space="preserve">Durango</w:t>
            </w:r>
          </w:p>
        </w:tc>
        <w:tc>
          <w:tcPr>
            <w:tcW w:type="dxa" w:w="1500"/>
          </w:tcPr>
          <w:p>
            <w:r>
              <w:t xml:space="preserve">Southwest / Western Slope</w:t>
            </w:r>
          </w:p>
        </w:tc>
        <w:tc>
          <w:tcPr>
            <w:tcW w:type="dxa" w:w="1500"/>
          </w:tcPr>
          <w:p>
            <w:r>
              <w:t xml:space="preserve">336 [S5]</w:t>
            </w:r>
          </w:p>
        </w:tc>
        <w:tc>
          <w:tcPr>
            <w:tcW w:type="dxa" w:w="1500"/>
          </w:tcPr>
          <w:p>
            <w:r>
              <w:t xml:space="preserve">58,200 [S6]</w:t>
            </w:r>
          </w:p>
        </w:tc>
      </w:tr>
      <w:tr>
        <w:tc>
          <w:tcPr>
            <w:tcW w:type="dxa" w:w="1500"/>
          </w:tcPr>
          <w:p>
            <w:r>
              <w:t xml:space="preserve">8</w:t>
            </w:r>
          </w:p>
        </w:tc>
        <w:tc>
          <w:tcPr>
            <w:tcW w:type="dxa" w:w="1500"/>
          </w:tcPr>
          <w:p>
            <w:r>
              <w:t xml:space="preserve">Larimer</w:t>
            </w:r>
          </w:p>
        </w:tc>
        <w:tc>
          <w:tcPr>
            <w:tcW w:type="dxa" w:w="1500"/>
          </w:tcPr>
          <w:p>
            <w:r>
              <w:t xml:space="preserve">Fort Collins</w:t>
            </w:r>
          </w:p>
        </w:tc>
        <w:tc>
          <w:tcPr>
            <w:tcW w:type="dxa" w:w="1500"/>
          </w:tcPr>
          <w:p>
            <w:r>
              <w:t xml:space="preserve">Front Range</w:t>
            </w:r>
          </w:p>
        </w:tc>
        <w:tc>
          <w:tcPr>
            <w:tcW w:type="dxa" w:w="1500"/>
          </w:tcPr>
          <w:p>
            <w:r>
              <w:t xml:space="preserve">64 [S5]</w:t>
            </w:r>
          </w:p>
        </w:tc>
        <w:tc>
          <w:tcPr>
            <w:tcW w:type="dxa" w:w="1500"/>
          </w:tcPr>
          <w:p>
            <w:r>
              <w:t xml:space="preserve">377,292 [S6]</w:t>
            </w:r>
          </w:p>
        </w:tc>
      </w:tr>
      <w:tr>
        <w:tc>
          <w:tcPr>
            <w:tcW w:type="dxa" w:w="1500"/>
          </w:tcPr>
          <w:p>
            <w:r>
              <w:t xml:space="preserve">9</w:t>
            </w:r>
          </w:p>
        </w:tc>
        <w:tc>
          <w:tcPr>
            <w:tcW w:type="dxa" w:w="1500"/>
          </w:tcPr>
          <w:p>
            <w:r>
              <w:t xml:space="preserve">Mesa</w:t>
            </w:r>
          </w:p>
        </w:tc>
        <w:tc>
          <w:tcPr>
            <w:tcW w:type="dxa" w:w="1500"/>
          </w:tcPr>
          <w:p>
            <w:r>
              <w:t xml:space="preserve">Grand Junction</w:t>
            </w:r>
          </w:p>
        </w:tc>
        <w:tc>
          <w:tcPr>
            <w:tcW w:type="dxa" w:w="1500"/>
          </w:tcPr>
          <w:p>
            <w:r>
              <w:t xml:space="preserve">Western Slope</w:t>
            </w:r>
          </w:p>
        </w:tc>
        <w:tc>
          <w:tcPr>
            <w:tcW w:type="dxa" w:w="1500"/>
          </w:tcPr>
          <w:p>
            <w:r>
              <w:t xml:space="preserve">243 [S5]</w:t>
            </w:r>
          </w:p>
        </w:tc>
        <w:tc>
          <w:tcPr>
            <w:tcW w:type="dxa" w:w="1500"/>
          </w:tcPr>
          <w:p>
            <w:r>
              <w:t xml:space="preserve">158,300 [S6]</w:t>
            </w:r>
          </w:p>
        </w:tc>
      </w:tr>
      <w:tr>
        <w:tc>
          <w:tcPr>
            <w:tcW w:type="dxa" w:w="1500"/>
          </w:tcPr>
          <w:p>
            <w:r>
              <w:t xml:space="preserve">10</w:t>
            </w:r>
          </w:p>
        </w:tc>
        <w:tc>
          <w:tcPr>
            <w:tcW w:type="dxa" w:w="1500"/>
          </w:tcPr>
          <w:p>
            <w:r>
              <w:t xml:space="preserve">Montezuma</w:t>
            </w:r>
          </w:p>
        </w:tc>
        <w:tc>
          <w:tcPr>
            <w:tcW w:type="dxa" w:w="1500"/>
          </w:tcPr>
          <w:p>
            <w:r>
              <w:t xml:space="preserve">Cortez</w:t>
            </w:r>
          </w:p>
        </w:tc>
        <w:tc>
          <w:tcPr>
            <w:tcW w:type="dxa" w:w="1500"/>
          </w:tcPr>
          <w:p>
            <w:r>
              <w:t xml:space="preserve">Southwest / Western Slope</w:t>
            </w:r>
          </w:p>
        </w:tc>
        <w:tc>
          <w:tcPr>
            <w:tcW w:type="dxa" w:w="1500"/>
          </w:tcPr>
          <w:p>
            <w:r>
              <w:t xml:space="preserve">381 [S5]</w:t>
            </w:r>
          </w:p>
        </w:tc>
        <w:tc>
          <w:tcPr>
            <w:tcW w:type="dxa" w:w="1500"/>
          </w:tcPr>
          <w:p>
            <w:r>
              <w:t xml:space="preserve">26,000 [S6]</w:t>
            </w:r>
          </w:p>
        </w:tc>
      </w:tr>
      <w:tr>
        <w:tc>
          <w:tcPr>
            <w:tcW w:type="dxa" w:w="1500"/>
          </w:tcPr>
          <w:p>
            <w:r>
              <w:t xml:space="preserve">11</w:t>
            </w:r>
          </w:p>
        </w:tc>
        <w:tc>
          <w:tcPr>
            <w:tcW w:type="dxa" w:w="1500"/>
          </w:tcPr>
          <w:p>
            <w:r>
              <w:t xml:space="preserve">Prowers</w:t>
            </w:r>
          </w:p>
        </w:tc>
        <w:tc>
          <w:tcPr>
            <w:tcW w:type="dxa" w:w="1500"/>
          </w:tcPr>
          <w:p>
            <w:r>
              <w:t xml:space="preserve">Lamar</w:t>
            </w:r>
          </w:p>
        </w:tc>
        <w:tc>
          <w:tcPr>
            <w:tcW w:type="dxa" w:w="1500"/>
          </w:tcPr>
          <w:p>
            <w:r>
              <w:t xml:space="preserve">Eastern Plains</w:t>
            </w:r>
          </w:p>
        </w:tc>
        <w:tc>
          <w:tcPr>
            <w:tcW w:type="dxa" w:w="1500"/>
          </w:tcPr>
          <w:p>
            <w:r>
              <w:t xml:space="preserve">208 [S5]</w:t>
            </w:r>
          </w:p>
        </w:tc>
        <w:tc>
          <w:tcPr>
            <w:tcW w:type="dxa" w:w="1500"/>
          </w:tcPr>
          <w:p>
            <w:r>
              <w:t xml:space="preserve">11,700 [S6]</w:t>
            </w:r>
          </w:p>
        </w:tc>
      </w:tr>
      <w:tr>
        <w:tc>
          <w:tcPr>
            <w:tcW w:type="dxa" w:w="1500"/>
          </w:tcPr>
          <w:p>
            <w:r>
              <w:t xml:space="preserve">12</w:t>
            </w:r>
          </w:p>
        </w:tc>
        <w:tc>
          <w:tcPr>
            <w:tcW w:type="dxa" w:w="1500"/>
          </w:tcPr>
          <w:p>
            <w:r>
              <w:t xml:space="preserve">Pueblo</w:t>
            </w:r>
          </w:p>
        </w:tc>
        <w:tc>
          <w:tcPr>
            <w:tcW w:type="dxa" w:w="1500"/>
          </w:tcPr>
          <w:p>
            <w:r>
              <w:t xml:space="preserve">Pueblo</w:t>
            </w:r>
          </w:p>
        </w:tc>
        <w:tc>
          <w:tcPr>
            <w:tcW w:type="dxa" w:w="1500"/>
          </w:tcPr>
          <w:p>
            <w:r>
              <w:t xml:space="preserve">South-Central</w:t>
            </w:r>
          </w:p>
        </w:tc>
        <w:tc>
          <w:tcPr>
            <w:tcW w:type="dxa" w:w="1500"/>
          </w:tcPr>
          <w:p>
            <w:r>
              <w:t xml:space="preserve">114 [S5]</w:t>
            </w:r>
          </w:p>
        </w:tc>
        <w:tc>
          <w:tcPr>
            <w:tcW w:type="dxa" w:w="1500"/>
          </w:tcPr>
          <w:p>
            <w:r>
              <w:t xml:space="preserve">168,400 [S6]</w:t>
            </w:r>
          </w:p>
        </w:tc>
      </w:tr>
    </w:tbl>
    <w:p/>
    <w:p>
      <w:r>
        <w:rPr>
          <w:b/>
          <w:bCs/>
        </w:rPr>
        <w:t xml:space="preserve">Colorado's total 2024 population is approximately 5,960,000</w:t>
      </w:r>
      <w:r>
        <w:t xml:space="preserve"> [S6]. </w:t>
      </w:r>
      <w:r>
        <w:rPr>
          <w:b/>
          <w:bCs/>
        </w:rPr>
        <w:t xml:space="preserve">The Front Range Loop's reach</w:t>
      </w:r>
      <w:r>
        <w:t xml:space="preserve"> (Option B) is fixed to the 5 counties nearest the Denver office: Jefferson (15 mi), Douglas (29 mi), Larimer (64 mi), Boulder (66 mi), and El Paso (69 mi) — all five are same-day round trips with no overnight stay required. The Eastern Plains, San Luis Valley, and Southwest/Western Slope counties on this roster (Kit Carson, Prowers, Alamosa, Mesa, La Plata, Montezuma) are never inside the Front Range Loop's reach.</w:t>
      </w:r>
    </w:p>
    <w:p>
      <w:pPr>
        <w:pStyle w:val="Heading2"/>
        <w:spacing w:after="120" w:before="240"/>
      </w:pPr>
      <w:r>
        <w:t xml:space="preserve">Appendix B — This Cycle's Sampling Mechanics</w:t>
      </w:r>
    </w:p>
    <w:p>
      <w:r>
        <w:rPr>
          <w:b/>
          <w:bCs/>
        </w:rPr>
        <w:t xml:space="preserve">How Colorado's own RLA sets its random seed (for context — this is the state's real, statutory process, not something Marisol controls):</w:t>
      </w:r>
      <w:r>
        <w:t xml:space="preserve"> at a public meeting, staff roll 20 ten-sided dice one at a time on camera while the meeting livestreams; each roll becomes one digit of a 20-digit random seed, entered into the Department of State's open-source RLA software to select the specific ballots each county's audit board must recount [S4]. The process is designed to be public, unpredictable in advance, and exactly reproducible afterward from the recorded seed.</w:t>
      </w:r>
    </w:p>
    <w:p>
      <w:r>
        <w:rPr>
          <w:b/>
          <w:bCs/>
        </w:rPr>
        <w:t xml:space="preserve">The Statewide Draw's realized county selection, this cycle</w:t>
      </w:r>
      <w:r>
        <w:t xml:space="preserve"> (one specific simple-random draw of 5 of the 12 counties in Appendix A, using the Division's own public-seed selection procedure): </w:t>
      </w:r>
      <w:r>
        <w:rPr>
          <w:b/>
          <w:bCs/>
        </w:rPr>
        <w:t xml:space="preserve">Jefferson, Boulder, Pueblo, Kit Carson, Alamosa.</w:t>
      </w:r>
    </w:p>
    <w:p>
      <w:r>
        <w:rPr>
          <w:b/>
          <w:bCs/>
        </w:rPr>
        <w:t xml:space="preserve">Scheduled audit sessions this cycle, in each Statewide Draw county</w:t>
      </w:r>
      <w:r>
        <w:t xml:space="preserve"> (a county's bipartisan audit board may split its work across more than one scheduled session if it has many batches to recount; this is the case's own scenario data, not an external figure):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County</w:t>
            </w:r>
          </w:p>
        </w:tc>
        <w:tc>
          <w:tcPr>
            <w:tcW w:type="dxa" w:w="3000"/>
            <w:shd w:fill="DDDDDD" w:val="clear"/>
          </w:tcPr>
          <w:p>
            <w:r>
              <w:t xml:space="preserve">Scheduled audit sessions this cycle</w:t>
            </w:r>
          </w:p>
        </w:tc>
        <w:tc>
          <w:tcPr>
            <w:tcW w:type="dxa" w:w="3000"/>
            <w:shd w:fill="DDDDDD" w:val="clear"/>
          </w:tcPr>
          <w:p>
            <w:r>
              <w:t xml:space="preserve">Sessions Marisol's team will actually observe (target)</w:t>
            </w:r>
          </w:p>
        </w:tc>
      </w:tr>
      <w:tr>
        <w:tc>
          <w:tcPr>
            <w:tcW w:type="dxa" w:w="3000"/>
          </w:tcPr>
          <w:p>
            <w:r>
              <w:t xml:space="preserve">Jefferson</w:t>
            </w:r>
          </w:p>
        </w:tc>
        <w:tc>
          <w:tcPr>
            <w:tcW w:type="dxa" w:w="3000"/>
          </w:tcPr>
          <w:p>
            <w:r>
              <w:t xml:space="preserve">18</w:t>
            </w:r>
          </w:p>
        </w:tc>
        <w:tc>
          <w:tcPr>
            <w:tcW w:type="dxa" w:w="3000"/>
          </w:tcPr>
          <w:p>
            <w:r>
              <w:t xml:space="preserve">2</w:t>
            </w:r>
          </w:p>
        </w:tc>
      </w:tr>
      <w:tr>
        <w:tc>
          <w:tcPr>
            <w:tcW w:type="dxa" w:w="3000"/>
          </w:tcPr>
          <w:p>
            <w:r>
              <w:t xml:space="preserve">Boulder</w:t>
            </w:r>
          </w:p>
        </w:tc>
        <w:tc>
          <w:tcPr>
            <w:tcW w:type="dxa" w:w="3000"/>
          </w:tcPr>
          <w:p>
            <w:r>
              <w:t xml:space="preserve">14</w:t>
            </w:r>
          </w:p>
        </w:tc>
        <w:tc>
          <w:tcPr>
            <w:tcW w:type="dxa" w:w="3000"/>
          </w:tcPr>
          <w:p>
            <w:r>
              <w:t xml:space="preserve">2</w:t>
            </w:r>
          </w:p>
        </w:tc>
      </w:tr>
      <w:tr>
        <w:tc>
          <w:tcPr>
            <w:tcW w:type="dxa" w:w="3000"/>
          </w:tcPr>
          <w:p>
            <w:r>
              <w:t xml:space="preserve">Pueblo</w:t>
            </w:r>
          </w:p>
        </w:tc>
        <w:tc>
          <w:tcPr>
            <w:tcW w:type="dxa" w:w="3000"/>
          </w:tcPr>
          <w:p>
            <w:r>
              <w:t xml:space="preserve">9</w:t>
            </w:r>
          </w:p>
        </w:tc>
        <w:tc>
          <w:tcPr>
            <w:tcW w:type="dxa" w:w="3000"/>
          </w:tcPr>
          <w:p>
            <w:r>
              <w:t xml:space="preserve">2</w:t>
            </w:r>
          </w:p>
        </w:tc>
      </w:tr>
      <w:tr>
        <w:tc>
          <w:tcPr>
            <w:tcW w:type="dxa" w:w="3000"/>
          </w:tcPr>
          <w:p>
            <w:r>
              <w:t xml:space="preserve">Kit Carson</w:t>
            </w:r>
          </w:p>
        </w:tc>
        <w:tc>
          <w:tcPr>
            <w:tcW w:type="dxa" w:w="3000"/>
          </w:tcPr>
          <w:p>
            <w:r>
              <w:t xml:space="preserve">3</w:t>
            </w:r>
          </w:p>
        </w:tc>
        <w:tc>
          <w:tcPr>
            <w:tcW w:type="dxa" w:w="3000"/>
          </w:tcPr>
          <w:p>
            <w:r>
              <w:t xml:space="preserve">2</w:t>
            </w:r>
          </w:p>
        </w:tc>
      </w:tr>
      <w:tr>
        <w:tc>
          <w:tcPr>
            <w:tcW w:type="dxa" w:w="3000"/>
          </w:tcPr>
          <w:p>
            <w:r>
              <w:t xml:space="preserve">Alamosa</w:t>
            </w:r>
          </w:p>
        </w:tc>
        <w:tc>
          <w:tcPr>
            <w:tcW w:type="dxa" w:w="3000"/>
          </w:tcPr>
          <w:p>
            <w:r>
              <w:t xml:space="preserve">4</w:t>
            </w:r>
          </w:p>
        </w:tc>
        <w:tc>
          <w:tcPr>
            <w:tcW w:type="dxa" w:w="3000"/>
          </w:tcPr>
          <w:p>
            <w:r>
              <w:t xml:space="preserve">2</w:t>
            </w:r>
          </w:p>
        </w:tc>
      </w:tr>
    </w:tbl>
    <w:p/>
    <w:p>
      <w:r>
        <w:t xml:space="preserve">For each county above, the systematic-sampling interval </w:t>
      </w:r>
      <w:r>
        <w:rPr>
          <w:i/>
          <w:iCs/>
        </w:rPr>
        <w:t xml:space="preserve">k</w:t>
      </w:r>
      <w:r>
        <w:t xml:space="preserve"> is the number of scheduled sessions divided by the target number of sessions observed (rounded down to a whole number), with a starting session chosen at random between session 1 and session </w:t>
      </w:r>
      <w:r>
        <w:rPr>
          <w:i/>
          <w:iCs/>
        </w:rPr>
        <w:t xml:space="preserve">k</w:t>
      </w:r>
      <w:r>
        <w:t xml:space="preserve">.</w:t>
      </w:r>
    </w:p>
    <w:p>
      <w:pPr>
        <w:pStyle w:val="Heading2"/>
        <w:spacing w:after="120" w:before="240"/>
      </w:pPr>
      <w:r>
        <w:t xml:space="preserve">Appendix C — Program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Line item</w:t>
            </w:r>
          </w:p>
        </w:tc>
        <w:tc>
          <w:tcPr>
            <w:tcW w:type="dxa" w:w="4500"/>
            <w:shd w:fill="DDDDDD" w:val="clear"/>
          </w:tcPr>
          <w:p>
            <w:r>
              <w:t xml:space="preserve">Value</w:t>
            </w:r>
          </w:p>
        </w:tc>
      </w:tr>
      <w:tr>
        <w:tc>
          <w:tcPr>
            <w:tcW w:type="dxa" w:w="4500"/>
          </w:tcPr>
          <w:p>
            <w:r>
              <w:t xml:space="preserve">State mileage reimbursement rate</w:t>
            </w:r>
          </w:p>
        </w:tc>
        <w:tc>
          <w:tcPr>
            <w:tcW w:type="dxa" w:w="4500"/>
          </w:tcPr>
          <w:p>
            <w:r>
              <w:t xml:space="preserve">$0.68/mile [S7]</w:t>
            </w:r>
          </w:p>
        </w:tc>
      </w:tr>
      <w:tr>
        <w:tc>
          <w:tcPr>
            <w:tcW w:type="dxa" w:w="4500"/>
          </w:tcPr>
          <w:p>
            <w:r>
              <w:t xml:space="preserve">Meals &amp; incidental expenses (M&amp;IE), per travel day, per person</w:t>
            </w:r>
          </w:p>
        </w:tc>
        <w:tc>
          <w:tcPr>
            <w:tcW w:type="dxa" w:w="4500"/>
          </w:tcPr>
          <w:p>
            <w:r>
              <w:t xml:space="preserve">$68.00/day [S8]</w:t>
            </w:r>
          </w:p>
        </w:tc>
      </w:tr>
      <w:tr>
        <w:tc>
          <w:tcPr>
            <w:tcW w:type="dxa" w:w="4500"/>
          </w:tcPr>
          <w:p>
            <w:r>
              <w:t xml:space="preserve">Overnight lodging, per night, per person</w:t>
            </w:r>
          </w:p>
        </w:tc>
        <w:tc>
          <w:tcPr>
            <w:tcW w:type="dxa" w:w="4500"/>
          </w:tcPr>
          <w:p>
            <w:r>
              <w:t xml:space="preserve">$110.00/night [S8]</w:t>
            </w:r>
          </w:p>
        </w:tc>
      </w:tr>
      <w:tr>
        <w:tc>
          <w:tcPr>
            <w:tcW w:type="dxa" w:w="4500"/>
          </w:tcPr>
          <w:p>
            <w:r>
              <w:t xml:space="preserve">One-way distance beyond which an overnight stay is required</w:t>
            </w:r>
          </w:p>
        </w:tc>
        <w:tc>
          <w:tcPr>
            <w:tcW w:type="dxa" w:w="4500"/>
          </w:tcPr>
          <w:p>
            <w:r>
              <w:t xml:space="preserve">150 miles [MA1]</w:t>
            </w:r>
          </w:p>
        </w:tc>
      </w:tr>
      <w:tr>
        <w:tc>
          <w:tcPr>
            <w:tcW w:type="dxa" w:w="4500"/>
          </w:tcPr>
          <w:p>
            <w:r>
              <w:t xml:space="preserve">Loaded daily cost of a Division compliance monitor's travel day (salary, benefits, and report-writing time)</w:t>
            </w:r>
          </w:p>
        </w:tc>
        <w:tc>
          <w:tcPr>
            <w:tcW w:type="dxa" w:w="4500"/>
          </w:tcPr>
          <w:p>
            <w:r>
              <w:t xml:space="preserve">$450.00/day [MA2]</w:t>
            </w:r>
          </w:p>
        </w:tc>
      </w:tr>
      <w:tr>
        <w:tc>
          <w:tcPr>
            <w:tcW w:type="dxa" w:w="4500"/>
          </w:tcPr>
          <w:p>
            <w:r>
              <w:t xml:space="preserve">Site visits this cycle (both options)</w:t>
            </w:r>
          </w:p>
        </w:tc>
        <w:tc>
          <w:tcPr>
            <w:tcW w:type="dxa" w:w="4500"/>
          </w:tcPr>
          <w:p>
            <w:r>
              <w:t xml:space="preserve">5 [MA3]</w:t>
            </w:r>
          </w:p>
        </w:tc>
      </w:tr>
      <w:tr>
        <w:tc>
          <w:tcPr>
            <w:tcW w:type="dxa" w:w="4500"/>
          </w:tcPr>
          <w:p>
            <w:r>
              <w:t xml:space="preserve">Per-session review and documentation cost, if a session is observed</w:t>
            </w:r>
          </w:p>
        </w:tc>
        <w:tc>
          <w:tcPr>
            <w:tcW w:type="dxa" w:w="4500"/>
          </w:tcPr>
          <w:p>
            <w:r>
              <w:t xml:space="preserve">$25.00/session [MA5]</w:t>
            </w:r>
          </w:p>
        </w:tc>
      </w:tr>
    </w:tbl>
    <w:p/>
    <w:p>
      <w:r>
        <w:t xml:space="preserve">A visit's mileage cost is the round-trip distance (2 × one-way miles, from Appendix A) times the mileage rate. A visit needs one overnight stay only when its one-way distance exceeds 150 miles. M&amp;IE and the compliance monitor's daily cost apply to every visit regardless of distance. The per-session review cost (Challenge D3 only) is separate from the travel/lodging/staff figures used in the primary program-cost comparison (Challenge D5): it applies only to whichever scheduled sessions actually get observed, in either a systematic subsample or a full cluster census.</w:t>
      </w:r>
    </w:p>
    <w:p>
      <w:pPr>
        <w:pStyle w:val="Heading2"/>
        <w:spacing w:after="120" w:before="240"/>
      </w:pPr>
      <w:r>
        <w:t xml:space="preserve">Appendix D —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One-way distance beyond which an overnight stay is required</w:t>
            </w:r>
          </w:p>
        </w:tc>
        <w:tc>
          <w:tcPr>
            <w:tcW w:type="dxa" w:w="1800"/>
          </w:tcPr>
          <w:p>
            <w:r>
              <w:t xml:space="preserve">150 miles</w:t>
            </w:r>
          </w:p>
        </w:tc>
        <w:tc>
          <w:tcPr>
            <w:tcW w:type="dxa" w:w="1800"/>
          </w:tcPr>
          <w:p>
            <w:r>
              <w:t xml:space="preserve">No public Division policy fixes an exact same-day-versus-overnight cutoff for this specific monitoring program. 150 miles one-way is roughly a 2.5-hour drive each way — beyond that, a round trip plus a real working stretch of time inside the audit session no longer fits a single business day.</w:t>
            </w:r>
          </w:p>
        </w:tc>
        <w:tc>
          <w:tcPr>
            <w:tcW w:type="dxa" w:w="1800"/>
          </w:tcPr>
          <w:p>
            <w:r>
              <w:t xml:space="preserve">The answer is sensitive to this value.</w:t>
            </w:r>
          </w:p>
        </w:tc>
      </w:tr>
      <w:tr>
        <w:tc>
          <w:tcPr>
            <w:tcW w:type="dxa" w:w="1800"/>
          </w:tcPr>
          <w:p>
            <w:r>
              <w:t xml:space="preserve">MA2</w:t>
            </w:r>
          </w:p>
        </w:tc>
        <w:tc>
          <w:tcPr>
            <w:tcW w:type="dxa" w:w="1800"/>
          </w:tcPr>
          <w:p>
            <w:r>
              <w:t xml:space="preserve">Loaded daily cost of a compliance monitor's travel day</w:t>
            </w:r>
          </w:p>
        </w:tc>
        <w:tc>
          <w:tcPr>
            <w:tcW w:type="dxa" w:w="1800"/>
          </w:tcPr>
          <w:p>
            <w:r>
              <w:t xml:space="preserve">$450.00/day</w:t>
            </w:r>
          </w:p>
        </w:tc>
        <w:tc>
          <w:tcPr>
            <w:tcW w:type="dxa" w:w="1800"/>
          </w:tcPr>
          <w:p>
            <w:r>
              <w:t xml:space="preserve">No public figure exists for the Division's specific internal cost-accounting rate for a monitoring day. The value is set consistent with a Colorado state classified analyst's salary band loaded with standard public-sector benefits and overhead, prorated to a single workday. Applied identically to every visit under both options.</w:t>
            </w:r>
          </w:p>
        </w:tc>
        <w:tc>
          <w:tcPr>
            <w:tcW w:type="dxa" w:w="1800"/>
          </w:tcPr>
          <w:p>
            <w:r>
              <w:t xml:space="preserve">The answer is sensitive to this value.</w:t>
            </w:r>
          </w:p>
        </w:tc>
      </w:tr>
      <w:tr>
        <w:tc>
          <w:tcPr>
            <w:tcW w:type="dxa" w:w="1800"/>
          </w:tcPr>
          <w:p>
            <w:r>
              <w:t xml:space="preserve">MA3</w:t>
            </w:r>
          </w:p>
        </w:tc>
        <w:tc>
          <w:tcPr>
            <w:tcW w:type="dxa" w:w="1800"/>
          </w:tcPr>
          <w:p>
            <w:r>
              <w:t xml:space="preserve">Number of site visits this cycle</w:t>
            </w:r>
          </w:p>
        </w:tc>
        <w:tc>
          <w:tcPr>
            <w:tcW w:type="dxa" w:w="1800"/>
          </w:tcPr>
          <w:p>
            <w:r>
              <w:t xml:space="preserve">5</w:t>
            </w:r>
          </w:p>
        </w:tc>
        <w:tc>
          <w:tcPr>
            <w:tcW w:type="dxa" w:w="1800"/>
          </w:tcPr>
          <w:p>
            <w:r>
              <w:t xml:space="preserve">No public figure exists for the Division's exact travel/staff-day budget for in-person compliance monitoring in a given cycle; the case fixes a small number consistent with a compact state elections-oversight staff. Applied identically to both options, so it does not by itself favor either one.</w:t>
            </w:r>
          </w:p>
        </w:tc>
        <w:tc>
          <w:tcPr>
            <w:tcW w:type="dxa" w:w="1800"/>
          </w:tcPr>
          <w:p>
            <w:r>
              <w:t xml:space="preserve">Low — applies equally to A and B.</w:t>
            </w:r>
          </w:p>
        </w:tc>
      </w:tr>
      <w:tr>
        <w:tc>
          <w:tcPr>
            <w:tcW w:type="dxa" w:w="1800"/>
          </w:tcPr>
          <w:p>
            <w:r>
              <w:t xml:space="preserve">MA4</w:t>
            </w:r>
          </w:p>
        </w:tc>
        <w:tc>
          <w:tcPr>
            <w:tcW w:type="dxa" w:w="1800"/>
          </w:tcPr>
          <w:p>
            <w:r>
              <w:t xml:space="preserve">This case's 12-county working roster stands in for Colorado's full 64-county population</w:t>
            </w:r>
          </w:p>
        </w:tc>
        <w:tc>
          <w:tcPr>
            <w:tcW w:type="dxa" w:w="1800"/>
          </w:tcPr>
          <w:p>
            <w:r>
              <w:t xml:space="preserve">12 of 64</w:t>
            </w:r>
          </w:p>
        </w:tc>
        <w:tc>
          <w:tcPr>
            <w:tcW w:type="dxa" w:w="1800"/>
          </w:tcPr>
          <w:p>
            <w:r>
              <w:t xml:space="preserve">Modeling every one of the state's 64 counties would make the dataset unworkable for a classroom exercise; the 12-county roster is chosen to span all of the state's recognized geographic regions (SEE APPENDIX A), preserving the real geographic spread that drives this case's tradeoff.</w:t>
            </w:r>
          </w:p>
        </w:tc>
        <w:tc>
          <w:tcPr>
            <w:tcW w:type="dxa" w:w="1800"/>
          </w:tcPr>
          <w:p>
            <w:r>
              <w:t xml:space="preserve">Does not affect the cost margin; affects only the scale of the population-and-sample arithmetic in D1.</w:t>
            </w:r>
          </w:p>
        </w:tc>
      </w:tr>
      <w:tr>
        <w:tc>
          <w:tcPr>
            <w:tcW w:type="dxa" w:w="1800"/>
          </w:tcPr>
          <w:p>
            <w:r>
              <w:t xml:space="preserve">MA5</w:t>
            </w:r>
          </w:p>
        </w:tc>
        <w:tc>
          <w:tcPr>
            <w:tcW w:type="dxa" w:w="1800"/>
          </w:tcPr>
          <w:p>
            <w:r>
              <w:t xml:space="preserve">Per-session review and documentation cost, if a session is observed</w:t>
            </w:r>
          </w:p>
        </w:tc>
        <w:tc>
          <w:tcPr>
            <w:tcW w:type="dxa" w:w="1800"/>
          </w:tcPr>
          <w:p>
            <w:r>
              <w:t xml:space="preserve">$25.00/session</w:t>
            </w:r>
          </w:p>
        </w:tc>
        <w:tc>
          <w:tcPr>
            <w:tcW w:type="dxa" w:w="1800"/>
          </w:tcPr>
          <w:p>
            <w:r>
              <w:t xml:space="preserve">No public figure exists for the Division's internal cost of writing up and filing a single observed-session report. Set at a modest, round figure consistent with a short compliance write-up. Used only in Challenge D3's illustrative full-cluster-census cost check.</w:t>
            </w:r>
          </w:p>
        </w:tc>
        <w:tc>
          <w:tcPr>
            <w:tcW w:type="dxa" w:w="1800"/>
          </w:tcPr>
          <w:p>
            <w:r>
              <w:t xml:space="preserve">Does not affect the primary A-vs-B cost margin (Challenge D5), which never includes this figure; only affects D3's own separate comparison.</w:t>
            </w:r>
          </w:p>
        </w:tc>
      </w:tr>
    </w:tbl>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Colorado has 64 counties</w:t>
            </w:r>
          </w:p>
        </w:tc>
        <w:tc>
          <w:tcPr>
            <w:tcW w:type="dxa" w:w="1500"/>
          </w:tcPr>
          <w:p>
            <w:r>
              <w:t xml:space="preserve">64</w:t>
            </w:r>
          </w:p>
        </w:tc>
        <w:tc>
          <w:tcPr>
            <w:tcW w:type="dxa" w:w="1500"/>
          </w:tcPr>
          <w:p>
            <w:r>
              <w:t xml:space="preserve">Colorado Department of State / Verified Voting — </w:t>
            </w:r>
            <w:hyperlink w:history="1" r:id="rIdys6d395pg8xh-ndolyotw">
              <w:r>
                <w:rPr>
                  <w:rStyle w:val="Hyperlink"/>
                </w:rPr>
                <w:t xml:space="preserve">Audit Law Database: Colorado</w:t>
              </w:r>
            </w:hyperlink>
          </w:p>
        </w:tc>
        <w:tc>
          <w:tcPr>
            <w:tcW w:type="dxa" w:w="1500"/>
          </w:tcPr>
          <w:p>
            <w:r>
              <w:t xml:space="preserve">accessed 2026-09-09</w:t>
            </w:r>
          </w:p>
        </w:tc>
        <w:tc>
          <w:tcPr>
            <w:tcW w:type="dxa" w:w="1500"/>
          </w:tcPr>
          <w:p>
            <w:r>
              <w:t xml:space="preserve">HIGH</w:t>
            </w:r>
          </w:p>
        </w:tc>
      </w:tr>
      <w:tr>
        <w:tc>
          <w:tcPr>
            <w:tcW w:type="dxa" w:w="1500"/>
          </w:tcPr>
          <w:p>
            <w:r>
              <w:t xml:space="preserve">S2</w:t>
            </w:r>
          </w:p>
        </w:tc>
        <w:tc>
          <w:tcPr>
            <w:tcW w:type="dxa" w:w="1500"/>
          </w:tcPr>
          <w:p>
            <w:r>
              <w:t xml:space="preserve">Colorado's risk-limiting audit statute, requirements, and 2017 start date</w:t>
            </w:r>
          </w:p>
        </w:tc>
        <w:tc>
          <w:tcPr>
            <w:tcW w:type="dxa" w:w="1500"/>
          </w:tcPr>
          <w:p>
            <w:r>
              <w:t xml:space="preserve">C.R.S. §1-7-515</w:t>
            </w:r>
          </w:p>
        </w:tc>
        <w:tc>
          <w:tcPr>
            <w:tcW w:type="dxa" w:w="1500"/>
          </w:tcPr>
          <w:p>
            <w:r>
              <w:t xml:space="preserve">Justia — </w:t>
            </w:r>
            <w:hyperlink w:history="1" r:id="rId14wqra0x74szu4q1xrtsu">
              <w:r>
                <w:rPr>
                  <w:rStyle w:val="Hyperlink"/>
                </w:rPr>
                <w:t xml:space="preserve">Colorado Revised Statutes §1-7-515 (2024)</w:t>
              </w:r>
            </w:hyperlink>
          </w:p>
        </w:tc>
        <w:tc>
          <w:tcPr>
            <w:tcW w:type="dxa" w:w="1500"/>
          </w:tcPr>
          <w:p>
            <w:r>
              <w:t xml:space="preserve">accessed 2026-09-09</w:t>
            </w:r>
          </w:p>
        </w:tc>
        <w:tc>
          <w:tcPr>
            <w:tcW w:type="dxa" w:w="1500"/>
          </w:tcPr>
          <w:p>
            <w:r>
              <w:t xml:space="preserve">HIGH</w:t>
            </w:r>
          </w:p>
        </w:tc>
      </w:tr>
      <w:tr>
        <w:tc>
          <w:tcPr>
            <w:tcW w:type="dxa" w:w="1500"/>
          </w:tcPr>
          <w:p>
            <w:r>
              <w:t xml:space="preserve">S3</w:t>
            </w:r>
          </w:p>
        </w:tc>
        <w:tc>
          <w:tcPr>
            <w:tcW w:type="dxa" w:w="1500"/>
          </w:tcPr>
          <w:p>
            <w:r>
              <w:t xml:space="preserve">Every Colorado county using ballot-counting equipment conducts its own bipartisan RLA after every statewide election</w:t>
            </w:r>
          </w:p>
        </w:tc>
        <w:tc>
          <w:tcPr>
            <w:tcW w:type="dxa" w:w="1500"/>
          </w:tcPr>
          <w:p>
            <w:r>
              <w:t xml:space="preserve">—</w:t>
            </w:r>
          </w:p>
        </w:tc>
        <w:tc>
          <w:tcPr>
            <w:tcW w:type="dxa" w:w="1500"/>
          </w:tcPr>
          <w:p>
            <w:r>
              <w:t xml:space="preserve">Colorado Secretary of State — </w:t>
            </w:r>
            <w:hyperlink w:history="1" r:id="rIdjtnvkeruiiupxek8zwy2w">
              <w:r>
                <w:rPr>
                  <w:rStyle w:val="Hyperlink"/>
                </w:rPr>
                <w:t xml:space="preserve">Colorado Begins Post-Election Audit of 2026 Primary</w:t>
              </w:r>
            </w:hyperlink>
          </w:p>
        </w:tc>
        <w:tc>
          <w:tcPr>
            <w:tcW w:type="dxa" w:w="1500"/>
          </w:tcPr>
          <w:p>
            <w:r>
              <w:t xml:space="preserve">2026-07-13; accessed 2026-09-09</w:t>
            </w:r>
          </w:p>
        </w:tc>
        <w:tc>
          <w:tcPr>
            <w:tcW w:type="dxa" w:w="1500"/>
          </w:tcPr>
          <w:p>
            <w:r>
              <w:t xml:space="preserve">HIGH</w:t>
            </w:r>
          </w:p>
        </w:tc>
      </w:tr>
      <w:tr>
        <w:tc>
          <w:tcPr>
            <w:tcW w:type="dxa" w:w="1500"/>
          </w:tcPr>
          <w:p>
            <w:r>
              <w:t xml:space="preserve">S4</w:t>
            </w:r>
          </w:p>
        </w:tc>
        <w:tc>
          <w:tcPr>
            <w:tcW w:type="dxa" w:w="1500"/>
          </w:tcPr>
          <w:p>
            <w:r>
              <w:t xml:space="preserve">The RLA random seed is set by publicly rolling 20 ten-sided dice, one digit per roll</w:t>
            </w:r>
          </w:p>
        </w:tc>
        <w:tc>
          <w:tcPr>
            <w:tcW w:type="dxa" w:w="1500"/>
          </w:tcPr>
          <w:p>
            <w:r>
              <w:t xml:space="preserve">20-digit seed (e.g. 49006417086137856424, 2026 Primary)</w:t>
            </w:r>
          </w:p>
        </w:tc>
        <w:tc>
          <w:tcPr>
            <w:tcW w:type="dxa" w:w="1500"/>
          </w:tcPr>
          <w:p>
            <w:r>
              <w:t xml:space="preserve">Colorado Secretary of State — </w:t>
            </w:r>
            <w:hyperlink w:history="1" r:id="rIdgea8abczg33wpymhfsvdx">
              <w:r>
                <w:rPr>
                  <w:rStyle w:val="Hyperlink"/>
                </w:rPr>
                <w:t xml:space="preserve">Colorado Begins Post-Election Audit of 2026 Primary</w:t>
              </w:r>
            </w:hyperlink>
          </w:p>
        </w:tc>
        <w:tc>
          <w:tcPr>
            <w:tcW w:type="dxa" w:w="1500"/>
          </w:tcPr>
          <w:p>
            <w:r>
              <w:t xml:space="preserve">2026-07-13; accessed 2026-09-09</w:t>
            </w:r>
          </w:p>
        </w:tc>
        <w:tc>
          <w:tcPr>
            <w:tcW w:type="dxa" w:w="1500"/>
          </w:tcPr>
          <w:p>
            <w:r>
              <w:t xml:space="preserve">HIGH</w:t>
            </w:r>
          </w:p>
        </w:tc>
      </w:tr>
      <w:tr>
        <w:tc>
          <w:tcPr>
            <w:tcW w:type="dxa" w:w="1500"/>
          </w:tcPr>
          <w:p>
            <w:r>
              <w:t xml:space="preserve">S5</w:t>
            </w:r>
          </w:p>
        </w:tc>
        <w:tc>
          <w:tcPr>
            <w:tcW w:type="dxa" w:w="1500"/>
          </w:tcPr>
          <w:p>
            <w:r>
              <w:t xml:space="preserve">One-way driving distance, Denver to each county seat in Appendix A</w:t>
            </w:r>
          </w:p>
        </w:tc>
        <w:tc>
          <w:tcPr>
            <w:tcW w:type="dxa" w:w="1500"/>
          </w:tcPr>
          <w:p>
            <w:r>
              <w:t xml:space="preserve">see Appendix A</w:t>
            </w:r>
          </w:p>
        </w:tc>
        <w:tc>
          <w:tcPr>
            <w:tcW w:type="dxa" w:w="1500"/>
          </w:tcPr>
          <w:p>
            <w:r>
              <w:t xml:space="preserve">TravelMath / Trippy driving-distance lookups (aggregated mapping-service distances; not a single primary source)</w:t>
            </w:r>
          </w:p>
        </w:tc>
        <w:tc>
          <w:tcPr>
            <w:tcW w:type="dxa" w:w="1500"/>
          </w:tcPr>
          <w:p>
            <w:r>
              <w:t xml:space="preserve">accessed 2026-09-09</w:t>
            </w:r>
          </w:p>
        </w:tc>
        <w:tc>
          <w:tcPr>
            <w:tcW w:type="dxa" w:w="1500"/>
          </w:tcPr>
          <w:p>
            <w:r>
              <w:t xml:space="preserve">MEDIUM</w:t>
            </w:r>
          </w:p>
        </w:tc>
      </w:tr>
      <w:tr>
        <w:tc>
          <w:tcPr>
            <w:tcW w:type="dxa" w:w="1500"/>
          </w:tcPr>
          <w:p>
            <w:r>
              <w:t xml:space="preserve">S6</w:t>
            </w:r>
          </w:p>
        </w:tc>
        <w:tc>
          <w:tcPr>
            <w:tcW w:type="dxa" w:w="1500"/>
          </w:tcPr>
          <w:p>
            <w:r>
              <w:t xml:space="preserve">2024 county and statewide population estimates</w:t>
            </w:r>
          </w:p>
        </w:tc>
        <w:tc>
          <w:tcPr>
            <w:tcW w:type="dxa" w:w="1500"/>
          </w:tcPr>
          <w:p>
            <w:r>
              <w:t xml:space="preserve">see Appendix A</w:t>
            </w:r>
          </w:p>
        </w:tc>
        <w:tc>
          <w:tcPr>
            <w:tcW w:type="dxa" w:w="1500"/>
          </w:tcPr>
          <w:p>
            <w:r>
              <w:t xml:space="preserve">World Population Review / Colorado Demographics, citing U.S. Census Bureau Vintage 2024 population estimates</w:t>
            </w:r>
          </w:p>
        </w:tc>
        <w:tc>
          <w:tcPr>
            <w:tcW w:type="dxa" w:w="1500"/>
          </w:tcPr>
          <w:p>
            <w:r>
              <w:t xml:space="preserve">accessed 2026-09-09</w:t>
            </w:r>
          </w:p>
        </w:tc>
        <w:tc>
          <w:tcPr>
            <w:tcW w:type="dxa" w:w="1500"/>
          </w:tcPr>
          <w:p>
            <w:r>
              <w:t xml:space="preserve">MEDIUM</w:t>
            </w:r>
          </w:p>
        </w:tc>
      </w:tr>
      <w:tr>
        <w:tc>
          <w:tcPr>
            <w:tcW w:type="dxa" w:w="1500"/>
          </w:tcPr>
          <w:p>
            <w:r>
              <w:t xml:space="preserve">S7</w:t>
            </w:r>
          </w:p>
        </w:tc>
        <w:tc>
          <w:tcPr>
            <w:tcW w:type="dxa" w:w="1500"/>
          </w:tcPr>
          <w:p>
            <w:r>
              <w:t xml:space="preserve">Colorado state mileage reimbursement rate (90% of the prevailing IRS rate, 2-wheel-drive vehicle), effective July 1, 2026</w:t>
            </w:r>
          </w:p>
        </w:tc>
        <w:tc>
          <w:tcPr>
            <w:tcW w:type="dxa" w:w="1500"/>
          </w:tcPr>
          <w:p>
            <w:r>
              <w:t xml:space="preserve">$0.68/mile</w:t>
            </w:r>
          </w:p>
        </w:tc>
        <w:tc>
          <w:tcPr>
            <w:tcW w:type="dxa" w:w="1500"/>
          </w:tcPr>
          <w:p>
            <w:r>
              <w:t xml:space="preserve">University of Colorado, Payroll &amp; Benefit Services — </w:t>
            </w:r>
            <w:hyperlink w:history="1" r:id="rIdsox8-6qegikveykumjqhg">
              <w:r>
                <w:rPr>
                  <w:rStyle w:val="Hyperlink"/>
                </w:rPr>
                <w:t xml:space="preserve">Mid-Year Increase to Mileage Reimbursement Rates for 2026</w:t>
              </w:r>
            </w:hyperlink>
            <w:r>
              <w:t xml:space="preserve">, citing the State of Colorado's fiscal rules (Office of the State Controller, CRS 24-9-104)</w:t>
            </w:r>
          </w:p>
        </w:tc>
        <w:tc>
          <w:tcPr>
            <w:tcW w:type="dxa" w:w="1500"/>
          </w:tcPr>
          <w:p>
            <w:r>
              <w:t xml:space="preserve">accessed 2026-09-09</w:t>
            </w:r>
          </w:p>
        </w:tc>
        <w:tc>
          <w:tcPr>
            <w:tcW w:type="dxa" w:w="1500"/>
          </w:tcPr>
          <w:p>
            <w:r>
              <w:t xml:space="preserve">HIGH</w:t>
            </w:r>
          </w:p>
        </w:tc>
      </w:tr>
      <w:tr>
        <w:tc>
          <w:tcPr>
            <w:tcW w:type="dxa" w:w="1500"/>
          </w:tcPr>
          <w:p>
            <w:r>
              <w:t xml:space="preserve">S8</w:t>
            </w:r>
          </w:p>
        </w:tc>
        <w:tc>
          <w:tcPr>
            <w:tcW w:type="dxa" w:w="1500"/>
          </w:tcPr>
          <w:p>
            <w:r>
              <w:t xml:space="preserve">FY2026 standard CONUS federal per diem: lodging and meals &amp; incidental expenses (M&amp;IE)</w:t>
            </w:r>
          </w:p>
        </w:tc>
        <w:tc>
          <w:tcPr>
            <w:tcW w:type="dxa" w:w="1500"/>
          </w:tcPr>
          <w:p>
            <w:r>
              <w:t xml:space="preserve">$110/night lodging; $68/day M&amp;IE</w:t>
            </w:r>
          </w:p>
        </w:tc>
        <w:tc>
          <w:tcPr>
            <w:tcW w:type="dxa" w:w="1500"/>
          </w:tcPr>
          <w:p>
            <w:r>
              <w:t xml:space="preserve">U.S. General Services Administration — </w:t>
            </w:r>
            <w:hyperlink w:history="1" r:id="rId81klufr9_jqfy_7hcencz">
              <w:r>
                <w:rPr>
                  <w:rStyle w:val="Hyperlink"/>
                </w:rPr>
                <w:t xml:space="preserve">GSA Releases FY 2026 CONUS Per Diem Rates for Federal Travelers</w:t>
              </w:r>
            </w:hyperlink>
            <w:r>
              <w:t xml:space="preserve"> (rates unchanged from FY2025; exact $110/$68 split confirmed via GSA-sourced per diem aggregator, PerDiemWorld — </w:t>
            </w:r>
            <w:hyperlink w:history="1" r:id="rIdnazs7xrwigdr897tgpwl6">
              <w:r>
                <w:rPr>
                  <w:rStyle w:val="Hyperlink"/>
                </w:rPr>
                <w:t xml:space="preserve">Standard CONUS Per Diem Rate FY2026</w:t>
              </w:r>
            </w:hyperlink>
            <w:r>
              <w:t xml:space="preserve">)</w:t>
            </w:r>
          </w:p>
        </w:tc>
        <w:tc>
          <w:tcPr>
            <w:tcW w:type="dxa" w:w="1500"/>
          </w:tcPr>
          <w:p>
            <w:r>
              <w:t xml:space="preserve">effective 2025-10-01 to 2026-09-30; accessed 2026-09-09</w:t>
            </w:r>
          </w:p>
        </w:tc>
        <w:tc>
          <w:tcPr>
            <w:tcW w:type="dxa" w:w="1500"/>
          </w:tcPr>
          <w:p>
            <w:r>
              <w:t xml:space="preserve">S8 rate-unchanged claim: HIGH (GSA primary); $110/$68 split: MEDIUM (aggregator republication)</w:t>
            </w:r>
          </w:p>
        </w:tc>
      </w:tr>
    </w:tbl>
    <w:p/>
    <w:p>
      <w:pPr>
        <w:pStyle w:val="Heading2"/>
        <w:spacing w:after="120" w:before="240"/>
      </w:pPr>
      <w:r>
        <w:t xml:space="preserve">Appendix F — "How To…" Math Questions To Research</w:t>
      </w:r>
    </w:p>
    <w:p>
      <w:r>
        <w:rPr>
          <w:b/>
          <w:bCs/>
        </w:rPr>
        <w:t xml:space="preserve">Vocabulary terms</w:t>
      </w:r>
    </w:p>
    <w:p>
      <w:pPr>
        <w:ind w:left="360"/>
      </w:pPr>
      <w:r>
        <w:t xml:space="preserve">- Population</w:t>
      </w:r>
    </w:p>
    <w:p>
      <w:pPr>
        <w:ind w:left="360"/>
      </w:pPr>
      <w:r>
        <w:t xml:space="preserve">- Sample</w:t>
      </w:r>
    </w:p>
    <w:p>
      <w:pPr>
        <w:ind w:left="360"/>
      </w:pPr>
      <w:r>
        <w:t xml:space="preserve">- Sample Size</w:t>
      </w:r>
    </w:p>
    <w:p>
      <w:pPr>
        <w:ind w:left="360"/>
      </w:pPr>
      <w:r>
        <w:t xml:space="preserve">- Random</w:t>
      </w:r>
    </w:p>
    <w:p>
      <w:pPr>
        <w:ind w:left="360"/>
      </w:pPr>
      <w:r>
        <w:t xml:space="preserve">- Simple Random Sampling</w:t>
      </w:r>
    </w:p>
    <w:p>
      <w:pPr>
        <w:ind w:left="360"/>
      </w:pPr>
      <w:r>
        <w:t xml:space="preserve">- Systematic Sampling</w:t>
      </w:r>
    </w:p>
    <w:p>
      <w:pPr>
        <w:ind w:left="360"/>
      </w:pPr>
      <w:r>
        <w:t xml:space="preserve">- Cluster Sampling</w:t>
      </w:r>
    </w:p>
    <w:p>
      <w:pPr>
        <w:ind w:left="360"/>
      </w:pPr>
      <w:r>
        <w:t xml:space="preserve">- Multistage Sampling</w:t>
      </w:r>
    </w:p>
    <w:p>
      <w:pPr>
        <w:ind w:left="360"/>
      </w:pPr>
      <w:r>
        <w:t xml:space="preserve">- Convenience Sampling</w:t>
      </w:r>
    </w:p>
    <w:p>
      <w:pPr>
        <w:ind w:left="360"/>
      </w:pPr>
      <w:r>
        <w:t xml:space="preserve">- Probability</w:t>
      </w:r>
    </w:p>
    <w:p>
      <w:pPr>
        <w:ind w:left="360"/>
      </w:pPr>
      <w:r>
        <w:t xml:space="preserve">- Bar Graph</w:t>
      </w:r>
    </w:p>
    <w:p>
      <w:pPr>
        <w:ind w:left="360"/>
      </w:pPr>
      <w:r>
        <w:t xml:space="preserve">- Pie Chart</w:t>
      </w:r>
    </w:p>
    <w:p>
      <w:pPr>
        <w:ind w:left="360"/>
      </w:pPr>
      <w:r>
        <w:t xml:space="preserve">- Addition</w:t>
      </w:r>
    </w:p>
    <w:p>
      <w:pPr>
        <w:ind w:left="360"/>
      </w:pPr>
      <w:r>
        <w:t xml:space="preserve">- Multiplication</w:t>
      </w:r>
    </w:p>
    <w:p>
      <w:pPr>
        <w:ind w:left="360"/>
      </w:pPr>
      <w:r>
        <w:t xml:space="preserve">- Percent</w:t>
      </w:r>
    </w:p>
    <w:p>
      <w:pPr>
        <w:ind w:left="360"/>
      </w:pPr>
      <w:r>
        <w:t xml:space="preserve">- Proportion</w:t>
      </w:r>
    </w:p>
    <w:p>
      <w:pPr>
        <w:ind w:left="360"/>
      </w:pPr>
      <w:r>
        <w:t xml:space="preserve">- Rounding</w:t>
      </w:r>
    </w:p>
    <w:p>
      <w:r>
        <w:rPr>
          <w:b/>
          <w:bCs/>
        </w:rPr>
        <w:t xml:space="preserve">"How to…" questions</w:t>
      </w:r>
    </w:p>
    <w:p>
      <w:pPr>
        <w:ind w:left="360"/>
      </w:pPr>
      <w:r>
        <w:t xml:space="preserve">- How to find the percent of a number</w:t>
      </w:r>
    </w:p>
    <w:p>
      <w:pPr>
        <w:ind w:left="360"/>
      </w:pPr>
      <w:r>
        <w:t xml:space="preserve">- How to convert numbers to percents</w:t>
      </w:r>
    </w:p>
    <w:p>
      <w:pPr>
        <w:ind w:left="360"/>
      </w:pPr>
      <w:r>
        <w:t xml:space="preserve">- How to find a missing amount in a proportion</w:t>
      </w:r>
    </w:p>
    <w:p>
      <w:pPr>
        <w:ind w:left="360"/>
      </w:pPr>
      <w:r>
        <w:t xml:space="preserve">- How to round a number to a specified place value</w:t>
      </w:r>
    </w:p>
    <w:p>
      <w:pPr>
        <w:ind w:left="360"/>
      </w:pPr>
      <w:r>
        <w:t xml:space="preserve">- How to determine the probability of a single event</w:t>
      </w:r>
    </w:p>
    <w:p>
      <w:pPr>
        <w:ind w:left="360"/>
      </w:pPr>
      <w:r>
        <w:t xml:space="preserve">- How to add multi-digit numbers</w:t>
      </w:r>
    </w:p>
    <w:p>
      <w:pPr>
        <w:ind w:left="360"/>
      </w:pPr>
      <w:r>
        <w:t xml:space="preserve">- How to multiply any two numbers</w:t>
      </w:r>
    </w:p>
    <w:p>
      <w:pPr>
        <w:ind w:left="360"/>
      </w:pPr>
      <w:r>
        <w:t xml:space="preserve">- How to create a pie chart given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s6d395pg8xh-ndolyotw" Type="http://schemas.openxmlformats.org/officeDocument/2006/relationships/hyperlink" Target="https://verifiedvoting.org/auditlaw/colorado/" TargetMode="External"/><Relationship Id="rId14wqra0x74szu4q1xrtsu" Type="http://schemas.openxmlformats.org/officeDocument/2006/relationships/hyperlink" Target="https://law.justia.com/codes/colorado/title-1/general-primary-recall-and-congressional-vacancy-elections/article-7/part-5/section-1-7-515/" TargetMode="External"/><Relationship Id="rIdjtnvkeruiiupxek8zwy2w" Type="http://schemas.openxmlformats.org/officeDocument/2006/relationships/hyperlink" Target="https://www.sos.state.co.us/pubs/newsRoom/pressReleases/2026/PR20260713RLA.html" TargetMode="External"/><Relationship Id="rIdgea8abczg33wpymhfsvdx" Type="http://schemas.openxmlformats.org/officeDocument/2006/relationships/hyperlink" Target="https://www.sos.state.co.us/pubs/newsRoom/pressReleases/2026/PR20260713RLA.html" TargetMode="External"/><Relationship Id="rIdsox8-6qegikveykumjqhg" Type="http://schemas.openxmlformats.org/officeDocument/2006/relationships/hyperlink" Target="https://www.cu.edu/blog/psc-communicator/mid-year-increase-mileage-reimbursement-rates-2026" TargetMode="External"/><Relationship Id="rId81klufr9_jqfy_7hcencz" Type="http://schemas.openxmlformats.org/officeDocument/2006/relationships/hyperlink" Target="https://www.gsa.gov/about-gsa/newsroom/news-releases/gsa-releases-fy-2026-conus-per-diem-rates-for-federal-travelers-08152025" TargetMode="External"/><Relationship Id="rIdnazs7xrwigdr897tgpwl6" Type="http://schemas.openxmlformats.org/officeDocument/2006/relationships/hyperlink" Target="https://perdiemworld.com/us/standard-conu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2026-09-10T12:33:35.304Z</dcterms:created>
  <dcterms:modified xsi:type="dcterms:W3CDTF">2026-09-10T12:33:35.308Z</dcterms:modified>
</cp:coreProperties>
</file>

<file path=docProps/custom.xml><?xml version="1.0" encoding="utf-8"?>
<Properties xmlns="http://schemas.openxmlformats.org/officeDocument/2006/custom-properties" xmlns:vt="http://schemas.openxmlformats.org/officeDocument/2006/docPropsVTypes"/>
</file>