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Fizzer Order</w:t>
      </w:r>
    </w:p>
    <w:p>
      <w:pPr>
        <w:spacing w:after="240"/>
        <w:jc w:val="center"/>
      </w:pPr>
      <w:r>
        <w:rPr>
          <w:i/>
          <w:iCs/>
          <w:sz w:val="22"/>
          <w:szCs w:val="22"/>
        </w:rPr>
        <w:t xml:space="preserve">MS | Math | Case Study | 2026-27 | Heroes Academy</w:t>
      </w:r>
    </w:p>
    <w:p>
      <w:pPr>
        <w:pStyle w:val="Heading2"/>
        <w:spacing w:after="120" w:before="240"/>
      </w:pPr>
      <w:r>
        <w:t xml:space="preserve">Overview</w:t>
      </w:r>
    </w:p>
    <w:p>
      <w:r>
        <w:t xml:space="preserve">Odalys Reyes has the mold shop (the outside vendor that will cut the tooling) on hold and a sample box in each hand.</w:t>
      </w:r>
    </w:p>
    <w:p>
      <w:r>
        <w:t xml:space="preserve">Six weeks ago, Thistle &amp; Fern Bath Co. got the email every small bath-and-body brand hopes for: a national retailer wants the company's mini fizzer bath bombs as a holiday gift-set add-on, and the buyer needs a packaging decision locked before the mold shop can start cutting. Odalys has spent the last two days at her bench with a scale, a ruler, and two hand-built prototypes — one a small paper pyramid tied shut at the peak, the other a small paper cone tied shut the same way — each one holding a handful of the little round fizzers that gave the product its name.</w:t>
      </w:r>
    </w:p>
    <w:p>
      <w:r>
        <w:t xml:space="preserve">She sets both prototypes down next to the stack of spec sheets (reference pages listing a product's exact measurements and materials, the kind of document Appendices B and C in this case actually are) she's built over the past two days and picks the pyramid back up, turning it over so the peak catches the light. Behind her, the production calendar on the wall has a red circle around a single date: the day the mold shop's quote locks in and the tooling gets cut. Whichever shape she signs off on today is the shape Thistle &amp; Fern ships for the whole holiday run.</w:t>
      </w:r>
    </w:p>
    <w:p>
      <w:r>
        <w:t xml:space="preserve">Her phone, still on hold, crackles.</w:t>
      </w:r>
    </w:p>
    <w:p>
      <w:r>
        <w:t xml:space="preserve">Odalys sets the pyramid down next to the cone and reaches for the phone.</w:t>
      </w:r>
    </w:p>
    <w:p>
      <w:pPr>
        <w:pStyle w:val="Heading2"/>
        <w:spacing w:after="120" w:before="240"/>
      </w:pPr>
      <w:r>
        <w:t xml:space="preserve">Background</w:t>
      </w:r>
    </w:p>
    <w:p>
      <w:r>
        <w:t xml:space="preserve">Odalys Reyes is the packaging engineer at Thistle &amp; Fern Bath Co., a small bath-and-body brand that makes and sells its own bath bombs, soaps, and lotions. She came to packaging engineering out of studio pottery, and it still shows — she'll press her thumb into a box seam before she ever looks at its spec sheet, and a shelf behind her desk holds every failed prototype box she's ever built, kept as a record of exactly how each one broke rather than thrown out. She has a low tolerance for a marketing claim that doesn't survive a materials audit; ask her what "eco-friendly" means on a box and she'll ask you back which kilogram of it is supposed to be eco. She is responsible for every container the company's products ship in, and she is the one who has to sign off before the company commits real money to a custom mold or die.</w:t>
      </w:r>
    </w:p>
    <w:p>
      <w:r>
        <w:t xml:space="preserve">The product driving this decision is the company's </w:t>
      </w:r>
      <w:r>
        <w:rPr>
          <w:b/>
          <w:bCs/>
        </w:rPr>
        <w:t xml:space="preserve">Mini Fizzer</w:t>
      </w:r>
      <w:r>
        <w:t xml:space="preserve"> — a small, round bath bomb about the size of a quarter (SEE APPENDIX B for its real, sourced diameter) — which Thistle &amp; Fern sells in small gift boxes as an impulse add-on (a small, cheap item placed to catch a shopper who wasn't planning to buy it, like the candy rack by a checkout line). A national retail buyer wants to carry the Mini Fizzer as a holiday gift-set item, and has asked Odalys to lock in a single container shape before the company's mold shop (the outside vendor that builds the physical steel mold used to die-cut and score every box or bag from a flat sheet of material) can start cutting tooling for the season. Odalys's team sketched several container shapes on the whiteboard before narrowing the field to the two she actually built prototypes of (SEE APPENDIX A for the full whiteboard log of shapes considered and why the others were ruled out).</w:t>
      </w:r>
    </w:p>
    <w:p>
      <w:r>
        <w:rPr>
          <w:b/>
          <w:bCs/>
        </w:rPr>
        <w:t xml:space="preserve">Option A — The Peak Box</w:t>
      </w:r>
      <w:r>
        <w:t xml:space="preserve"> is a small square pyramid, cut and scored (pressed with a crease line so it folds cleanly along that edge, rather than cracking) from a single flat sheet of cardstock (a heavier, stiffer paper stock than ordinary printer paper — SEE APPENDIX D for its real, sourced price) and tied shut at the peak with a short length of ribbon, the same way a party favor box is finished. </w:t>
      </w:r>
      <w:r>
        <w:rPr>
          <w:b/>
          <w:bCs/>
        </w:rPr>
        <w:t xml:space="preserve">Option B — The Twist Cone</w:t>
      </w:r>
      <w:r>
        <w:t xml:space="preserve"> is a small cone, cut and scored from the same cardstock stock, rolled into shape, and twisted shut at the point the same way a candy cone is finished. Both options are cut from identical material at an identical price per square inch (SEE APPENDIX D) — so the only thing that can make one option cost more or less material per box is the geometry of the shape itself.</w:t>
      </w:r>
    </w:p>
    <w:p>
      <w:r>
        <w:t xml:space="preserve">Both shapes are loose-filled with Mini Fizzers by hand on the packing line — nobody arranges the little spheres one at a time, they're poured in and the box is closed — so neither box's full interior volume actually fills with product; some fraction of that volume is always air between the spheres (SEE APPENDIX C for the real, sourced figure this case uses for that fraction).</w:t>
      </w:r>
    </w:p>
    <w:p>
      <w:r>
        <w:t xml:space="preserve">Odalys's mold shop can only cut tooling for one shape before the season, and there is no time to change course once the order is placed (SEE APPENDIX E). The buyer has not specified case-pack counts for the shipping cartons yet, but Odalys knows from experience that a shape that wastes space inside a standard shipping carton (SEE APPENDIX F) costs the company in freight even when it wins on the price of the box itself — so she has pulled that number too, even though it isn't the number the buyer's contract is actually priced on. All figures in this case are sourced in Appendix G, or stated as an explicit modeling assumption in Appendix E where no public figure exists for a decision this specific to one company. The vocabulary and the "how to…" skills this case will ask of you are listed in Appendix H — that is where Challenge 1 sends you.</w:t>
      </w:r>
    </w:p>
    <w:p>
      <w:pPr>
        <w:pStyle w:val="Heading3"/>
        <w:spacing w:after="120" w:before="240"/>
      </w:pPr>
      <w:r>
        <w:t xml:space="preserve">Why the math matters here</w:t>
      </w:r>
    </w:p>
    <w:p>
      <w:r>
        <w:t xml:space="preserve">Two different questions are hiding inside D1–D5, and it helps to keep them separate before you start computing. </w:t>
      </w:r>
      <w:r>
        <w:rPr>
          <w:b/>
          <w:bCs/>
        </w:rPr>
        <w:t xml:space="preserve">Surface area</w:t>
      </w:r>
      <w:r>
        <w:t xml:space="preserve"> (D1) is a </w:t>
      </w:r>
      <w:r>
        <w:rPr>
          <w:i/>
          <w:iCs/>
        </w:rPr>
        <w:t xml:space="preserve">cost</w:t>
      </w:r>
      <w:r>
        <w:t xml:space="preserve"> question: cardstock is priced by the square inch (Appendix D), so every square inch a shape's flat cut pattern — its </w:t>
      </w:r>
      <w:r>
        <w:rPr>
          <w:b/>
          <w:bCs/>
        </w:rPr>
        <w:t xml:space="preserve">net</w:t>
      </w:r>
      <w:r>
        <w:t xml:space="preserve">, the 2-D pattern that folds or rolls up into the 3-D box — actually uses turns directly into money spent per box. </w:t>
      </w:r>
      <w:r>
        <w:rPr>
          <w:b/>
          <w:bCs/>
        </w:rPr>
        <w:t xml:space="preserve">Volume</w:t>
      </w:r>
      <w:r>
        <w:t xml:space="preserve"> (D2) is a </w:t>
      </w:r>
      <w:r>
        <w:rPr>
          <w:i/>
          <w:iCs/>
        </w:rPr>
        <w:t xml:space="preserve">fit</w:t>
      </w:r>
      <w:r>
        <w:t xml:space="preserve"> question: how much three-dimensional space is inside the finished container once it's folded or rolled shut. Neither question alone answers what the buyer cares about. A shape can have a small net (cheap) but a cramped interior that only fits a few Mini Fizzers, or a larger net (pricier) that fits several more — which is exactly why D3 applies the real loose-fill packing figure to that interior volume and rounds </w:t>
      </w:r>
      <w:r>
        <w:rPr>
          <w:i/>
          <w:iCs/>
        </w:rPr>
        <w:t xml:space="preserve">down</w:t>
      </w:r>
      <w:r>
        <w:t xml:space="preserve"> to a whole Mini Fizzer count (you can't ship a fraction of a bath bomb), and D4 only becomes answerable once both a cost (from D1) and a usable count (from D3) exist side by side.</w:t>
      </w:r>
    </w:p>
    <w:p>
      <w:pPr>
        <w:pStyle w:val="Heading2"/>
        <w:spacing w:after="120" w:before="240"/>
      </w:pPr>
      <w:r>
        <w:t xml:space="preserve">Dilemma</w:t>
      </w:r>
    </w:p>
    <w:p>
      <w:r>
        <w:t xml:space="preserve">You are Odalys Reyes. Do you: A.) Approve The Peak Box — a square-pyramid cardstock box, tied shut at the peak OR B.) Approve The Twist Cone — a cardstock cone, twisted shut at the point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dimensioned diagram (net) of each container option, drawn to scale with every face and     dimension labeled, plus a surface-area comparison table: the total square inches of cardstock     each option's net actually uses, showing your arithmetic.     D2. A capacity table: the interior volume, in cubic inches, of the Peak Box and of the Twist     Cone, using each shape's own volume formula and the dimensions in Appendix C.     D3. A usable-capacity table: the volume of a single Mini Fizzer sphere (Appendix B), the real     packing figure from Appendix C applied to each box's interior volume from D2, and the whole     number of Mini Fizzers each shape can actually, physically hold.     D4. A material-cost-per-Mini-Fizzer-delivered comparison: combine D1's material cost with D3's     usable Mini Fizzer count for each option, expressed as dollars per Mini Fizzer actually     shipped. State which option wins on that number and by how much.     D5. A shipping-carton footprint estimate (a box's "footprint" is the floor area its base     actually touches, the same way a person's footprint is the shape their foot presses into     the ground): using Appendix F's real shipping carton, compute how     many Peak Boxes and how many Twist Cones fit in a single layer of that carton in a simple     grid arrangement, and what percent of that layer's floor area each shape's footprint actually     covers.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Whiteboard Log: Shapes Considered</w:t>
      </w:r>
    </w:p>
    <w:p>
      <w:r>
        <w:t xml:space="preserve">Odalys's team sketched several shapes before narrowing the field to Options A and B. A cylinder (too tall to sit flat on a retail shelf endcap at the size needed), a rectangular prism (too much dead corner space around round spheres), and a full sphere-shaped box (a mold shop quote came back more than four times the cost of either finalist, because a curved die is far more expensive to cut than a straight-line or cone die) were all ruled out at the whiteboard stage. Only the pyramid and the cone survived as real, buildable candidates at a defensible cost.</w:t>
      </w:r>
    </w:p>
    <w:p>
      <w:pPr>
        <w:pStyle w:val="Heading2"/>
        <w:spacing w:after="120" w:before="240"/>
      </w:pPr>
      <w:r>
        <w:t xml:space="preserve">Appendix B — The Mini Fizzer: Product Spec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Shape</w:t>
            </w:r>
          </w:p>
        </w:tc>
        <w:tc>
          <w:tcPr>
            <w:tcW w:type="dxa" w:w="4500"/>
          </w:tcPr>
          <w:p>
            <w:r>
              <w:t xml:space="preserve">Sphere</w:t>
            </w:r>
          </w:p>
        </w:tc>
      </w:tr>
      <w:tr>
        <w:tc>
          <w:tcPr>
            <w:tcW w:type="dxa" w:w="4500"/>
          </w:tcPr>
          <w:p>
            <w:r>
              <w:t xml:space="preserve">Diameter</w:t>
            </w:r>
          </w:p>
        </w:tc>
        <w:tc>
          <w:tcPr>
            <w:tcW w:type="dxa" w:w="4500"/>
          </w:tcPr>
          <w:p>
            <w:r>
              <w:t xml:space="preserve">1.00 in [S2]</w:t>
            </w:r>
          </w:p>
        </w:tc>
      </w:tr>
      <w:tr>
        <w:tc>
          <w:tcPr>
            <w:tcW w:type="dxa" w:w="4500"/>
          </w:tcPr>
          <w:p>
            <w:r>
              <w:t xml:space="preserve">Radius</w:t>
            </w:r>
          </w:p>
        </w:tc>
        <w:tc>
          <w:tcPr>
            <w:tcW w:type="dxa" w:w="4500"/>
          </w:tcPr>
          <w:p>
            <w:r>
              <w:t xml:space="preserve">0.50 in (derived: diameter ÷ 2)</w:t>
            </w:r>
          </w:p>
        </w:tc>
      </w:tr>
    </w:tbl>
    <w:p/>
    <w:p>
      <w:pPr>
        <w:pStyle w:val="Heading2"/>
        <w:spacing w:after="120" w:before="240"/>
      </w:pPr>
      <w:r>
        <w:t xml:space="preserve">Appendix C — Box Options: Engineering Spec Sheet</w:t>
      </w:r>
    </w:p>
    <w:p>
      <w:r>
        <w:t xml:space="preserve">Both options were sized by Odalys's own team to comfortably hold multiple Mini Fizzers with room for the loose-fill packing described in Background — these are Thistle &amp; Fern's own chosen container dimensions, not a published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Option A — The Peak Box</w:t>
            </w:r>
          </w:p>
        </w:tc>
        <w:tc>
          <w:tcPr>
            <w:tcW w:type="dxa" w:w="3000"/>
            <w:shd w:fill="DDDDDD" w:val="clear"/>
          </w:tcPr>
          <w:p>
            <w:r>
              <w:t xml:space="preserve">Option B — The Twist Cone</w:t>
            </w:r>
          </w:p>
        </w:tc>
      </w:tr>
      <w:tr>
        <w:tc>
          <w:tcPr>
            <w:tcW w:type="dxa" w:w="3000"/>
          </w:tcPr>
          <w:p>
            <w:r>
              <w:t xml:space="preserve">Shape</w:t>
            </w:r>
          </w:p>
        </w:tc>
        <w:tc>
          <w:tcPr>
            <w:tcW w:type="dxa" w:w="3000"/>
          </w:tcPr>
          <w:p>
            <w:r>
              <w:t xml:space="preserve">Square pyramid</w:t>
            </w:r>
          </w:p>
        </w:tc>
        <w:tc>
          <w:tcPr>
            <w:tcW w:type="dxa" w:w="3000"/>
          </w:tcPr>
          <w:p>
            <w:r>
              <w:t xml:space="preserve">Right circular cone</w:t>
            </w:r>
          </w:p>
        </w:tc>
      </w:tr>
      <w:tr>
        <w:tc>
          <w:tcPr>
            <w:tcW w:type="dxa" w:w="3000"/>
          </w:tcPr>
          <w:p>
            <w:r>
              <w:t xml:space="preserve">Base</w:t>
            </w:r>
          </w:p>
        </w:tc>
        <w:tc>
          <w:tcPr>
            <w:tcW w:type="dxa" w:w="3000"/>
          </w:tcPr>
          <w:p>
            <w:r>
              <w:t xml:space="preserve">Square, 2.60 in per side</w:t>
            </w:r>
          </w:p>
        </w:tc>
        <w:tc>
          <w:tcPr>
            <w:tcW w:type="dxa" w:w="3000"/>
          </w:tcPr>
          <w:p>
            <w:r>
              <w:t xml:space="preserve">Circular, 1.60 in radius (3.20 in diameter)</w:t>
            </w:r>
          </w:p>
        </w:tc>
      </w:tr>
      <w:tr>
        <w:tc>
          <w:tcPr>
            <w:tcW w:type="dxa" w:w="3000"/>
          </w:tcPr>
          <w:p>
            <w:r>
              <w:t xml:space="preserve">Height</w:t>
            </w:r>
          </w:p>
        </w:tc>
        <w:tc>
          <w:tcPr>
            <w:tcW w:type="dxa" w:w="3000"/>
          </w:tcPr>
          <w:p>
            <w:r>
              <w:t xml:space="preserve">3.50 in</w:t>
            </w:r>
          </w:p>
        </w:tc>
        <w:tc>
          <w:tcPr>
            <w:tcW w:type="dxa" w:w="3000"/>
          </w:tcPr>
          <w:p>
            <w:r>
              <w:t xml:space="preserve">3.30 in</w:t>
            </w:r>
          </w:p>
        </w:tc>
      </w:tr>
    </w:tbl>
    <w:p/>
    <w:p>
      <w:r>
        <w:rPr>
          <w:b/>
          <w:bCs/>
        </w:rPr>
        <w:t xml:space="preserve">Loose-fill packing figure:</w:t>
      </w:r>
      <w:r>
        <w:t xml:space="preserve"> when identical spheres are poured into a container and the container is shaken or settled (not hand-arranged one at a time), experiments and computer simulations consistently find the spheres fill about </w:t>
      </w:r>
      <w:r>
        <w:rPr>
          <w:b/>
          <w:bCs/>
        </w:rPr>
        <w:t xml:space="preserve">64% of the container's volume</w:t>
      </w:r>
      <w:r>
        <w:t xml:space="preserve"> — the rest stays empty space between the spheres. This case applies that figure to both options (SEE APPENDIX C, Modeling Assumptions below, for why applying one figure to both shapes is itself a modeling choice) [S3].</w:t>
      </w:r>
    </w:p>
    <w:p>
      <w:pPr>
        <w:pStyle w:val="Heading2"/>
        <w:spacing w:after="120" w:before="240"/>
      </w:pPr>
      <w:r>
        <w:t xml:space="preserve">Appendix D — Material Cost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Material</w:t>
            </w:r>
          </w:p>
        </w:tc>
        <w:tc>
          <w:tcPr>
            <w:tcW w:type="dxa" w:w="4500"/>
          </w:tcPr>
          <w:p>
            <w:r>
              <w:t xml:space="preserve">110 lb. index cardstock, white [S1]</w:t>
            </w:r>
          </w:p>
        </w:tc>
      </w:tr>
      <w:tr>
        <w:tc>
          <w:tcPr>
            <w:tcW w:type="dxa" w:w="4500"/>
          </w:tcPr>
          <w:p>
            <w:r>
              <w:t xml:space="preserve">Sheet size priced</w:t>
            </w:r>
          </w:p>
        </w:tc>
        <w:tc>
          <w:tcPr>
            <w:tcW w:type="dxa" w:w="4500"/>
          </w:tcPr>
          <w:p>
            <w:r>
              <w:t xml:space="preserve">8.5 in × 11 in (93.5 sq in) [S1]</w:t>
            </w:r>
          </w:p>
        </w:tc>
      </w:tr>
      <w:tr>
        <w:tc>
          <w:tcPr>
            <w:tcW w:type="dxa" w:w="4500"/>
          </w:tcPr>
          <w:p>
            <w:r>
              <w:t xml:space="preserve">Price per 250-sheet pack</w:t>
            </w:r>
          </w:p>
        </w:tc>
        <w:tc>
          <w:tcPr>
            <w:tcW w:type="dxa" w:w="4500"/>
          </w:tcPr>
          <w:p>
            <w:r>
              <w:t xml:space="preserve">$20.99 [S1]</w:t>
            </w:r>
          </w:p>
        </w:tc>
      </w:tr>
      <w:tr>
        <w:tc>
          <w:tcPr>
            <w:tcW w:type="dxa" w:w="4500"/>
          </w:tcPr>
          <w:p>
            <w:r>
              <w:t xml:space="preserve">Price per individual sheet</w:t>
            </w:r>
          </w:p>
        </w:tc>
        <w:tc>
          <w:tcPr>
            <w:tcW w:type="dxa" w:w="4500"/>
          </w:tcPr>
          <w:p>
            <w:r>
              <w:t xml:space="preserve">$0.08396 (derived: $20.99 ÷ 250)</w:t>
            </w:r>
          </w:p>
        </w:tc>
      </w:tr>
      <w:tr>
        <w:tc>
          <w:tcPr>
            <w:tcW w:type="dxa" w:w="4500"/>
          </w:tcPr>
          <w:p>
            <w:r>
              <w:t xml:space="preserve">Price per square inch</w:t>
            </w:r>
          </w:p>
        </w:tc>
        <w:tc>
          <w:tcPr>
            <w:tcW w:type="dxa" w:w="4500"/>
          </w:tcPr>
          <w:p>
            <w:r>
              <w:t xml:space="preserve">$0.00089797 (derived: $0.08396 ÷ 93.5 sq in)</w:t>
            </w:r>
          </w:p>
        </w:tc>
      </w:tr>
    </w:tbl>
    <w:p/>
    <w:p>
      <w:r>
        <w:t xml:space="preserve">This is the same raw material both options are cut from. The shape of each die changes how much of the sheet ends up as box versus scrap, but not the price of the sheet itself. The "110 lb." figure is the cardstock's paper weight rating — a heavier number means a thicker, stiffer sheet, though the rating isn't perfectly comparable across every category of paper.</w:t>
      </w:r>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to a single public price, because a mold-shop quote and a retailer's own tooling-lockout policy for one specific company's one specific box are not published figures anywhere. They are stated scenario assumptions chosen by the case author, each with a real basis named below. A Hero may challenge them in discussion — that is a legitimate move, and Appendix H names the skills a Hero would need to test one.</w:t>
      </w:r>
    </w:p>
    <w:p>
      <w:r>
        <w:t xml:space="preserve">In the Sensitivity column below, "the margin" means how far apart Option A's and Option B's final D4 scores end up, as a percent. "The margin is sensitive to this value" means: change this one assumption and that percent gap changes noticeably, possibly enough to flip who wins.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Whether the real 64% random loose-packing figure (Appendix C) applies equally well to a tapering shape (the Twist Cone) as it does to a boxier shape (the Peak Box)</w:t>
            </w:r>
          </w:p>
        </w:tc>
        <w:tc>
          <w:tcPr>
            <w:tcW w:type="dxa" w:w="1800"/>
          </w:tcPr>
          <w:p>
            <w:r>
              <w:rPr>
                <w:b/>
                <w:bCs/>
              </w:rPr>
              <w:t xml:space="preserve">Applied identically to both options</w:t>
            </w:r>
          </w:p>
        </w:tc>
        <w:tc>
          <w:tcPr>
            <w:tcW w:type="dxa" w:w="1800"/>
          </w:tcPr>
          <w:p>
            <w:r>
              <w:t xml:space="preserve">The 64% figure ([S3]) was measured for spheres settling inside a container with no strong taper; no published figure exists specifically for a narrow cone. This case applies the same published figure to both shapes as a simplifying assumption rather than inventing a lower, unsourced figure for the taper. A real production run would likely see a somewhat lower usable fraction in a cone than in a box, because spheres pack less efficiently near a narrowing point.</w:t>
            </w:r>
          </w:p>
        </w:tc>
        <w:tc>
          <w:tcPr>
            <w:tcW w:type="dxa" w:w="1800"/>
          </w:tcPr>
          <w:p>
            <w:r>
              <w:t xml:space="preserve">The margin is sensitive to this value — see D4. If the Twist Cone's real packing fraction runs meaningfully lower than the Peak Box's, D4's result could flip.</w:t>
            </w:r>
          </w:p>
        </w:tc>
      </w:tr>
      <w:tr>
        <w:tc>
          <w:tcPr>
            <w:tcW w:type="dxa" w:w="1800"/>
          </w:tcPr>
          <w:p>
            <w:r>
              <w:t xml:space="preserve">MA2</w:t>
            </w:r>
          </w:p>
        </w:tc>
        <w:tc>
          <w:tcPr>
            <w:tcW w:type="dxa" w:w="1800"/>
          </w:tcPr>
          <w:p>
            <w:r>
              <w:t xml:space="preserve">Mold-shop tooling lockout: whether Odalys's mold shop can realistically cut tooling for a second shape later in the same season if the first choice underperforms</w:t>
            </w:r>
          </w:p>
        </w:tc>
        <w:tc>
          <w:tcPr>
            <w:tcW w:type="dxa" w:w="1800"/>
          </w:tcPr>
          <w:p>
            <w:r>
              <w:rPr>
                <w:b/>
                <w:bCs/>
              </w:rPr>
              <w:t xml:space="preserve">No — one shape, one season, no mid-season change</w:t>
            </w:r>
          </w:p>
        </w:tc>
        <w:tc>
          <w:tcPr>
            <w:tcW w:type="dxa" w:w="1800"/>
          </w:tcPr>
          <w:p>
            <w:r>
              <w:t xml:space="preserve">Tied directly to Background: the mold shop needs lead time measured in weeks against a holiday production window measured in a handful of months, and a national retail buyer's holiday reset date does not move. This is a business constraint stated directly by the scenario, not a public fact.</w:t>
            </w:r>
          </w:p>
        </w:tc>
        <w:tc>
          <w:tcPr>
            <w:tcW w:type="dxa" w:w="1800"/>
          </w:tcPr>
          <w:p>
            <w:r>
              <w:t xml:space="preserve">Does not affect the D4 margin directly — it is the reason the decision matters at all (SEE Background).</w:t>
            </w:r>
          </w:p>
        </w:tc>
      </w:tr>
    </w:tbl>
    <w:p/>
    <w:p>
      <w:pPr>
        <w:pStyle w:val="Heading2"/>
        <w:spacing w:after="120" w:before="240"/>
      </w:pPr>
      <w:r>
        <w:t xml:space="preserve">Appendix F — Shipping Carton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Carton</w:t>
            </w:r>
          </w:p>
        </w:tc>
        <w:tc>
          <w:tcPr>
            <w:tcW w:type="dxa" w:w="4500"/>
          </w:tcPr>
          <w:p>
            <w:r>
              <w:t xml:space="preserve">12 in × 12 in × 12 in corrugated shipping carton [S4]</w:t>
            </w:r>
          </w:p>
        </w:tc>
      </w:tr>
      <w:tr>
        <w:tc>
          <w:tcPr>
            <w:tcW w:type="dxa" w:w="4500"/>
          </w:tcPr>
          <w:p>
            <w:r>
              <w:t xml:space="preserve">Interior floor dimensions (one layer)</w:t>
            </w:r>
          </w:p>
        </w:tc>
        <w:tc>
          <w:tcPr>
            <w:tcW w:type="dxa" w:w="4500"/>
          </w:tcPr>
          <w:p>
            <w:r>
              <w:t xml:space="preserve">12 in × 12 in = 144 sq in [S4]</w:t>
            </w:r>
          </w:p>
        </w:tc>
      </w:tr>
      <w:tr>
        <w:tc>
          <w:tcPr>
            <w:tcW w:type="dxa" w:w="4500"/>
          </w:tcPr>
          <w:p>
            <w:r>
              <w:t xml:space="preserve">Price per carton (bundle of 25)</w:t>
            </w:r>
          </w:p>
        </w:tc>
        <w:tc>
          <w:tcPr>
            <w:tcW w:type="dxa" w:w="4500"/>
          </w:tcPr>
          <w:p>
            <w:r>
              <w:t xml:space="preserve">$1.16 [S4]</w:t>
            </w:r>
          </w:p>
        </w:tc>
      </w:tr>
    </w:tbl>
    <w:p/>
    <w:p>
      <w:r>
        <w:t xml:space="preserve">D5 asks for a simple grid arrangement: how many box footprints fit edge-to-edge along each 12 in side of the carton floor, squared. This is an estimate, not a claim that real warehouse packing uses a simple grid — real packers may nest cones point-to-base (fitting one shape partway into the gaps left by its neighbors, the way stacked paper cups tuck into each other) to do better than a flat grid, but a flat grid is the fair, identical method to apply to both shapes for comparison.</w:t>
      </w:r>
    </w:p>
    <w:p>
      <w:pPr>
        <w:pStyle w:val="Heading2"/>
        <w:spacing w:after="120" w:before="240"/>
      </w:pPr>
      <w:r>
        <w:t xml:space="preserve">Appendix G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id</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Price of one 250-sheet pack of 110 lb. index cardstock, 8.5 in × 11 in</w:t>
            </w:r>
          </w:p>
        </w:tc>
        <w:tc>
          <w:tcPr>
            <w:tcW w:type="dxa" w:w="1500"/>
          </w:tcPr>
          <w:p>
            <w:r>
              <w:t xml:space="preserve">$20.99 per 250-sheet pack</w:t>
            </w:r>
          </w:p>
        </w:tc>
        <w:tc>
          <w:tcPr>
            <w:tcW w:type="dxa" w:w="1500"/>
          </w:tcPr>
          <w:p>
            <w:r>
              <w:t xml:space="preserve">Quill.com, "Neenah Exact Index 110 lb. Cardstock Paper, 8.5" x 11", White, 250 Sheets/Pack" (WAU40411) (</w:t>
            </w:r>
            <w:hyperlink w:history="1" r:id="rIdvehlfjpzxwayim3rdk6hl">
              <w:r>
                <w:rPr>
                  <w:rStyle w:val="Hyperlink"/>
                </w:rPr>
                <w:t xml:space="preserve">link</w:t>
              </w:r>
            </w:hyperlink>
            <w:r>
              <w:t xml:space="preserve">)</w:t>
            </w:r>
          </w:p>
        </w:tc>
        <w:tc>
          <w:tcPr>
            <w:tcW w:type="dxa" w:w="1500"/>
          </w:tcPr>
          <w:p>
            <w:r>
              <w:t xml:space="preserve">2026-09-09</w:t>
            </w:r>
          </w:p>
        </w:tc>
        <w:tc>
          <w:tcPr>
            <w:tcW w:type="dxa" w:w="1500"/>
          </w:tcPr>
          <w:p>
            <w:r>
              <w:t xml:space="preserve">HIGH — a primary retailer's own current, dated-by-access, unambiguous per-pack price for a real, named cardstock product at stated dimensions and weight</w:t>
            </w:r>
          </w:p>
        </w:tc>
      </w:tr>
      <w:tr>
        <w:tc>
          <w:tcPr>
            <w:tcW w:type="dxa" w:w="1500"/>
          </w:tcPr>
          <w:p>
            <w:r>
              <w:t xml:space="preserve">S2</w:t>
            </w:r>
          </w:p>
        </w:tc>
        <w:tc>
          <w:tcPr>
            <w:tcW w:type="dxa" w:w="1500"/>
          </w:tcPr>
          <w:p>
            <w:r>
              <w:t xml:space="preserve">Diameter of a mini bath bomb made from a commercial mini bath bomb mold</w:t>
            </w:r>
          </w:p>
        </w:tc>
        <w:tc>
          <w:tcPr>
            <w:tcW w:type="dxa" w:w="1500"/>
          </w:tcPr>
          <w:p>
            <w:r>
              <w:t xml:space="preserve">1.00 in</w:t>
            </w:r>
          </w:p>
        </w:tc>
        <w:tc>
          <w:tcPr>
            <w:tcW w:type="dxa" w:w="1500"/>
          </w:tcPr>
          <w:p>
            <w:r>
              <w:t xml:space="preserve">GumballStuff.com, "Mini Bath Bomb Molds, Round, Clear, 1-inch in diameter" (SKU ECR1CLR50) (</w:t>
            </w:r>
            <w:hyperlink w:history="1" r:id="rIdaw7doueok60pq12xprbnv">
              <w:r>
                <w:rPr>
                  <w:rStyle w:val="Hyperlink"/>
                </w:rPr>
                <w:t xml:space="preserve">link</w:t>
              </w:r>
            </w:hyperlink>
            <w:r>
              <w:t xml:space="preserve">)</w:t>
            </w:r>
          </w:p>
        </w:tc>
        <w:tc>
          <w:tcPr>
            <w:tcW w:type="dxa" w:w="1500"/>
          </w:tcPr>
          <w:p>
            <w:r>
              <w:t xml:space="preserve">2026-09-09</w:t>
            </w:r>
          </w:p>
        </w:tc>
        <w:tc>
          <w:tcPr>
            <w:tcW w:type="dxa" w:w="1500"/>
          </w:tcPr>
          <w:p>
            <w:r>
              <w:t xml:space="preserve">HIGH — a primary retailer's own current product listing stating an unambiguous finished diameter for a real commercial mold</w:t>
            </w:r>
          </w:p>
        </w:tc>
      </w:tr>
      <w:tr>
        <w:tc>
          <w:tcPr>
            <w:tcW w:type="dxa" w:w="1500"/>
          </w:tcPr>
          <w:p>
            <w:r>
              <w:t xml:space="preserve">S3</w:t>
            </w:r>
          </w:p>
        </w:tc>
        <w:tc>
          <w:tcPr>
            <w:tcW w:type="dxa" w:w="1500"/>
          </w:tcPr>
          <w:p>
            <w:r>
              <w:t xml:space="preserve">Volume fraction filled when identical spheres are randomly poured/settled into a container ("random close packing")</w:t>
            </w:r>
          </w:p>
        </w:tc>
        <w:tc>
          <w:tcPr>
            <w:tcW w:type="dxa" w:w="1500"/>
          </w:tcPr>
          <w:p>
            <w:r>
              <w:t xml:space="preserve">approximately 64%</w:t>
            </w:r>
          </w:p>
        </w:tc>
        <w:tc>
          <w:tcPr>
            <w:tcW w:type="dxa" w:w="1500"/>
          </w:tcPr>
          <w:p>
            <w:r>
              <w:t xml:space="preserve">Wikipedia, "Random close pack" (</w:t>
            </w:r>
            <w:hyperlink w:history="1" r:id="rIdieq0rx1y1mm790d-cpmj7">
              <w:r>
                <w:rPr>
                  <w:rStyle w:val="Hyperlink"/>
                </w:rPr>
                <w:t xml:space="preserve">link</w:t>
              </w:r>
            </w:hyperlink>
            <w:r>
              <w:t xml:space="preserve">)</w:t>
            </w:r>
          </w:p>
        </w:tc>
        <w:tc>
          <w:tcPr>
            <w:tcW w:type="dxa" w:w="1500"/>
          </w:tcPr>
          <w:p>
            <w:r>
              <w:t xml:space="preserve">2026-09-09</w:t>
            </w:r>
          </w:p>
        </w:tc>
        <w:tc>
          <w:tcPr>
            <w:tcW w:type="dxa" w:w="1500"/>
          </w:tcPr>
          <w:p>
            <w:r>
              <w:t xml:space="preserve">MEDIUM — a well-established, widely-cited physics figure with a stated "approximately" range rather than one exact decimal; the article itself notes no single precise value is agreed on across all experiments</w:t>
            </w:r>
          </w:p>
        </w:tc>
      </w:tr>
      <w:tr>
        <w:tc>
          <w:tcPr>
            <w:tcW w:type="dxa" w:w="1500"/>
          </w:tcPr>
          <w:p>
            <w:r>
              <w:t xml:space="preserve">S4</w:t>
            </w:r>
          </w:p>
        </w:tc>
        <w:tc>
          <w:tcPr>
            <w:tcW w:type="dxa" w:w="1500"/>
          </w:tcPr>
          <w:p>
            <w:r>
              <w:t xml:space="preserve">Price and interior dimensions of a 12 in × 12 in × 12 in single-wall corrugated shipping carton, bundle of 25</w:t>
            </w:r>
          </w:p>
        </w:tc>
        <w:tc>
          <w:tcPr>
            <w:tcW w:type="dxa" w:w="1500"/>
          </w:tcPr>
          <w:p>
            <w:r>
              <w:t xml:space="preserve">$1.16 per carton; 12 x 12 x 12 in interior</w:t>
            </w:r>
          </w:p>
        </w:tc>
        <w:tc>
          <w:tcPr>
            <w:tcW w:type="dxa" w:w="1500"/>
          </w:tcPr>
          <w:p>
            <w:r>
              <w:t xml:space="preserve">Uline, product S-4125, "12 x 12 x 12" Corrugated Boxes" (</w:t>
            </w:r>
            <w:hyperlink w:history="1" r:id="rIdphc-dtugammxbuq2bwr0e">
              <w:r>
                <w:rPr>
                  <w:rStyle w:val="Hyperlink"/>
                </w:rPr>
                <w:t xml:space="preserve">link</w:t>
              </w:r>
            </w:hyperlink>
            <w:r>
              <w:t xml:space="preserve">)</w:t>
            </w:r>
          </w:p>
        </w:tc>
        <w:tc>
          <w:tcPr>
            <w:tcW w:type="dxa" w:w="1500"/>
          </w:tcPr>
          <w:p>
            <w:r>
              <w:t xml:space="preserve">2026-09-09</w:t>
            </w:r>
          </w:p>
        </w:tc>
        <w:tc>
          <w:tcPr>
            <w:tcW w:type="dxa" w:w="1500"/>
          </w:tcPr>
          <w:p>
            <w:r>
              <w:t xml:space="preserve">HIGH — a primary retailer's own current, dated-by-access, unambiguous per-unit price and dimension for a real, named corrugated box</w:t>
            </w:r>
          </w:p>
        </w:tc>
      </w:tr>
    </w:tbl>
    <w:p/>
    <w:p>
      <w:pPr>
        <w:pStyle w:val="Heading2"/>
        <w:spacing w:after="120" w:before="240"/>
      </w:pPr>
      <w:r>
        <w:t xml:space="preserve">Appendix H — "How To…" Math Questions To Research</w:t>
      </w:r>
    </w:p>
    <w:p>
      <w:r>
        <w:rPr>
          <w:b/>
          <w:bCs/>
        </w:rPr>
        <w:t xml:space="preserve">Vocabulary terms</w:t>
      </w:r>
    </w:p>
    <w:p>
      <w:pPr>
        <w:ind w:left="360"/>
      </w:pPr>
      <w:r>
        <w:t xml:space="preserve">- Pyramid</w:t>
      </w:r>
    </w:p>
    <w:p>
      <w:pPr>
        <w:ind w:left="360"/>
      </w:pPr>
      <w:r>
        <w:t xml:space="preserve">- Cone</w:t>
      </w:r>
    </w:p>
    <w:p>
      <w:pPr>
        <w:ind w:left="360"/>
      </w:pPr>
      <w:r>
        <w:t xml:space="preserve">- Sphere</w:t>
      </w:r>
    </w:p>
    <w:p>
      <w:pPr>
        <w:ind w:left="360"/>
      </w:pPr>
      <w:r>
        <w:t xml:space="preserve">- Surface Area</w:t>
      </w:r>
    </w:p>
    <w:p>
      <w:pPr>
        <w:ind w:left="360"/>
      </w:pPr>
      <w:r>
        <w:t xml:space="preserve">- Volume</w:t>
      </w:r>
    </w:p>
    <w:p>
      <w:r>
        <w:rPr>
          <w:b/>
          <w:bCs/>
        </w:rPr>
        <w:t xml:space="preserve">"How to…" questions</w:t>
      </w:r>
    </w:p>
    <w:p>
      <w:pPr>
        <w:ind w:left="360"/>
      </w:pPr>
      <w:r>
        <w:t xml:space="preserve">- How to find the surface area of a pyramid</w:t>
      </w:r>
    </w:p>
    <w:p>
      <w:pPr>
        <w:ind w:left="360"/>
      </w:pPr>
      <w:r>
        <w:t xml:space="preserve">- How to find the volume of a pyramid</w:t>
      </w:r>
    </w:p>
    <w:p>
      <w:pPr>
        <w:ind w:left="360"/>
      </w:pPr>
      <w:r>
        <w:t xml:space="preserve">- How to find the volume of a cone</w:t>
      </w:r>
    </w:p>
    <w:p>
      <w:pPr>
        <w:ind w:left="360"/>
      </w:pPr>
      <w:r>
        <w:t xml:space="preserve">- How to find the volume of a sphere</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ehlfjpzxwayim3rdk6hl" Type="http://schemas.openxmlformats.org/officeDocument/2006/relationships/hyperlink" Target="https://www.quill.com/neenah-exact-index-110-lb-cardstock-paper-85-x-11-white-250-sheets-pack-wau40411/cbs/52275455.html" TargetMode="External"/><Relationship Id="rIdaw7doueok60pq12xprbnv" Type="http://schemas.openxmlformats.org/officeDocument/2006/relationships/hyperlink" Target="https://www.gumballstuff.com/mini-bath-bomb-molds-round-clear-1-inch-in-diameter/" TargetMode="External"/><Relationship Id="rIdieq0rx1y1mm790d-cpmj7" Type="http://schemas.openxmlformats.org/officeDocument/2006/relationships/hyperlink" Target="https://en.wikipedia.org/wiki/Random_close_pack" TargetMode="External"/><Relationship Id="rIdphc-dtugammxbuq2bwr0e" Type="http://schemas.openxmlformats.org/officeDocument/2006/relationships/hyperlink" Target="https://www.uline.com/Product/Detail/S-4125/Corrugated-Boxes-200-Test/12-x-12-x-12-Corrugated-Boxe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2026-09-10T13:19:10.703Z</dcterms:created>
  <dcterms:modified xsi:type="dcterms:W3CDTF">2026-09-10T13:19:10.708Z</dcterms:modified>
</cp:coreProperties>
</file>

<file path=docProps/custom.xml><?xml version="1.0" encoding="utf-8"?>
<Properties xmlns="http://schemas.openxmlformats.org/officeDocument/2006/custom-properties" xmlns:vt="http://schemas.openxmlformats.org/officeDocument/2006/docPropsVTypes"/>
</file>