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Pier Wheel</w:t>
      </w:r>
    </w:p>
    <w:p>
      <w:pPr>
        <w:spacing w:after="240"/>
        <w:jc w:val="center"/>
      </w:pPr>
      <w:r>
        <w:rPr>
          <w:i/>
          <w:iCs/>
          <w:sz w:val="22"/>
          <w:szCs w:val="22"/>
        </w:rPr>
        <w:t xml:space="preserve">MS | Math | Case Study | 2026 | Launchpad</w:t>
      </w:r>
    </w:p>
    <w:p>
      <w:r>
        <w:rPr>
          <w:i/>
          <w:iCs/>
        </w:rPr>
        <w:t xml:space="preserve">(Band: HS. This case uses precalculus trigonometric-function vocabulary — amplitude, period, and inverse trigonometric functions — and is written for a Hero who has finished the unit circle and is ready to apply it to a real engineering procurement decision.)</w:t>
      </w:r>
    </w:p>
    <w:p>
      <w:pPr>
        <w:pStyle w:val="Heading2"/>
        <w:spacing w:after="120" w:before="240"/>
      </w:pPr>
      <w:r>
        <w:t xml:space="preserve">Overview</w:t>
      </w:r>
    </w:p>
    <w:p>
      <w:r>
        <w:t xml:space="preserve">Renata Koh has forty minutes before the capital review board wants her recommendation memo, and the two spec binders in front of her are still open to the same page: rotation time, thirty minutes, both of them, printed in identical bold type like the manufacturers copied off each other's homework. She hasn't touched her coffee. Somewhere down the hall a printer is jamming on someone else's agenda packet, and every few minutes a staffer walks past her open door a little too slowly, trying to read her face for which way she's leaning.</w:t>
      </w:r>
    </w:p>
    <w:p>
      <w:r>
        <w:t xml:space="preserve">She isn't leaning anywhere yet. Both binders sit under a single yellow legal pad on which she has drawn, twice now, the same lopsided circle with an arrow through it — a wheel, a center line, a horizon. Somewhere in that circle is the answer to a question the board has been asking for three months: which observation-wheel design does Bellwether Point build.</w:t>
      </w:r>
    </w:p>
    <w:p>
      <w:r>
        <w:t xml:space="preserve">Renata pulls the legal pad toward her, uncaps a pen, and writes a variable at the top of a blank page: </w:t>
      </w:r>
      <w:r>
        <w:rPr>
          <w:i/>
          <w:iCs/>
        </w:rPr>
        <w:t xml:space="preserve">h(t) =</w:t>
      </w:r>
      <w:r>
        <w:t xml:space="preserve">.</w:t>
      </w:r>
    </w:p>
    <w:p>
      <w:r>
        <w:t xml:space="preserve">She stops there, pen still on the paper, and looks up at the clock.</w:t>
      </w:r>
    </w:p>
    <w:p>
      <w:pPr>
        <w:pStyle w:val="Heading2"/>
        <w:spacing w:after="120" w:before="240"/>
      </w:pPr>
      <w:r>
        <w:t xml:space="preserve">Background</w:t>
      </w:r>
    </w:p>
    <w:p>
      <w:r>
        <w:t xml:space="preserve">Renata Koh is the attractions engineer for the Bellwether Point Pier Redevelopment Authority, a public agency rebuilding a storm-damaged pier into the anchor of a new waterfront district. The board has asked her to score two competing design proposals and bring a single recommendation to Thursday's vote — she does not choose the winner herself, but the board has never overridden her recommendation memo in the agency's history, so in every way that matters, this call is hers.</w:t>
      </w:r>
    </w:p>
    <w:p>
      <w:r>
        <w:t xml:space="preserve">Before she was an engineer, Renata spent six years running the ride panel at a regional amusement park — loading capsules, watching the sky for lightning, learning the difference between a wheel that feels smooth to a rider and one that merely tests smooth on paper — before going back to school for her engineering degree. She still trusts what her hands remember over what a spec sheet promises. It's a running joke among her colleagues that she has now designed the sightlines for three different sunset-view wheels and, across eleven years of working actual evening shifts, has caught the view from the top of exactly zero of them — somebody has to watch the loading gate while the tourists watch the horizon. That ground-level instinct is why she reads a spec sheet the way she does: not for which wheel sounds more impressive, but for which one actually delivers what it promises to the rider standing in the capsule, not just to the board approving the drawing.</w:t>
      </w:r>
    </w:p>
    <w:p>
      <w:r>
        <w:t xml:space="preserve">Both proposals come from real, already-built reference installations, licensed to Bellwether Point by the manufacturers who engineered them — the authority is not inventing a wheel from scratch, it is choosing which proven design family to build a version of (SEE APPENDICES A AND B). </w:t>
      </w:r>
      <w:r>
        <w:rPr>
          <w:b/>
          <w:bCs/>
        </w:rPr>
        <w:t xml:space="preserve">Option A</w:t>
      </w:r>
      <w:r>
        <w:t xml:space="preserve"> is built to the reference specifications of the Thames-side observation wheel design (SEE APPENDIX A). </w:t>
      </w:r>
      <w:r>
        <w:rPr>
          <w:b/>
          <w:bCs/>
        </w:rPr>
        <w:t xml:space="preserve">Option B</w:t>
      </w:r>
      <w:r>
        <w:t xml:space="preserve"> is built to the reference specifications of the Las Vegas Strip observation wheel design (SEE APPENDIX B). Every rider-height and rotation-timing figure in this case comes directly from each design's real, documented reference installation.</w:t>
      </w:r>
    </w:p>
    <w:p>
      <w:r>
        <w:t xml:space="preserve">The centerpiece of the pier's marketing plan is a </w:t>
      </w:r>
      <w:r>
        <w:rPr>
          <w:b/>
          <w:bCs/>
        </w:rPr>
        <w:t xml:space="preserve">sunset-view guarantee</w:t>
      </w:r>
      <w:r>
        <w:t xml:space="preserve">: every ticket sold for the evening session promises riders a continuous, unobstructed view above Bellwether Point's own waterfront skyline during golden hour, timed to the wheel's own rotation. The authority's engineering charter states the qualifying sightline height a rider must clear for that guarantee to hold (SEE APPENDIX C) — the height needed to see clean over the boardwalk roofline and the dune-top tree line beyond it, not just glimpse between buildings.</w:t>
      </w:r>
    </w:p>
    <w:p>
      <w:r>
        <w:t xml:space="preserve">Because the two designs differ enormously in scale, and because a taller, wider wheel is well-established engineering knowledge to cost far more than a proportional multiple of a smaller one — steel tonnage and foundation load both grow faster than the wheel's own diameter — the authority's own capital-review policy does not score a design on raw output alone. It scores each design on how much qualifying sunset-view time it delivers </w:t>
      </w:r>
      <w:r>
        <w:rPr>
          <w:b/>
          <w:bCs/>
        </w:rPr>
        <w:t xml:space="preserve">per meter of wheel diameter built</w:t>
      </w:r>
      <w:r>
        <w:t xml:space="preserve">, treating diameter as the policy's stand-in for the capital commitment a bigger structure actually requires. Renata's memo has to report that score for both options, honestly, alongside the raw totals so the board can see the whole picture (SEE APPENDICES A, B, C AND D).</w:t>
      </w:r>
    </w:p>
    <w:p>
      <w:r>
        <w:t xml:space="preserve">Every figure in this case is either cited to a real, public source or stated openly as a scenario assumption (SEE APPENDIX E); every source is listed in </w:t>
      </w:r>
      <w:r>
        <w:rPr>
          <w:b/>
          <w:bCs/>
        </w:rPr>
        <w:t xml:space="preserve">APPENDIX F</w:t>
      </w:r>
      <w:r>
        <w:t xml:space="preserve">. The vocabulary and "how to…" skills this case will ask of you are listed in </w:t>
      </w:r>
      <w:r>
        <w:rPr>
          <w:b/>
          <w:bCs/>
        </w:rPr>
        <w:t xml:space="preserve">APPENDIX H</w:t>
      </w:r>
      <w:r>
        <w:t xml:space="preserve"> — that is where Challenge 1 sends you. (SEE APPENDIX G for the ride-engineering vocabulary that makes the decision itself make sense.)</w:t>
      </w:r>
    </w:p>
    <w:p>
      <w:pPr>
        <w:pStyle w:val="Heading2"/>
        <w:spacing w:after="120" w:before="240"/>
      </w:pPr>
      <w:r>
        <w:t xml:space="preserve">Dilemma</w:t>
      </w:r>
    </w:p>
    <w:p>
      <w:r>
        <w:t xml:space="preserve">You are Renata Koh. Do you: A.) Recommend Option A — the Thames-side reference design, built to a smaller diameter OR B.) Recommend Option B — the Las Vegas Strip reference design, built to a much larger diameter</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height-versus-time function h(t) for each option, in the form h(t) = D − R·cos(ωt),     with the amplitude, midline, and period each labeled and justified from that option's real     diameter, boarding clearance, and rotation time (SEE APPENDICES A, B AND C).     D2. A degrees-to-radians conversion table showing each option's angular rotation rate ω in     both degrees per minute and radians per minute, with the conversion shown step by step (SEE     APPENDIX D).     D3. A graph of each option's height function over one full rotation, drawn to scale, with the     sunset-view qualifying height (SEE APPENDIX C) marked as a horizontal line on both graphs.     D4. A worked solution, using an inverse trigonometric function, that finds every time within     one rotation each option's rider height is exactly equal to the qualifying height — and, from     those times, the length of the single continuous interval during which each option's riders     stay above it.     D5. A final scoring table reporting, for each option: total qualifying sunset-view minutes     delivered per operating hour, and that same total divided by the option's wheel diameter (the     authority's own per-meter scoring rule from Background) — with your recommendation stated and     defended using that score.</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Option A Design Spec Sheet (Thames-Side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Overall structure height (m)</w:t>
            </w:r>
          </w:p>
        </w:tc>
        <w:tc>
          <w:tcPr>
            <w:tcW w:type="dxa" w:w="4500"/>
          </w:tcPr>
          <w:p>
            <w:r>
              <w:t xml:space="preserve">135 [S1]</w:t>
            </w:r>
          </w:p>
        </w:tc>
      </w:tr>
      <w:tr>
        <w:tc>
          <w:tcPr>
            <w:tcW w:type="dxa" w:w="4500"/>
          </w:tcPr>
          <w:p>
            <w:r>
              <w:t xml:space="preserve">Wheel (rim) diameter (m)</w:t>
            </w:r>
          </w:p>
        </w:tc>
        <w:tc>
          <w:tcPr>
            <w:tcW w:type="dxa" w:w="4500"/>
          </w:tcPr>
          <w:p>
            <w:r>
              <w:t xml:space="preserve">120 [S2]</w:t>
            </w:r>
          </w:p>
        </w:tc>
      </w:tr>
      <w:tr>
        <w:tc>
          <w:tcPr>
            <w:tcW w:type="dxa" w:w="4500"/>
          </w:tcPr>
          <w:p>
            <w:r>
              <w:t xml:space="preserve">Passenger capsules</w:t>
            </w:r>
          </w:p>
        </w:tc>
        <w:tc>
          <w:tcPr>
            <w:tcW w:type="dxa" w:w="4500"/>
          </w:tcPr>
          <w:p>
            <w:r>
              <w:t xml:space="preserve">32 [S1]</w:t>
            </w:r>
          </w:p>
        </w:tc>
      </w:tr>
      <w:tr>
        <w:tc>
          <w:tcPr>
            <w:tcW w:type="dxa" w:w="4500"/>
          </w:tcPr>
          <w:p>
            <w:r>
              <w:t xml:space="preserve">Rated capacity, all capsules combined (riders)</w:t>
            </w:r>
          </w:p>
        </w:tc>
        <w:tc>
          <w:tcPr>
            <w:tcW w:type="dxa" w:w="4500"/>
          </w:tcPr>
          <w:p>
            <w:r>
              <w:t xml:space="preserve">800 [S2]</w:t>
            </w:r>
          </w:p>
        </w:tc>
      </w:tr>
      <w:tr>
        <w:tc>
          <w:tcPr>
            <w:tcW w:type="dxa" w:w="4500"/>
          </w:tcPr>
          <w:p>
            <w:r>
              <w:t xml:space="preserve">Time for one full rotation (min)</w:t>
            </w:r>
          </w:p>
        </w:tc>
        <w:tc>
          <w:tcPr>
            <w:tcW w:type="dxa" w:w="4500"/>
          </w:tcPr>
          <w:p>
            <w:r>
              <w:t xml:space="preserve">30 [S1]</w:t>
            </w:r>
          </w:p>
        </w:tc>
      </w:tr>
      <w:tr>
        <w:tc>
          <w:tcPr>
            <w:tcW w:type="dxa" w:w="4500"/>
          </w:tcPr>
          <w:p>
            <w:r>
              <w:t xml:space="preserve">Standard adult admission (GBP, "from")</w:t>
            </w:r>
          </w:p>
        </w:tc>
        <w:tc>
          <w:tcPr>
            <w:tcW w:type="dxa" w:w="4500"/>
          </w:tcPr>
          <w:p>
            <w:r>
              <w:t xml:space="preserve">£29 [S3]</w:t>
            </w:r>
          </w:p>
        </w:tc>
      </w:tr>
    </w:tbl>
    <w:p/>
    <w:p>
      <w:r>
        <w:t xml:space="preserve">The reference installation runs continuously — capsules load and unload without the wheel stopping, at a speed of about 26 cm per second (SEE APPENDIX F, S1).</w:t>
      </w:r>
    </w:p>
    <w:p>
      <w:pPr>
        <w:pStyle w:val="Heading2"/>
        <w:spacing w:after="120" w:before="240"/>
      </w:pPr>
      <w:r>
        <w:t xml:space="preserve">Appendix B — Option B Design Spec Sheet (Las Vegas Strip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Overall structure height (ft / m)</w:t>
            </w:r>
          </w:p>
        </w:tc>
        <w:tc>
          <w:tcPr>
            <w:tcW w:type="dxa" w:w="4500"/>
          </w:tcPr>
          <w:p>
            <w:r>
              <w:t xml:space="preserve">550 ft / 167.6 [S4]</w:t>
            </w:r>
          </w:p>
        </w:tc>
      </w:tr>
      <w:tr>
        <w:tc>
          <w:tcPr>
            <w:tcW w:type="dxa" w:w="4500"/>
          </w:tcPr>
          <w:p>
            <w:r>
              <w:t xml:space="preserve">Wheel (rim) diameter (ft / m)</w:t>
            </w:r>
          </w:p>
        </w:tc>
        <w:tc>
          <w:tcPr>
            <w:tcW w:type="dxa" w:w="4500"/>
          </w:tcPr>
          <w:p>
            <w:r>
              <w:t xml:space="preserve">520 ft / 158.5 [S4]</w:t>
            </w:r>
          </w:p>
        </w:tc>
      </w:tr>
      <w:tr>
        <w:tc>
          <w:tcPr>
            <w:tcW w:type="dxa" w:w="4500"/>
          </w:tcPr>
          <w:p>
            <w:r>
              <w:t xml:space="preserve">Passenger cabins</w:t>
            </w:r>
          </w:p>
        </w:tc>
        <w:tc>
          <w:tcPr>
            <w:tcW w:type="dxa" w:w="4500"/>
          </w:tcPr>
          <w:p>
            <w:r>
              <w:t xml:space="preserve">28 [S4]</w:t>
            </w:r>
          </w:p>
        </w:tc>
      </w:tr>
      <w:tr>
        <w:tc>
          <w:tcPr>
            <w:tcW w:type="dxa" w:w="4500"/>
          </w:tcPr>
          <w:p>
            <w:r>
              <w:t xml:space="preserve">Rated capacity per cabin (riders)</w:t>
            </w:r>
          </w:p>
        </w:tc>
        <w:tc>
          <w:tcPr>
            <w:tcW w:type="dxa" w:w="4500"/>
          </w:tcPr>
          <w:p>
            <w:r>
              <w:t xml:space="preserve">40 [S4]</w:t>
            </w:r>
          </w:p>
        </w:tc>
      </w:tr>
      <w:tr>
        <w:tc>
          <w:tcPr>
            <w:tcW w:type="dxa" w:w="4500"/>
          </w:tcPr>
          <w:p>
            <w:r>
              <w:t xml:space="preserve">Rated capacity, all cabins combined (riders)</w:t>
            </w:r>
          </w:p>
        </w:tc>
        <w:tc>
          <w:tcPr>
            <w:tcW w:type="dxa" w:w="4500"/>
          </w:tcPr>
          <w:p>
            <w:r>
              <w:t xml:space="preserve">1,120 [S4]</w:t>
            </w:r>
          </w:p>
        </w:tc>
      </w:tr>
      <w:tr>
        <w:tc>
          <w:tcPr>
            <w:tcW w:type="dxa" w:w="4500"/>
          </w:tcPr>
          <w:p>
            <w:r>
              <w:t xml:space="preserve">Time for one full rotation (min)</w:t>
            </w:r>
          </w:p>
        </w:tc>
        <w:tc>
          <w:tcPr>
            <w:tcW w:type="dxa" w:w="4500"/>
          </w:tcPr>
          <w:p>
            <w:r>
              <w:t xml:space="preserve">30 [S5]</w:t>
            </w:r>
          </w:p>
        </w:tc>
      </w:tr>
      <w:tr>
        <w:tc>
          <w:tcPr>
            <w:tcW w:type="dxa" w:w="4500"/>
          </w:tcPr>
          <w:p>
            <w:r>
              <w:t xml:space="preserve">Standard adult admission, evening/"Anytime" (USD, "from")</w:t>
            </w:r>
          </w:p>
        </w:tc>
        <w:tc>
          <w:tcPr>
            <w:tcW w:type="dxa" w:w="4500"/>
          </w:tcPr>
          <w:p>
            <w:r>
              <w:t xml:space="preserve">$40 [S6]</w:t>
            </w:r>
          </w:p>
        </w:tc>
      </w:tr>
    </w:tbl>
    <w:p/>
    <w:p>
      <w:r>
        <w:t xml:space="preserve">The reference installation also runs continuously, with individually motorized cabins that keep their floor level throughout the rotation (SEE APPENDIX F, S4).</w:t>
      </w:r>
    </w:p>
    <w:p>
      <w:r>
        <w:t xml:space="preserve">A widely repeated figure for this reference installation's construction cost — often quoted as $550 million — is </w:t>
      </w:r>
      <w:r>
        <w:rPr>
          <w:b/>
          <w:bCs/>
        </w:rPr>
        <w:t xml:space="preserve">not used anywhere in this case</w:t>
      </w:r>
      <w:r>
        <w:t xml:space="preserve">. That figure prices the entire mixed-use retail and entertainment district the wheel anchors, not the wheel alone; independent reporting on the wheel's own construction cost gives a materially different, disputed number. Rather than pick a side in that dispute, this case's scoring rule (Background, Appendix C) uses wheel diameter — which is not disputed — as its stand-in for capital scale (SEE APPENDIX F).</w:t>
      </w:r>
    </w:p>
    <w:p>
      <w:pPr>
        <w:pStyle w:val="Heading2"/>
        <w:spacing w:after="120" w:before="240"/>
      </w:pPr>
      <w:r>
        <w:t xml:space="preserve">Appendix C — The Sunset-View Requirement</w:t>
      </w:r>
    </w:p>
    <w:p>
      <w:r>
        <w:t xml:space="preserve">Bellwether Point's engineering charter requires every evening-session rider to clear a stated qualifying sightline height, measured from ground level, before the sunset-view guarantee applies to that portion of the ride (SEE APPENDIX E, MA1). Both options' height functions in D1 measure rider height from the same ground datum, so both can be checked against the same qualifying height directly.</w:t>
      </w:r>
    </w:p>
    <w:p>
      <w:r>
        <w:t xml:space="preserve">Boarding for both options happens at a small fixed platform above ground level, not at true ground datum zero (SEE APPENDIX E, MA2) — this sets the minimum value each option's height function can reach.</w:t>
      </w:r>
    </w:p>
    <w:p>
      <w:pPr>
        <w:pStyle w:val="Heading2"/>
        <w:spacing w:after="120" w:before="240"/>
      </w:pPr>
      <w:r>
        <w:t xml:space="preserve">Appendix D — Rotation-Rate Reference</w:t>
      </w:r>
    </w:p>
    <w:p>
      <w:r>
        <w:t xml:space="preserve">Both reference installations complete one full rotation in the same time (SEE APPENDICES A AND B). A full rotation is 360°, or 2π radians.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Option A</w:t>
            </w:r>
          </w:p>
        </w:tc>
        <w:tc>
          <w:tcPr>
            <w:tcW w:type="dxa" w:w="3000"/>
            <w:shd w:fill="DDDDDD" w:val="clear"/>
          </w:tcPr>
          <w:p>
            <w:r>
              <w:t xml:space="preserve">Option B</w:t>
            </w:r>
          </w:p>
        </w:tc>
      </w:tr>
      <w:tr>
        <w:tc>
          <w:tcPr>
            <w:tcW w:type="dxa" w:w="3000"/>
          </w:tcPr>
          <w:p>
            <w:r>
              <w:t xml:space="preserve">Time for one rotation (min)</w:t>
            </w:r>
          </w:p>
        </w:tc>
        <w:tc>
          <w:tcPr>
            <w:tcW w:type="dxa" w:w="3000"/>
          </w:tcPr>
          <w:p>
            <w:r>
              <w:t xml:space="preserve">30</w:t>
            </w:r>
          </w:p>
        </w:tc>
        <w:tc>
          <w:tcPr>
            <w:tcW w:type="dxa" w:w="3000"/>
          </w:tcPr>
          <w:p>
            <w:r>
              <w:t xml:space="preserve">30</w:t>
            </w:r>
          </w:p>
        </w:tc>
      </w:tr>
      <w:tr>
        <w:tc>
          <w:tcPr>
            <w:tcW w:type="dxa" w:w="3000"/>
          </w:tcPr>
          <w:p>
            <w:r>
              <w:t xml:space="preserve">Rotation rate, degrees per minute</w:t>
            </w:r>
          </w:p>
        </w:tc>
        <w:tc>
          <w:tcPr>
            <w:tcW w:type="dxa" w:w="3000"/>
          </w:tcPr>
          <w:p>
            <w:r>
              <w:rPr>
                <w:i/>
                <w:iCs/>
              </w:rPr>
              <w:t xml:space="preserve">(Challenge D2)</w:t>
            </w:r>
          </w:p>
        </w:tc>
        <w:tc>
          <w:tcPr>
            <w:tcW w:type="dxa" w:w="3000"/>
          </w:tcPr>
          <w:p>
            <w:r>
              <w:rPr>
                <w:i/>
                <w:iCs/>
              </w:rPr>
              <w:t xml:space="preserve">(Challenge D2)</w:t>
            </w:r>
          </w:p>
        </w:tc>
      </w:tr>
      <w:tr>
        <w:tc>
          <w:tcPr>
            <w:tcW w:type="dxa" w:w="3000"/>
          </w:tcPr>
          <w:p>
            <w:r>
              <w:t xml:space="preserve">Rotation rate, radians per minute</w:t>
            </w:r>
          </w:p>
        </w:tc>
        <w:tc>
          <w:tcPr>
            <w:tcW w:type="dxa" w:w="3000"/>
          </w:tcPr>
          <w:p>
            <w:r>
              <w:rPr>
                <w:i/>
                <w:iCs/>
              </w:rPr>
              <w:t xml:space="preserve">(Challenge D2)</w:t>
            </w:r>
          </w:p>
        </w:tc>
        <w:tc>
          <w:tcPr>
            <w:tcW w:type="dxa" w:w="3000"/>
          </w:tcPr>
          <w:p>
            <w:r>
              <w:rPr>
                <w:i/>
                <w:iCs/>
              </w:rPr>
              <w:t xml:space="preserve">(Challenge D2)</w:t>
            </w:r>
          </w:p>
        </w:tc>
      </w:tr>
    </w:tbl>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H names the math skills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Qualifying sunset-view sightline height (Appendix C)</w:t>
            </w:r>
          </w:p>
        </w:tc>
        <w:tc>
          <w:tcPr>
            <w:tcW w:type="dxa" w:w="1800"/>
          </w:tcPr>
          <w:p>
            <w:r>
              <w:t xml:space="preserve">250 ft (76.2 m) above ground</w:t>
            </w:r>
          </w:p>
        </w:tc>
        <w:tc>
          <w:tcPr>
            <w:tcW w:type="dxa" w:w="1800"/>
          </w:tcPr>
          <w:p>
            <w:r>
              <w:t xml:space="preserve">Bellwether Point is a fictional site with no real zoning file to source. 250 ft is set high enough to clear a typical multi-story boardwalk roofline and the dune-top tree line beyond it — well above ordinary beach-town building heights — while still being well under both options' maximum rider height, so the comparison is not a foregone conclusion by construction.</w:t>
            </w:r>
          </w:p>
        </w:tc>
        <w:tc>
          <w:tcPr>
            <w:tcW w:type="dxa" w:w="1800"/>
          </w:tcPr>
          <w:p>
            <w:r>
              <w:t xml:space="preserve">The answer is sensitive to this value. A materially different qualifying height would change how long each option's riders spend above it, and could change which option scores higher.</w:t>
            </w:r>
          </w:p>
        </w:tc>
      </w:tr>
      <w:tr>
        <w:tc>
          <w:tcPr>
            <w:tcW w:type="dxa" w:w="1800"/>
          </w:tcPr>
          <w:p>
            <w:r>
              <w:t xml:space="preserve">MA2</w:t>
            </w:r>
          </w:p>
        </w:tc>
        <w:tc>
          <w:tcPr>
            <w:tcW w:type="dxa" w:w="1800"/>
          </w:tcPr>
          <w:p>
            <w:r>
              <w:t xml:space="preserve">Boarding-platform height above true ground datum (Appendix C), applied identically to both options</w:t>
            </w:r>
          </w:p>
        </w:tc>
        <w:tc>
          <w:tcPr>
            <w:tcW w:type="dxa" w:w="1800"/>
          </w:tcPr>
          <w:p>
            <w:r>
              <w:t xml:space="preserve">2 m (about 6.5 ft)</w:t>
            </w:r>
          </w:p>
        </w:tc>
        <w:tc>
          <w:tcPr>
            <w:tcW w:type="dxa" w:w="1800"/>
          </w:tcPr>
          <w:p>
            <w:r>
              <w:t xml:space="preserve">Large continuous-loading observation wheels board riders from a small raised platform, not from bare ground; 2 m is a realistic, modest clearance for a loading platform and ramp. Applied identically to both options.</w:t>
            </w:r>
          </w:p>
        </w:tc>
        <w:tc>
          <w:tcPr>
            <w:tcW w:type="dxa" w:w="1800"/>
          </w:tcPr>
          <w:p>
            <w:r>
              <w:t xml:space="preserve">Because the same value is added to both options' height functions, it does not by itself favor either option — it shifts both midlines by the same amount.</w:t>
            </w:r>
          </w:p>
        </w:tc>
      </w:tr>
    </w:tbl>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Option A overall height, capsule count, rotation time, and continuous loading speed</w:t>
            </w:r>
          </w:p>
        </w:tc>
        <w:tc>
          <w:tcPr>
            <w:tcW w:type="dxa" w:w="1500"/>
          </w:tcPr>
          <w:p>
            <w:r>
              <w:t xml:space="preserve">135 m; 32 capsules; one revolution ≈ 30 min; ≈26 cm/s rotation speed</w:t>
            </w:r>
          </w:p>
        </w:tc>
        <w:tc>
          <w:tcPr>
            <w:tcW w:type="dxa" w:w="1500"/>
          </w:tcPr>
          <w:p>
            <w:r>
              <w:t xml:space="preserve">The London Eye, official FAQs &amp; Visitor Information (</w:t>
            </w:r>
            <w:hyperlink w:history="1" r:id="rIdosf-b0grvn9qmwfwpsbn5">
              <w:r>
                <w:rPr>
                  <w:rStyle w:val="Hyperlink"/>
                </w:rPr>
                <w:t xml:space="preserve">londoneye.com/plan-your-visit/information-and-support/faqs/</w:t>
              </w:r>
            </w:hyperlink>
            <w:r>
              <w:t xml:space="preserve">)</w:t>
            </w:r>
          </w:p>
        </w:tc>
        <w:tc>
          <w:tcPr>
            <w:tcW w:type="dxa" w:w="1500"/>
          </w:tcPr>
          <w:p>
            <w:r>
              <w:t xml:space="preserve">2026-09-09</w:t>
            </w:r>
          </w:p>
        </w:tc>
        <w:tc>
          <w:tcPr>
            <w:tcW w:type="dxa" w:w="1500"/>
          </w:tcPr>
          <w:p>
            <w:r>
              <w:t xml:space="preserve">HIGH — the attraction's own official site</w:t>
            </w:r>
          </w:p>
        </w:tc>
      </w:tr>
      <w:tr>
        <w:tc>
          <w:tcPr>
            <w:tcW w:type="dxa" w:w="1500"/>
          </w:tcPr>
          <w:p>
            <w:r>
              <w:t xml:space="preserve">S2</w:t>
            </w:r>
          </w:p>
        </w:tc>
        <w:tc>
          <w:tcPr>
            <w:tcW w:type="dxa" w:w="1500"/>
          </w:tcPr>
          <w:p>
            <w:r>
              <w:t xml:space="preserve">Option A wheel diameter and rated total capacity</w:t>
            </w:r>
          </w:p>
        </w:tc>
        <w:tc>
          <w:tcPr>
            <w:tcW w:type="dxa" w:w="1500"/>
          </w:tcPr>
          <w:p>
            <w:r>
              <w:t xml:space="preserve">120 m diameter; 800 riders (25 per capsule × 32 capsules)</w:t>
            </w:r>
          </w:p>
        </w:tc>
        <w:tc>
          <w:tcPr>
            <w:tcW w:type="dxa" w:w="1500"/>
          </w:tcPr>
          <w:p>
            <w:r>
              <w:t xml:space="preserve">Wikipedia, "London Eye" (</w:t>
            </w:r>
            <w:hyperlink w:history="1" r:id="rIdckpjkdpelygzmn-ufivzx">
              <w:r>
                <w:rPr>
                  <w:rStyle w:val="Hyperlink"/>
                </w:rPr>
                <w:t xml:space="preserve">en.wikipedia.org/wiki/London_Eye</w:t>
              </w:r>
            </w:hyperlink>
            <w:r>
              <w:t xml:space="preserve">)</w:t>
            </w:r>
          </w:p>
        </w:tc>
        <w:tc>
          <w:tcPr>
            <w:tcW w:type="dxa" w:w="1500"/>
          </w:tcPr>
          <w:p>
            <w:r>
              <w:t xml:space="preserve">2026-09-09</w:t>
            </w:r>
          </w:p>
        </w:tc>
        <w:tc>
          <w:tcPr>
            <w:tcW w:type="dxa" w:w="1500"/>
          </w:tcPr>
          <w:p>
            <w:r>
              <w:t xml:space="preserve">MEDIUM — reputable, well-attributed secondary source; diameter and total-capacity figures are not restated on the operator's own FAQ page, so this is the best available citation for them</w:t>
            </w:r>
          </w:p>
        </w:tc>
      </w:tr>
      <w:tr>
        <w:tc>
          <w:tcPr>
            <w:tcW w:type="dxa" w:w="1500"/>
          </w:tcPr>
          <w:p>
            <w:r>
              <w:t xml:space="preserve">S3</w:t>
            </w:r>
          </w:p>
        </w:tc>
        <w:tc>
          <w:tcPr>
            <w:tcW w:type="dxa" w:w="1500"/>
          </w:tcPr>
          <w:p>
            <w:r>
              <w:t xml:space="preserve">Option A standard adult admission price</w:t>
            </w:r>
          </w:p>
        </w:tc>
        <w:tc>
          <w:tcPr>
            <w:tcW w:type="dxa" w:w="1500"/>
          </w:tcPr>
          <w:p>
            <w:r>
              <w:t xml:space="preserve">"From £29 per adult"</w:t>
            </w:r>
          </w:p>
        </w:tc>
        <w:tc>
          <w:tcPr>
            <w:tcW w:type="dxa" w:w="1500"/>
          </w:tcPr>
          <w:p>
            <w:r>
              <w:t xml:space="preserve">The London Eye, official ticketing site, homepage (</w:t>
            </w:r>
            <w:hyperlink w:history="1" r:id="rIdezdfesbo4io6b1sbakcsz">
              <w:r>
                <w:rPr>
                  <w:rStyle w:val="Hyperlink"/>
                </w:rPr>
                <w:t xml:space="preserve">londoneye.com</w:t>
              </w:r>
            </w:hyperlink>
            <w:r>
              <w:t xml:space="preserve">)</w:t>
            </w:r>
          </w:p>
        </w:tc>
        <w:tc>
          <w:tcPr>
            <w:tcW w:type="dxa" w:w="1500"/>
          </w:tcPr>
          <w:p>
            <w:r>
              <w:t xml:space="preserve">2026-09-09</w:t>
            </w:r>
          </w:p>
        </w:tc>
        <w:tc>
          <w:tcPr>
            <w:tcW w:type="dxa" w:w="1500"/>
          </w:tcPr>
          <w:p>
            <w:r>
              <w:t xml:space="preserve">HIGH — official ticketing page; a "from" price, actual price varies by date/time slot</w:t>
            </w:r>
          </w:p>
        </w:tc>
      </w:tr>
      <w:tr>
        <w:tc>
          <w:tcPr>
            <w:tcW w:type="dxa" w:w="1500"/>
          </w:tcPr>
          <w:p>
            <w:r>
              <w:t xml:space="preserve">S4</w:t>
            </w:r>
          </w:p>
        </w:tc>
        <w:tc>
          <w:tcPr>
            <w:tcW w:type="dxa" w:w="1500"/>
          </w:tcPr>
          <w:p>
            <w:r>
              <w:t xml:space="preserve">Option B overall height, wheel diameter, cabin count, and rated capacity per/total</w:t>
            </w:r>
          </w:p>
        </w:tc>
        <w:tc>
          <w:tcPr>
            <w:tcW w:type="dxa" w:w="1500"/>
          </w:tcPr>
          <w:p>
            <w:r>
              <w:t xml:space="preserve">550 ft (167.6 m) height; 520 ft (158.5 m) diameter; 28 cabins; 40 riders/cabin; 1,120 total</w:t>
            </w:r>
          </w:p>
        </w:tc>
        <w:tc>
          <w:tcPr>
            <w:tcW w:type="dxa" w:w="1500"/>
          </w:tcPr>
          <w:p>
            <w:r>
              <w:t xml:space="preserve">Wikipedia, "High Roller (Ferris wheel)" (</w:t>
            </w:r>
            <w:hyperlink w:history="1" r:id="rIdnpy_mkrimywzfbndo8bqa">
              <w:r>
                <w:rPr>
                  <w:rStyle w:val="Hyperlink"/>
                </w:rPr>
                <w:t xml:space="preserve">en.wikipedia.org/wiki/High_Roller_(Ferris_wheel)</w:t>
              </w:r>
            </w:hyperlink>
            <w:r>
              <w:t xml:space="preserve">))</w:t>
            </w:r>
          </w:p>
        </w:tc>
        <w:tc>
          <w:tcPr>
            <w:tcW w:type="dxa" w:w="1500"/>
          </w:tcPr>
          <w:p>
            <w:r>
              <w:t xml:space="preserve">2026-09-09</w:t>
            </w:r>
          </w:p>
        </w:tc>
        <w:tc>
          <w:tcPr>
            <w:tcW w:type="dxa" w:w="1500"/>
          </w:tcPr>
          <w:p>
            <w:r>
              <w:t xml:space="preserve">MEDIUM — reputable secondary source; height, diameter, cabin count, and per-cabin capacity independently cross-confirmed by a third-party visitor guide (see note)</w:t>
            </w:r>
          </w:p>
        </w:tc>
      </w:tr>
      <w:tr>
        <w:tc>
          <w:tcPr>
            <w:tcW w:type="dxa" w:w="1500"/>
          </w:tcPr>
          <w:p>
            <w:r>
              <w:t xml:space="preserve">S5</w:t>
            </w:r>
          </w:p>
        </w:tc>
        <w:tc>
          <w:tcPr>
            <w:tcW w:type="dxa" w:w="1500"/>
          </w:tcPr>
          <w:p>
            <w:r>
              <w:t xml:space="preserve">Option B rotation time</w:t>
            </w:r>
          </w:p>
        </w:tc>
        <w:tc>
          <w:tcPr>
            <w:tcW w:type="dxa" w:w="1500"/>
          </w:tcPr>
          <w:p>
            <w:r>
              <w:t xml:space="preserve">"30-minute rotation," one full 360° revolution</w:t>
            </w:r>
          </w:p>
        </w:tc>
        <w:tc>
          <w:tcPr>
            <w:tcW w:type="dxa" w:w="1500"/>
          </w:tcPr>
          <w:p>
            <w:r>
              <w:t xml:space="preserve">onthestrip.com, "The LINQ High Roller: Everything About This Massive Las Vegas Attraction" (</w:t>
            </w:r>
            <w:hyperlink w:history="1" r:id="rIdzgy2v4zjph2lylykyan9v">
              <w:r>
                <w:rPr>
                  <w:rStyle w:val="Hyperlink"/>
                </w:rPr>
                <w:t xml:space="preserve">onthestrip.com/on-the-strip/the-linq-high-roller/</w:t>
              </w:r>
            </w:hyperlink>
            <w:r>
              <w:t xml:space="preserve">)</w:t>
            </w:r>
          </w:p>
        </w:tc>
        <w:tc>
          <w:tcPr>
            <w:tcW w:type="dxa" w:w="1500"/>
          </w:tcPr>
          <w:p>
            <w:r>
              <w:t xml:space="preserve">2026-09-09</w:t>
            </w:r>
          </w:p>
        </w:tc>
        <w:tc>
          <w:tcPr>
            <w:tcW w:type="dxa" w:w="1500"/>
          </w:tcPr>
          <w:p>
            <w:r>
              <w:t xml:space="preserve">MEDIUM — visitor-guide journalism; consistent with S4 and with the operator's own marketing copy found during research (see RESEARCH_LOG.md)</w:t>
            </w:r>
          </w:p>
        </w:tc>
      </w:tr>
      <w:tr>
        <w:tc>
          <w:tcPr>
            <w:tcW w:type="dxa" w:w="1500"/>
          </w:tcPr>
          <w:p>
            <w:r>
              <w:t xml:space="preserve">S6</w:t>
            </w:r>
          </w:p>
        </w:tc>
        <w:tc>
          <w:tcPr>
            <w:tcW w:type="dxa" w:w="1500"/>
          </w:tcPr>
          <w:p>
            <w:r>
              <w:t xml:space="preserve">Option B standard adult admission price, evening/"Anytime" ticket</w:t>
            </w:r>
          </w:p>
        </w:tc>
        <w:tc>
          <w:tcPr>
            <w:tcW w:type="dxa" w:w="1500"/>
          </w:tcPr>
          <w:p>
            <w:r>
              <w:t xml:space="preserve">"From $40 per adult"</w:t>
            </w:r>
          </w:p>
        </w:tc>
        <w:tc>
          <w:tcPr>
            <w:tcW w:type="dxa" w:w="1500"/>
          </w:tcPr>
          <w:p>
            <w:r>
              <w:t xml:space="preserve">highroller-vegas.com, "High Roller Standard Tickets Las Vegas" (</w:t>
            </w:r>
            <w:hyperlink w:history="1" r:id="rId_n_u1hkgro4w4mpwm_5hs">
              <w:r>
                <w:rPr>
                  <w:rStyle w:val="Hyperlink"/>
                </w:rPr>
                <w:t xml:space="preserve">highroller-vegas.com/tickets/high-roller-standard-tickets/</w:t>
              </w:r>
            </w:hyperlink>
            <w:r>
              <w:t xml:space="preserve">)</w:t>
            </w:r>
          </w:p>
        </w:tc>
        <w:tc>
          <w:tcPr>
            <w:tcW w:type="dxa" w:w="1500"/>
          </w:tcPr>
          <w:p>
            <w:r>
              <w:t xml:space="preserve">2026-09-09</w:t>
            </w:r>
          </w:p>
        </w:tc>
        <w:tc>
          <w:tcPr>
            <w:tcW w:type="dxa" w:w="1500"/>
          </w:tcPr>
          <w:p>
            <w:r>
              <w:t xml:space="preserve">MEDIUM — third-party ticket-reseller aggregator, not the operator's own site (the operator's own page could not be fetched as static content during research); a "from" price, dated 2026</w:t>
            </w:r>
          </w:p>
        </w:tc>
      </w:tr>
      <w:tr>
        <w:tc>
          <w:tcPr>
            <w:tcW w:type="dxa" w:w="1500"/>
          </w:tcPr>
          <w:p>
            <w:r>
              <w:t xml:space="preserve">S7 (excluded)</w:t>
            </w:r>
          </w:p>
        </w:tc>
        <w:tc>
          <w:tcPr>
            <w:tcW w:type="dxa" w:w="1500"/>
          </w:tcPr>
          <w:p>
            <w:r>
              <w:t xml:space="preserve">Construction cost of the Option B reference installation</w:t>
            </w:r>
          </w:p>
        </w:tc>
        <w:tc>
          <w:tcPr>
            <w:tcW w:type="dxa" w:w="1500"/>
          </w:tcPr>
          <w:p>
            <w:r>
              <w:t xml:space="preserve">Commonly cited as "$550 million"</w:t>
            </w:r>
          </w:p>
        </w:tc>
        <w:tc>
          <w:tcPr>
            <w:tcW w:type="dxa" w:w="1500"/>
          </w:tcPr>
          <w:p>
            <w:r>
              <w:t xml:space="preserve">This figure prices the entire LINQ retail/entertainment district the wheel anchors, not the wheel in isolation; independent reporting places the wheel's own construction cost in a much lower and internally disputed range (roughly $90–$183 million depending on what is included). </w:t>
            </w:r>
            <w:r>
              <w:rPr>
                <w:b/>
                <w:bCs/>
              </w:rPr>
              <w:t xml:space="preserve">Not used as a value anywhere in this case</w:t>
            </w:r>
            <w:r>
              <w:t xml:space="preserve"> — see Appendix B.</w:t>
            </w:r>
          </w:p>
        </w:tc>
        <w:tc>
          <w:tcPr>
            <w:tcW w:type="dxa" w:w="1500"/>
          </w:tcPr>
          <w:p>
            <w:r>
              <w:t xml:space="preserve">2026-09-09</w:t>
            </w:r>
          </w:p>
        </w:tc>
        <w:tc>
          <w:tcPr>
            <w:tcW w:type="dxa" w:w="1500"/>
          </w:tcPr>
          <w:p>
            <w:r>
              <w:t xml:space="preserve">N/A — recorded here only to document why it is excluded, per this project's own standing rule against smoothing over a contested figure</w:t>
            </w:r>
          </w:p>
        </w:tc>
      </w:tr>
    </w:tbl>
    <w:p/>
    <w:p>
      <w:pPr>
        <w:pStyle w:val="Heading2"/>
        <w:spacing w:after="120" w:before="240"/>
      </w:pPr>
      <w:r>
        <w:t xml:space="preserve">Appendix G — Learn More</w:t>
      </w:r>
    </w:p>
    <w:p>
      <w:r>
        <w:t xml:space="preserve">This case also uses real ride-engineering and attractions-industry terms that are not math vocabulary but that a reader who has never worked in attractions design may not know. None of these change any number in this case; they are here so the engineering itself makes sense.</w:t>
      </w:r>
    </w:p>
    <w:p>
      <w:pPr>
        <w:ind w:left="360"/>
      </w:pPr>
      <w:r>
        <w:t xml:space="preserve">- </w:t>
      </w:r>
      <w:r>
        <w:rPr>
          <w:b/>
          <w:bCs/>
        </w:rPr>
        <w:t xml:space="preserve">Observation Wheel</w:t>
      </w:r>
      <w:r>
        <w:t xml:space="preserve"> — the modern engineering term for a large Ferris wheel built primarily   for scenic viewing rather than a traditional fairground ride; usually taller, slower, and with   enclosed or larger passenger capsules than a traveling carnival wheel. See </w:t>
      </w:r>
      <w:hyperlink w:history="1" r:id="rIdbh-1gxsxxs3rmju6-1mmi">
        <w:r>
          <w:rPr>
            <w:rStyle w:val="Hyperlink"/>
          </w:rPr>
          <w:t xml:space="preserve">Wikipedia,   "Observation wheel"</w:t>
        </w:r>
      </w:hyperlink>
      <w:r>
        <w:t xml:space="preserve">.</w:t>
      </w:r>
    </w:p>
    <w:p>
      <w:pPr>
        <w:ind w:left="360"/>
      </w:pPr>
      <w:r>
        <w:t xml:space="preserve">- </w:t>
      </w:r>
      <w:r>
        <w:rPr>
          <w:b/>
          <w:bCs/>
        </w:rPr>
        <w:t xml:space="preserve">Capsule / Cabin</w:t>
      </w:r>
      <w:r>
        <w:t xml:space="preserve"> — the enclosed passenger compartment mounted on the rim of an observation   wheel; the two options in this case use different manufacturer terms for the same kind of part.   See </w:t>
      </w:r>
      <w:hyperlink w:history="1" r:id="rIdlxeabggc1fpzjmvf2hrx3">
        <w:r>
          <w:rPr>
            <w:rStyle w:val="Hyperlink"/>
          </w:rPr>
          <w:t xml:space="preserve">Wikipedia, "Observation wheel"</w:t>
        </w:r>
      </w:hyperlink>
      <w:r>
        <w:t xml:space="preserve">.</w:t>
      </w:r>
    </w:p>
    <w:p>
      <w:pPr>
        <w:ind w:left="360"/>
      </w:pPr>
      <w:r>
        <w:t xml:space="preserve">- </w:t>
      </w:r>
      <w:r>
        <w:rPr>
          <w:b/>
          <w:bCs/>
        </w:rPr>
        <w:t xml:space="preserve">Continuous Loading</w:t>
      </w:r>
      <w:r>
        <w:t xml:space="preserve"> — a boarding method where the wheel never fully stops; it slows to a   crawl so riders can step on and off a moving capsule at ground level. Both options in this case   load this way. See </w:t>
      </w:r>
      <w:hyperlink w:history="1" r:id="rId5hryesm7dokw84kaembqx">
        <w:r>
          <w:rPr>
            <w:rStyle w:val="Hyperlink"/>
          </w:rPr>
          <w:t xml:space="preserve">Wikipedia, "Ferris wheel"</w:t>
        </w:r>
      </w:hyperlink>
      <w:r>
        <w:t xml:space="preserve">.</w:t>
      </w:r>
    </w:p>
    <w:p>
      <w:pPr>
        <w:ind w:left="360"/>
      </w:pPr>
      <w:r>
        <w:t xml:space="preserve">- </w:t>
      </w:r>
      <w:r>
        <w:rPr>
          <w:b/>
          <w:bCs/>
        </w:rPr>
        <w:t xml:space="preserve">Reference Installation</w:t>
      </w:r>
      <w:r>
        <w:t xml:space="preserve"> — the real, already-built wheel whose published specifications a   manufacturer uses to describe what a new, licensed copy of that design can do.</w:t>
      </w:r>
    </w:p>
    <w:p>
      <w:pPr>
        <w:ind w:left="360"/>
      </w:pPr>
      <w:r>
        <w:t xml:space="preserve">- </w:t>
      </w:r>
      <w:r>
        <w:rPr>
          <w:b/>
          <w:bCs/>
        </w:rPr>
        <w:t xml:space="preserve">Capital Review Board</w:t>
      </w:r>
      <w:r>
        <w:t xml:space="preserve"> — the public body that approves how a government agency spends money   on a large construction project before work can begin. See </w:t>
      </w:r>
      <w:hyperlink w:history="1" r:id="rIdjlx0er0p7-0wqp0acw3b_">
        <w:r>
          <w:rPr>
            <w:rStyle w:val="Hyperlink"/>
          </w:rPr>
          <w:t xml:space="preserve">Investopedia, "Capital   Budgeting"</w:t>
        </w:r>
      </w:hyperlink>
      <w:r>
        <w:t xml:space="preserve">.</w:t>
      </w:r>
    </w:p>
    <w:p>
      <w:pPr>
        <w:ind w:left="360"/>
      </w:pPr>
      <w:r>
        <w:t xml:space="preserve">- </w:t>
      </w:r>
      <w:r>
        <w:rPr>
          <w:b/>
          <w:bCs/>
        </w:rPr>
        <w:t xml:space="preserve">Rated Capacity</w:t>
      </w:r>
      <w:r>
        <w:t xml:space="preserve"> — the maximum number of riders a ride is designed and certified to carry at   once; a safety and engineering figure, not a marketing estimate. See </w:t>
      </w:r>
      <w:hyperlink w:history="1" r:id="rIdnjvt5nlhc-dm7ynbwthuc">
        <w:r>
          <w:rPr>
            <w:rStyle w:val="Hyperlink"/>
          </w:rPr>
          <w:t xml:space="preserve">Wikipedia, "Amusement   ride"</w:t>
        </w:r>
      </w:hyperlink>
      <w:r>
        <w:t xml:space="preserve">.</w:t>
      </w:r>
    </w:p>
    <w:p>
      <w:pPr>
        <w:ind w:left="360"/>
      </w:pPr>
      <w:r>
        <w:t xml:space="preserve">- </w:t>
      </w:r>
      <w:r>
        <w:rPr>
          <w:b/>
          <w:bCs/>
        </w:rPr>
        <w:t xml:space="preserve">Golden Hour</w:t>
      </w:r>
      <w:r>
        <w:t xml:space="preserve"> — the period shortly before sunset (and after sunrise) when sunlight is warm,   low-angled, and considered the most visually striking time of day; the marketing basis for the   "sunset-view guarantee" in this case. See </w:t>
      </w:r>
      <w:hyperlink w:history="1" r:id="rIdmaets5tenbcxmwvjjxbxn">
        <w:r>
          <w:rPr>
            <w:rStyle w:val="Hyperlink"/>
          </w:rPr>
          <w:t xml:space="preserve">Wikipedia, "Golden hour   (photography)"</w:t>
        </w:r>
      </w:hyperlink>
      <w:r>
        <w:t xml:space="preserve">).</w:t>
      </w:r>
    </w:p>
    <w:p>
      <w:pPr>
        <w:ind w:left="360"/>
      </w:pPr>
      <w:r>
        <w:t xml:space="preserve">- </w:t>
      </w:r>
      <w:r>
        <w:rPr>
          <w:b/>
          <w:bCs/>
        </w:rPr>
        <w:t xml:space="preserve">Foundation Load</w:t>
      </w:r>
      <w:r>
        <w:t xml:space="preserve"> — the total weight and force a structure transfers into the ground it sits   on; a taller, heavier wheel requires a foundation engineered to carry more of it. See   </w:t>
      </w:r>
      <w:hyperlink w:history="1" r:id="rIdjbb9q8uss2hrqgkbtl1po">
        <w:r>
          <w:rPr>
            <w:rStyle w:val="Hyperlink"/>
          </w:rPr>
          <w:t xml:space="preserve">Wikipedia, "Foundation (engineering)"</w:t>
        </w:r>
      </w:hyperlink>
      <w:r>
        <w:t xml:space="preserve">).</w:t>
      </w:r>
    </w:p>
    <w:p>
      <w:pPr>
        <w:pStyle w:val="Heading2"/>
        <w:spacing w:after="120" w:before="240"/>
      </w:pPr>
      <w:r>
        <w:t xml:space="preserve">Appendix H — "How To…" Math Questions To Research</w:t>
      </w:r>
    </w:p>
    <w:p>
      <w:r>
        <w:rPr>
          <w:b/>
          <w:bCs/>
        </w:rPr>
        <w:t xml:space="preserve">Vocabulary terms</w:t>
      </w:r>
    </w:p>
    <w:p>
      <w:pPr>
        <w:ind w:left="360"/>
      </w:pPr>
      <w:r>
        <w:t xml:space="preserve">- Amplitude</w:t>
      </w:r>
    </w:p>
    <w:p>
      <w:pPr>
        <w:ind w:left="360"/>
      </w:pPr>
      <w:r>
        <w:t xml:space="preserve">- Period (Of A Function)</w:t>
      </w:r>
    </w:p>
    <w:p>
      <w:pPr>
        <w:ind w:left="360"/>
      </w:pPr>
      <w:r>
        <w:t xml:space="preserve">- Cosine Function</w:t>
      </w:r>
    </w:p>
    <w:p>
      <w:pPr>
        <w:ind w:left="360"/>
      </w:pPr>
      <w:r>
        <w:t xml:space="preserve">- Radian</w:t>
      </w:r>
    </w:p>
    <w:p>
      <w:pPr>
        <w:ind w:left="360"/>
      </w:pPr>
      <w:r>
        <w:t xml:space="preserve">- Inverse Trigonometric Function</w:t>
      </w:r>
    </w:p>
    <w:p>
      <w:r>
        <w:rPr>
          <w:b/>
          <w:bCs/>
        </w:rPr>
        <w:t xml:space="preserve">"How to…" questions</w:t>
      </w:r>
    </w:p>
    <w:p>
      <w:pPr>
        <w:ind w:left="360"/>
      </w:pPr>
      <w:r>
        <w:t xml:space="preserve">- How to convert between degrees and radians</w:t>
      </w:r>
    </w:p>
    <w:p>
      <w:pPr>
        <w:ind w:left="360"/>
      </w:pPr>
      <w:r>
        <w:t xml:space="preserve">- How to find the amplitude and period of a sine or cosine function</w:t>
      </w:r>
    </w:p>
    <w:p>
      <w:pPr>
        <w:ind w:left="360"/>
      </w:pPr>
      <w:r>
        <w:t xml:space="preserve">- How to evaluate an inverse trigonometric function</w:t>
      </w:r>
    </w:p>
    <w:p>
      <w:pPr>
        <w:ind w:left="360"/>
      </w:pPr>
      <w:r>
        <w:t xml:space="preserve">- How to solve a trigonometric equation over a given interval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sf-b0grvn9qmwfwpsbn5" Type="http://schemas.openxmlformats.org/officeDocument/2006/relationships/hyperlink" Target="https://www.londoneye.com/plan-your-visit/information-and-support/faqs/" TargetMode="External"/><Relationship Id="rIdckpjkdpelygzmn-ufivzx" Type="http://schemas.openxmlformats.org/officeDocument/2006/relationships/hyperlink" Target="https://en.wikipedia.org/wiki/London_Eye" TargetMode="External"/><Relationship Id="rIdezdfesbo4io6b1sbakcsz" Type="http://schemas.openxmlformats.org/officeDocument/2006/relationships/hyperlink" Target="https://www.londoneye.com/" TargetMode="External"/><Relationship Id="rIdnpy_mkrimywzfbndo8bqa" Type="http://schemas.openxmlformats.org/officeDocument/2006/relationships/hyperlink" Target="https://en.wikipedia.org/wiki/High_Roller_(Ferris_wheel" TargetMode="External"/><Relationship Id="rIdzgy2v4zjph2lylykyan9v" Type="http://schemas.openxmlformats.org/officeDocument/2006/relationships/hyperlink" Target="https://onthestrip.com/on-the-strip/the-linq-high-roller/" TargetMode="External"/><Relationship Id="rId_n_u1hkgro4w4mpwm_5hs" Type="http://schemas.openxmlformats.org/officeDocument/2006/relationships/hyperlink" Target="https://highroller-vegas.com/tickets/high-roller-standard-tickets/" TargetMode="External"/><Relationship Id="rIdbh-1gxsxxs3rmju6-1mmi" Type="http://schemas.openxmlformats.org/officeDocument/2006/relationships/hyperlink" Target="https://en.wikipedia.org/wiki/Observation_wheel" TargetMode="External"/><Relationship Id="rIdlxeabggc1fpzjmvf2hrx3" Type="http://schemas.openxmlformats.org/officeDocument/2006/relationships/hyperlink" Target="https://en.wikipedia.org/wiki/Observation_wheel" TargetMode="External"/><Relationship Id="rId5hryesm7dokw84kaembqx" Type="http://schemas.openxmlformats.org/officeDocument/2006/relationships/hyperlink" Target="https://en.wikipedia.org/wiki/Ferris_wheel" TargetMode="External"/><Relationship Id="rIdjlx0er0p7-0wqp0acw3b_" Type="http://schemas.openxmlformats.org/officeDocument/2006/relationships/hyperlink" Target="https://www.investopedia.com/terms/c/capitalbudgeting.asp" TargetMode="External"/><Relationship Id="rIdnjvt5nlhc-dm7ynbwthuc" Type="http://schemas.openxmlformats.org/officeDocument/2006/relationships/hyperlink" Target="https://en.wikipedia.org/wiki/Amusement_ride" TargetMode="External"/><Relationship Id="rIdmaets5tenbcxmwvjjxbxn" Type="http://schemas.openxmlformats.org/officeDocument/2006/relationships/hyperlink" Target="https://en.wikipedia.org/wiki/Golden_hour_(photography" TargetMode="External"/><Relationship Id="rIdjbb9q8uss2hrqgkbtl1po" Type="http://schemas.openxmlformats.org/officeDocument/2006/relationships/hyperlink" Target="https://en.wikipedia.org/wiki/Foundation_(engineerin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2026-09-10T12:28:18.456Z</dcterms:created>
  <dcterms:modified xsi:type="dcterms:W3CDTF">2026-09-10T12:28:18.457Z</dcterms:modified>
</cp:coreProperties>
</file>

<file path=docProps/custom.xml><?xml version="1.0" encoding="utf-8"?>
<Properties xmlns="http://schemas.openxmlformats.org/officeDocument/2006/custom-properties" xmlns:vt="http://schemas.openxmlformats.org/officeDocument/2006/docPropsVTypes"/>
</file>