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400"/>
        <w:jc w:val="center"/>
      </w:pPr>
      <w:r>
        <w:rPr>
          <w:rFonts w:ascii="Times New Roman" w:cs="Times New Roman" w:eastAsia="Times New Roman" w:hAnsi="Times New Roman"/>
          <w:b/>
          <w:bCs/>
          <w:sz w:val="48"/>
          <w:szCs w:val="48"/>
        </w:rPr>
        <w:t xml:space="preserve">Data Understanding and Measurement Basics</w:t>
      </w:r>
    </w:p>
    <w:p>
      <w:pPr>
        <w:spacing w:after="1200"/>
        <w:jc w:val="center"/>
      </w:pPr>
      <w:r>
        <w:rPr>
          <w:rFonts w:ascii="Times New Roman" w:cs="Times New Roman" w:eastAsia="Times New Roman" w:hAnsi="Times New Roman"/>
          <w:i/>
          <w:iCs/>
          <w:sz w:val="26"/>
          <w:szCs w:val="26"/>
        </w:rPr>
        <w:t xml:space="preserve">A Technical Report on Observations, Variables, and Measurement Fundamentals for Biochemistry, Electronics, and Mechanical Domain Data</w:t>
      </w:r>
    </w:p>
    <w:p>
      <w:pPr>
        <w:spacing w:after="1600"/>
      </w:pPr>
    </w:p>
    <w:p>
      <w:pPr>
        <w:spacing w:after="100"/>
        <w:jc w:val="center"/>
      </w:pPr>
      <w:r>
        <w:rPr>
          <w:rFonts w:ascii="Times New Roman" w:cs="Times New Roman" w:eastAsia="Times New Roman" w:hAnsi="Times New Roman"/>
          <w:sz w:val="24"/>
          <w:szCs w:val="24"/>
        </w:rPr>
        <w:t xml:space="preserve">Name: Siddeshwar</w:t>
      </w:r>
    </w:p>
    <w:p>
      <w:pPr>
        <w:spacing w:after="100"/>
        <w:jc w:val="center"/>
      </w:pPr>
      <w:r>
        <w:rPr>
          <w:rFonts w:ascii="Times New Roman" w:cs="Times New Roman" w:eastAsia="Times New Roman" w:hAnsi="Times New Roman"/>
          <w:sz w:val="24"/>
          <w:szCs w:val="24"/>
        </w:rPr>
        <w:t xml:space="preserve">Domain: Software / Machine Learning</w:t>
      </w:r>
    </w:p>
    <w:p>
      <w:pPr>
        <w:spacing w:after="100"/>
        <w:jc w:val="center"/>
      </w:pPr>
      <w:r>
        <w:rPr>
          <w:rFonts w:ascii="Times New Roman" w:cs="Times New Roman" w:eastAsia="Times New Roman" w:hAnsi="Times New Roman"/>
          <w:sz w:val="24"/>
          <w:szCs w:val="24"/>
        </w:rPr>
        <w:t xml:space="preserve">Task Number: Task 3 — Day 1, Week 2</w:t>
      </w:r>
    </w:p>
    <w:p>
      <w:pPr>
        <w:spacing w:after="100"/>
        <w:jc w:val="center"/>
      </w:pPr>
      <w:r>
        <w:rPr>
          <w:rFonts w:ascii="Times New Roman" w:cs="Times New Roman" w:eastAsia="Times New Roman" w:hAnsi="Times New Roman"/>
          <w:sz w:val="24"/>
          <w:szCs w:val="24"/>
        </w:rPr>
        <w:t xml:space="preserve">Repository Link: https://github.com/blackfang007/Synergy_TP</w:t>
      </w:r>
    </w:p>
    <w:p>
      <w:pPr>
        <w:spacing w:after="100"/>
        <w:jc w:val="center"/>
      </w:pPr>
      <w:r>
        <w:rPr>
          <w:rFonts w:ascii="Times New Roman" w:cs="Times New Roman" w:eastAsia="Times New Roman" w:hAnsi="Times New Roman"/>
          <w:sz w:val="24"/>
          <w:szCs w:val="24"/>
        </w:rPr>
        <w:t xml:space="preserve">Submission Date: 1 July 2026</w:t>
      </w:r>
    </w:p>
    <w:p>
      <w:r>
        <w:br w:type="page"/>
      </w:r>
    </w:p>
    <w:p>
      <w:pPr>
        <w:pStyle w:val="Heading1"/>
        <w:spacing w:after="160" w:before="280"/>
        <w:jc w:val="left"/>
      </w:pPr>
      <w:r>
        <w:rPr>
          <w:rFonts w:ascii="Times New Roman" w:cs="Times New Roman" w:eastAsia="Times New Roman" w:hAnsi="Times New Roman"/>
          <w:b/>
          <w:bCs/>
          <w:color w:val="000000"/>
          <w:sz w:val="32"/>
          <w:szCs w:val="32"/>
        </w:rPr>
        <w:t xml:space="preserve">1. Objective</w:t>
      </w:r>
    </w:p>
    <w:p>
      <w:pPr>
        <w:spacing w:after="120" w:line="276"/>
        <w:jc w:val="both"/>
      </w:pPr>
      <w:r>
        <w:rPr>
          <w:rFonts w:ascii="Times New Roman" w:cs="Times New Roman" w:eastAsia="Times New Roman" w:hAnsi="Times New Roman"/>
          <w:sz w:val="24"/>
          <w:szCs w:val="24"/>
        </w:rPr>
        <w:t xml:space="preserve">This report builds the theoretical foundation needed before any dataset from Biochemistry, Electronics, or Mechanical domains can be analyzed using tools such as pandas or visualization libraries. Before writing code, an analyst must be able to describe what a dataset actually represents: what an observation is, how variables are classified, how raw data differs from processed data, why measurement units are attached to every number, and what basic summary statistics communicate. Skipping this stage is what leads to comparisons between quantities that are not actually comparable, or conclusions drawn from a single misleading average.</w:t>
      </w:r>
    </w:p>
    <w:p>
      <w:pPr>
        <w:pStyle w:val="Heading1"/>
        <w:spacing w:after="160" w:before="280"/>
        <w:jc w:val="left"/>
      </w:pPr>
      <w:r>
        <w:rPr>
          <w:rFonts w:ascii="Times New Roman" w:cs="Times New Roman" w:eastAsia="Times New Roman" w:hAnsi="Times New Roman"/>
          <w:b/>
          <w:bCs/>
          <w:color w:val="000000"/>
          <w:sz w:val="32"/>
          <w:szCs w:val="32"/>
        </w:rPr>
        <w:t xml:space="preserve">2. Observations and Variables</w:t>
      </w:r>
    </w:p>
    <w:p>
      <w:pPr>
        <w:spacing w:after="120" w:line="276"/>
        <w:jc w:val="both"/>
      </w:pPr>
      <w:r>
        <w:rPr>
          <w:rFonts w:ascii="Times New Roman" w:cs="Times New Roman" w:eastAsia="Times New Roman" w:hAnsi="Times New Roman"/>
          <w:sz w:val="24"/>
          <w:szCs w:val="24"/>
        </w:rPr>
        <w:t xml:space="preserve">An observation is a single recorded instance — one row of a dataset — corresponding to one entity measured at one point in time or under one condition. For example, one trial of an enzyme assay, one reading from a circuit at a given load, or one tensile test on a metal sample is a single observation.</w:t>
      </w:r>
    </w:p>
    <w:p>
      <w:pPr>
        <w:spacing w:after="120" w:line="276"/>
        <w:jc w:val="both"/>
      </w:pPr>
      <w:r>
        <w:rPr>
          <w:rFonts w:ascii="Times New Roman" w:cs="Times New Roman" w:eastAsia="Times New Roman" w:hAnsi="Times New Roman"/>
          <w:sz w:val="24"/>
          <w:szCs w:val="24"/>
        </w:rPr>
        <w:t xml:space="preserve">A variable is a property that is being measured or recorded across observations — it corresponds to one column of a dataset. Temperature, voltage, and material type are all variables; the specific value recorded for one experimental run is the observation's entry for that variable. The distinction matters because statistical operations such as mean or standard deviation are computed down a variable (column), never across an observation (row), and confusing the two leads to nonsensical summaries.</w:t>
      </w:r>
    </w:p>
    <w:p>
      <w:pPr>
        <w:pStyle w:val="Heading1"/>
        <w:spacing w:after="160" w:before="280"/>
        <w:jc w:val="left"/>
      </w:pPr>
      <w:r>
        <w:rPr>
          <w:rFonts w:ascii="Times New Roman" w:cs="Times New Roman" w:eastAsia="Times New Roman" w:hAnsi="Times New Roman"/>
          <w:b/>
          <w:bCs/>
          <w:color w:val="000000"/>
          <w:sz w:val="32"/>
          <w:szCs w:val="32"/>
        </w:rPr>
        <w:t xml:space="preserve">3. Categorical and Numerical Data</w:t>
      </w:r>
    </w:p>
    <w:p>
      <w:pPr>
        <w:spacing w:after="120" w:line="276"/>
        <w:jc w:val="both"/>
      </w:pPr>
      <w:r>
        <w:rPr>
          <w:rFonts w:ascii="Times New Roman" w:cs="Times New Roman" w:eastAsia="Times New Roman" w:hAnsi="Times New Roman"/>
          <w:sz w:val="24"/>
          <w:szCs w:val="24"/>
        </w:rPr>
        <w:t xml:space="preserve">Categorical data records a label, group, or class rather than a measurable quantity. It answers "what type" or "which group," and arithmetic operations such as averaging do not apply to it — for example, a material labelled "Type A" or "Type B" cannot be averaged. Categorical data may still be ordered (such as low/medium/high load) or unordered (such as control/heated), and this distinction affects which statistical tests are valid later.</w:t>
      </w:r>
    </w:p>
    <w:p>
      <w:pPr>
        <w:spacing w:after="120" w:line="276"/>
        <w:jc w:val="both"/>
      </w:pPr>
      <w:r>
        <w:rPr>
          <w:rFonts w:ascii="Times New Roman" w:cs="Times New Roman" w:eastAsia="Times New Roman" w:hAnsi="Times New Roman"/>
          <w:sz w:val="24"/>
          <w:szCs w:val="24"/>
        </w:rPr>
        <w:t xml:space="preserve">Numerical data records a measured quantity that carries a magnitude and, almost always, a unit. It supports arithmetic operations such as averaging, differencing, and scaling. Numerical data is further split into discrete values (countable, such as number of trials) and continuous values (measured on a scale, such as voltage or pH), which again affects which analysis methods are appropriate.</w:t>
      </w:r>
    </w:p>
    <w:p>
      <w:pPr>
        <w:pStyle w:val="Heading1"/>
        <w:spacing w:after="160" w:before="280"/>
        <w:jc w:val="left"/>
      </w:pPr>
      <w:r>
        <w:rPr>
          <w:rFonts w:ascii="Times New Roman" w:cs="Times New Roman" w:eastAsia="Times New Roman" w:hAnsi="Times New Roman"/>
          <w:b/>
          <w:bCs/>
          <w:color w:val="000000"/>
          <w:sz w:val="32"/>
          <w:szCs w:val="32"/>
        </w:rPr>
        <w:t xml:space="preserve">4. Domain Examples</w:t>
      </w:r>
    </w:p>
    <w:p>
      <w:pPr>
        <w:spacing w:after="120" w:line="276"/>
        <w:jc w:val="both"/>
      </w:pPr>
      <w:r>
        <w:rPr>
          <w:rFonts w:ascii="Times New Roman" w:cs="Times New Roman" w:eastAsia="Times New Roman" w:hAnsi="Times New Roman"/>
          <w:sz w:val="24"/>
          <w:szCs w:val="24"/>
        </w:rPr>
        <w:t xml:space="preserve">The table below gives one categorical and one numerical example from each of the three domains relevant to this task, along with a short note on why the associated unit or context cannot be ignored.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50"/>
      </w:tblGrid>
      <w:tr>
        <w:trPr>
          <w:tblHeader/>
        </w:trPr>
        <w:tc>
          <w:tcPr>
            <w:tcW w:type="dxa" w:w="16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Domain</w:t>
            </w:r>
          </w:p>
        </w:tc>
        <w:tc>
          <w:tcPr>
            <w:tcW w:type="dxa" w:w="22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Categorical Example</w:t>
            </w:r>
          </w:p>
        </w:tc>
        <w:tc>
          <w:tcPr>
            <w:tcW w:type="dxa" w:w="220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Numerical Example</w:t>
            </w:r>
          </w:p>
        </w:tc>
        <w:tc>
          <w:tcPr>
            <w:tcW w:type="dxa" w:w="3350"/>
            <w:shd w:fill="D9D9D9" w:val="clear"/>
            <w:tcMar>
              <w:top w:type="dxa" w:w="80"/>
              <w:left w:type="dxa" w:w="100"/>
              <w:bottom w:type="dxa" w:w="80"/>
              <w:right w:type="dxa" w:w="100"/>
            </w:tcMar>
          </w:tcPr>
          <w:p>
            <w:pPr>
              <w:jc w:val="left"/>
            </w:pPr>
            <w:r>
              <w:rPr>
                <w:rFonts w:ascii="Times New Roman" w:cs="Times New Roman" w:eastAsia="Times New Roman" w:hAnsi="Times New Roman"/>
                <w:b/>
                <w:bCs/>
                <w:sz w:val="20"/>
                <w:szCs w:val="20"/>
              </w:rPr>
              <w:t xml:space="preserve">Why Unit / Context Matters</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Biochemistry</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Sample condition: control or heated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pH, concentration (mM), absorbance (AU)</w:t>
            </w:r>
          </w:p>
        </w:tc>
        <w:tc>
          <w:tcPr>
            <w:tcW w:type="dxa" w:w="335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 pH of 7 and a voltage of 7 V are numerically identical but physically unrelated; the unit defines what the number means.</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Electronics</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Load type: low load or high load</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Voltage (V), current (mA), resistance (Ω)</w:t>
            </w:r>
          </w:p>
        </w:tc>
        <w:tc>
          <w:tcPr>
            <w:tcW w:type="dxa" w:w="335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5 V and 5 mA are both "5" but represent different physical quantities and cannot be added or compared directly.</w:t>
            </w:r>
          </w:p>
        </w:tc>
      </w:tr>
      <w:tr>
        <w:tc>
          <w:tcPr>
            <w:tcW w:type="dxa" w:w="16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Mechanical</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Material type: A or B</w:t>
            </w:r>
          </w:p>
        </w:tc>
        <w:tc>
          <w:tcPr>
            <w:tcW w:type="dxa" w:w="220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Force (N), strain (dimensionless), displacement (mm)</w:t>
            </w:r>
          </w:p>
        </w:tc>
        <w:tc>
          <w:tcPr>
            <w:tcW w:type="dxa" w:w="3350"/>
            <w:tcMar>
              <w:top w:type="dxa" w:w="80"/>
              <w:left w:type="dxa" w:w="100"/>
              <w:bottom w:type="dxa" w:w="80"/>
              <w:right w:type="dxa" w:w="100"/>
            </w:tcMar>
          </w:tcPr>
          <w:p>
            <w:pPr>
              <w:jc w:val="left"/>
            </w:pPr>
            <w:r>
              <w:rPr>
                <w:rFonts w:ascii="Times New Roman" w:cs="Times New Roman" w:eastAsia="Times New Roman" w:hAnsi="Times New Roman"/>
                <w:b w:val="false"/>
                <w:bCs w:val="false"/>
                <w:sz w:val="20"/>
                <w:szCs w:val="20"/>
              </w:rPr>
              <w:t xml:space="preserve">A value of 120 N describes force, not a score or percentage; dropping the unit strips the number of physical meaning.</w:t>
            </w:r>
          </w:p>
        </w:tc>
      </w:tr>
    </w:tbl>
    <w:p>
      <w:pPr>
        <w:spacing w:after="200" w:before="60"/>
        <w:jc w:val="center"/>
      </w:pPr>
      <w:r>
        <w:rPr>
          <w:rFonts w:ascii="Times New Roman" w:cs="Times New Roman" w:eastAsia="Times New Roman" w:hAnsi="Times New Roman"/>
          <w:i/>
          <w:iCs/>
          <w:sz w:val="20"/>
          <w:szCs w:val="20"/>
        </w:rPr>
        <w:t xml:space="preserve">Table 1: Categorical and numerical examples across the three domains.</w:t>
      </w:r>
    </w:p>
    <w:p>
      <w:pPr>
        <w:pStyle w:val="Heading1"/>
        <w:spacing w:after="160" w:before="280"/>
        <w:jc w:val="left"/>
      </w:pPr>
      <w:r>
        <w:rPr>
          <w:rFonts w:ascii="Times New Roman" w:cs="Times New Roman" w:eastAsia="Times New Roman" w:hAnsi="Times New Roman"/>
          <w:b/>
          <w:bCs/>
          <w:color w:val="000000"/>
          <w:sz w:val="32"/>
          <w:szCs w:val="32"/>
        </w:rPr>
        <w:t xml:space="preserve">5. Raw Data and Processed Data</w:t>
      </w:r>
    </w:p>
    <w:p>
      <w:pPr>
        <w:spacing w:after="120" w:line="276"/>
        <w:jc w:val="both"/>
      </w:pPr>
      <w:r>
        <w:rPr>
          <w:rFonts w:ascii="Times New Roman" w:cs="Times New Roman" w:eastAsia="Times New Roman" w:hAnsi="Times New Roman"/>
          <w:sz w:val="24"/>
          <w:szCs w:val="24"/>
        </w:rPr>
        <w:t xml:space="preserve">Raw data is the data exactly as it was collected from an instrument, sensor, survey, or experiment, before any cleaning, transformation, or calculation has been applied. It may contain noise, missing entries, duplicate rows, or values recorded in inconsistent units. Processed data is raw data that has gone through cleaning and transformation steps — unit conversion, outlier handling, aggregation, normalization — so that it is ready for analysis or modelling. Knowing which stage a dataset is in is essential: applying analysis techniques meant for processed data directly to raw data can produce results that look valid but are built on unresolved errors.</w:t>
      </w:r>
    </w:p>
    <w:p>
      <w:pPr>
        <w:pStyle w:val="Heading1"/>
        <w:spacing w:after="160" w:before="280"/>
        <w:jc w:val="left"/>
      </w:pPr>
      <w:r>
        <w:rPr>
          <w:rFonts w:ascii="Times New Roman" w:cs="Times New Roman" w:eastAsia="Times New Roman" w:hAnsi="Times New Roman"/>
          <w:b/>
          <w:bCs/>
          <w:color w:val="000000"/>
          <w:sz w:val="32"/>
          <w:szCs w:val="32"/>
        </w:rPr>
        <w:t xml:space="preserve">6. Measurement Units and Why They Matter</w:t>
      </w:r>
    </w:p>
    <w:p>
      <w:pPr>
        <w:spacing w:after="120" w:line="276"/>
        <w:jc w:val="both"/>
      </w:pPr>
      <w:r>
        <w:rPr>
          <w:rFonts w:ascii="Times New Roman" w:cs="Times New Roman" w:eastAsia="Times New Roman" w:hAnsi="Times New Roman"/>
          <w:sz w:val="24"/>
          <w:szCs w:val="24"/>
        </w:rPr>
        <w:t xml:space="preserve">A measurement unit is the defined standard quantity against which a measured value is expressed — volts for voltage, newtons for force, moles per litre for concentration. A number without its unit is incomplete: "120" means nothing on its own, but "120 N" specifies a force of a particular magnitude. Units also carry the scale of measurement (milli-, kilo-, and so on), and analysts must confirm that every value in a variable is recorded on the same scale before combining or comparing them.</w:t>
      </w:r>
    </w:p>
    <w:p>
      <w:pPr>
        <w:pStyle w:val="Heading1"/>
        <w:spacing w:after="160" w:before="280"/>
        <w:jc w:val="left"/>
      </w:pPr>
      <w:r>
        <w:rPr>
          <w:rFonts w:ascii="Times New Roman" w:cs="Times New Roman" w:eastAsia="Times New Roman" w:hAnsi="Times New Roman"/>
          <w:b/>
          <w:bCs/>
          <w:color w:val="000000"/>
          <w:sz w:val="32"/>
          <w:szCs w:val="32"/>
        </w:rPr>
        <w:t xml:space="preserve">7. Why Comparing Values Across Units Is Dangerous</w:t>
      </w:r>
    </w:p>
    <w:p>
      <w:pPr>
        <w:spacing w:after="120" w:line="276"/>
        <w:jc w:val="both"/>
      </w:pPr>
      <w:r>
        <w:rPr>
          <w:rFonts w:ascii="Times New Roman" w:cs="Times New Roman" w:eastAsia="Times New Roman" w:hAnsi="Times New Roman"/>
          <w:sz w:val="24"/>
          <w:szCs w:val="24"/>
        </w:rPr>
        <w:t xml:space="preserve">Two numbers with the same magnitude but different units describe different physical quantities, and treating them as comparable produces meaningless or misleading conclusions. Comparing a pH reading of 7 to a voltage reading of 7 V, or a resistance of 5 Ω to a current of 5 mA, ignores that the underlying quantities are not on the same scale or even the same physical dimension. This risk also appears in more subtle forms — for instance, comparing concentration values recorded in mM against others recorded in µM without converting first, which silently introduces a thousand-fold error. Every comparison must first confirm that units match or have been explicitly converted.</w:t>
      </w:r>
    </w:p>
    <w:p>
      <w:pPr>
        <w:pStyle w:val="Heading1"/>
        <w:spacing w:after="160" w:before="280"/>
        <w:jc w:val="left"/>
      </w:pPr>
      <w:r>
        <w:rPr>
          <w:rFonts w:ascii="Times New Roman" w:cs="Times New Roman" w:eastAsia="Times New Roman" w:hAnsi="Times New Roman"/>
          <w:b/>
          <w:bCs/>
          <w:color w:val="000000"/>
          <w:sz w:val="32"/>
          <w:szCs w:val="32"/>
        </w:rPr>
        <w:t xml:space="preserve">8. Basic Summary Statistics</w:t>
      </w:r>
    </w:p>
    <w:p>
      <w:pPr>
        <w:spacing w:after="120" w:line="276"/>
        <w:jc w:val="both"/>
      </w:pPr>
      <w:r>
        <w:rPr>
          <w:rFonts w:ascii="Times New Roman" w:cs="Times New Roman" w:eastAsia="Times New Roman" w:hAnsi="Times New Roman"/>
          <w:sz w:val="24"/>
          <w:szCs w:val="24"/>
        </w:rPr>
        <w:t xml:space="preserve">Mean is the arithmetic average of all values in a variable, calculated by summing the values and dividing by the count. Median is the middle value when all observations are sorted in order, splitting the dataset into two equal halves. Minimum and maximum are the smallest and largest recorded values in a variable. Range is the difference between the maximum and minimum, giving a first sense of how spread out the data is.</w:t>
      </w:r>
    </w:p>
    <w:p>
      <w:pPr>
        <w:pStyle w:val="Heading2"/>
        <w:spacing w:after="120" w:before="200"/>
        <w:jc w:val="left"/>
      </w:pPr>
      <w:r>
        <w:rPr>
          <w:rFonts w:ascii="Times New Roman" w:cs="Times New Roman" w:eastAsia="Times New Roman" w:hAnsi="Times New Roman"/>
          <w:b/>
          <w:bCs/>
          <w:color w:val="000000"/>
          <w:sz w:val="28"/>
          <w:szCs w:val="28"/>
        </w:rPr>
        <w:t xml:space="preserve">8.1 When the Mean Can Be Misleading</w:t>
      </w:r>
    </w:p>
    <w:p>
      <w:pPr>
        <w:spacing w:after="120" w:line="276"/>
        <w:jc w:val="both"/>
      </w:pPr>
      <w:r>
        <w:rPr>
          <w:rFonts w:ascii="Times New Roman" w:cs="Times New Roman" w:eastAsia="Times New Roman" w:hAnsi="Times New Roman"/>
          <w:sz w:val="24"/>
          <w:szCs w:val="24"/>
        </w:rPr>
        <w:t xml:space="preserve">The mean is sensitive to extreme values (outliers) and to skewed distributions. A single unusually high or low reading — caused, for instance, by a sensor fault or a contaminated sample — can pull the mean away from where most of the data actually sits, while the median remains largely unaffected. For this reason, the mean alone should never be reported without also checking the median, the range, and the shape of the distribution, particularly for small sample sizes where one anomalous observation carries disproportionate weight.</w:t>
      </w:r>
    </w:p>
    <w:p>
      <w:pPr>
        <w:pStyle w:val="Heading1"/>
        <w:spacing w:after="160" w:before="280"/>
        <w:jc w:val="left"/>
      </w:pPr>
      <w:r>
        <w:rPr>
          <w:rFonts w:ascii="Times New Roman" w:cs="Times New Roman" w:eastAsia="Times New Roman" w:hAnsi="Times New Roman"/>
          <w:b/>
          <w:bCs/>
          <w:color w:val="000000"/>
          <w:sz w:val="32"/>
          <w:szCs w:val="32"/>
        </w:rPr>
        <w:t xml:space="preserve">9. Checks Required Before Analyzing a Dataset</w:t>
      </w:r>
    </w:p>
    <w:p>
      <w:pPr>
        <w:spacing w:after="120" w:line="276"/>
        <w:jc w:val="both"/>
      </w:pPr>
      <w:r>
        <w:rPr>
          <w:rFonts w:ascii="Times New Roman" w:cs="Times New Roman" w:eastAsia="Times New Roman" w:hAnsi="Times New Roman"/>
          <w:sz w:val="24"/>
          <w:szCs w:val="24"/>
        </w:rPr>
        <w:t xml:space="preserve">Before any formal analysis begins, a dataset should be inspected for the following:</w:t>
      </w:r>
    </w:p>
    <w:p>
      <w:pPr>
        <w:pStyle w:val="ListParagraph"/>
        <w:numPr>
          <w:ilvl w:val="0"/>
          <w:numId w:val="2"/>
        </w:numPr>
        <w:spacing w:after="80" w:line="276"/>
      </w:pPr>
      <w:r>
        <w:rPr>
          <w:rFonts w:ascii="Times New Roman" w:cs="Times New Roman" w:eastAsia="Times New Roman" w:hAnsi="Times New Roman"/>
          <w:sz w:val="24"/>
          <w:szCs w:val="24"/>
        </w:rPr>
        <w:t xml:space="preserve">Column names and what variable each one actually represents.</w:t>
      </w:r>
    </w:p>
    <w:p>
      <w:pPr>
        <w:pStyle w:val="ListParagraph"/>
        <w:numPr>
          <w:ilvl w:val="0"/>
          <w:numId w:val="2"/>
        </w:numPr>
        <w:spacing w:after="80" w:line="276"/>
      </w:pPr>
      <w:r>
        <w:rPr>
          <w:rFonts w:ascii="Times New Roman" w:cs="Times New Roman" w:eastAsia="Times New Roman" w:hAnsi="Times New Roman"/>
          <w:sz w:val="24"/>
          <w:szCs w:val="24"/>
        </w:rPr>
        <w:t xml:space="preserve">The unit attached to every numerical variable, and whether units are consistent across all rows.</w:t>
      </w:r>
    </w:p>
    <w:p>
      <w:pPr>
        <w:pStyle w:val="ListParagraph"/>
        <w:numPr>
          <w:ilvl w:val="0"/>
          <w:numId w:val="2"/>
        </w:numPr>
        <w:spacing w:after="80" w:line="276"/>
      </w:pPr>
      <w:r>
        <w:rPr>
          <w:rFonts w:ascii="Times New Roman" w:cs="Times New Roman" w:eastAsia="Times New Roman" w:hAnsi="Times New Roman"/>
          <w:sz w:val="24"/>
          <w:szCs w:val="24"/>
        </w:rPr>
        <w:t xml:space="preserve">The data type of each column — whether it is categorical or numerical, and whether numerical columns are stored as text by mistake.</w:t>
      </w:r>
    </w:p>
    <w:p>
      <w:pPr>
        <w:pStyle w:val="ListParagraph"/>
        <w:numPr>
          <w:ilvl w:val="0"/>
          <w:numId w:val="2"/>
        </w:numPr>
        <w:spacing w:after="80" w:line="276"/>
      </w:pPr>
      <w:r>
        <w:rPr>
          <w:rFonts w:ascii="Times New Roman" w:cs="Times New Roman" w:eastAsia="Times New Roman" w:hAnsi="Times New Roman"/>
          <w:sz w:val="24"/>
          <w:szCs w:val="24"/>
        </w:rPr>
        <w:t xml:space="preserve">Missing values, duplicate rows, and placeholder entries (such as "NA" or "-1" used to mean missing).</w:t>
      </w:r>
    </w:p>
    <w:p>
      <w:pPr>
        <w:pStyle w:val="ListParagraph"/>
        <w:numPr>
          <w:ilvl w:val="0"/>
          <w:numId w:val="2"/>
        </w:numPr>
        <w:spacing w:after="80" w:line="276"/>
      </w:pPr>
      <w:r>
        <w:rPr>
          <w:rFonts w:ascii="Times New Roman" w:cs="Times New Roman" w:eastAsia="Times New Roman" w:hAnsi="Times New Roman"/>
          <w:sz w:val="24"/>
          <w:szCs w:val="24"/>
        </w:rPr>
        <w:t xml:space="preserve">The experimental or measurement condition under which each observation was recorded, since combining data from different conditions without labelling them separately can hide real effects.</w:t>
      </w:r>
    </w:p>
    <w:p>
      <w:pPr>
        <w:pStyle w:val="ListParagraph"/>
        <w:numPr>
          <w:ilvl w:val="0"/>
          <w:numId w:val="2"/>
        </w:numPr>
        <w:spacing w:after="80" w:line="276"/>
      </w:pPr>
      <w:r>
        <w:rPr>
          <w:rFonts w:ascii="Times New Roman" w:cs="Times New Roman" w:eastAsia="Times New Roman" w:hAnsi="Times New Roman"/>
          <w:sz w:val="24"/>
          <w:szCs w:val="24"/>
        </w:rPr>
        <w:t xml:space="preserve">Whether the data is raw or already processed, and what processing, if any, has already been applied.</w:t>
      </w:r>
    </w:p>
    <w:p>
      <w:pPr>
        <w:pStyle w:val="Heading1"/>
        <w:spacing w:after="160" w:before="280"/>
        <w:jc w:val="left"/>
      </w:pPr>
      <w:r>
        <w:rPr>
          <w:rFonts w:ascii="Times New Roman" w:cs="Times New Roman" w:eastAsia="Times New Roman" w:hAnsi="Times New Roman"/>
          <w:b/>
          <w:bCs/>
          <w:color w:val="000000"/>
          <w:sz w:val="32"/>
          <w:szCs w:val="32"/>
        </w:rPr>
        <w:t xml:space="preserve">10. Questions to Ask Before Analyzing Domain Data from Another Team</w:t>
      </w:r>
    </w:p>
    <w:p>
      <w:pPr>
        <w:spacing w:after="120" w:line="276"/>
        <w:jc w:val="both"/>
      </w:pPr>
      <w:r>
        <w:rPr>
          <w:rFonts w:ascii="Times New Roman" w:cs="Times New Roman" w:eastAsia="Times New Roman" w:hAnsi="Times New Roman"/>
          <w:sz w:val="24"/>
          <w:szCs w:val="24"/>
        </w:rPr>
        <w:t xml:space="preserve">When a dataset is received from another team rather than collected directly, additional context is needed before it can be trusted:</w:t>
      </w:r>
    </w:p>
    <w:p>
      <w:pPr>
        <w:pStyle w:val="ListParagraph"/>
        <w:numPr>
          <w:ilvl w:val="0"/>
          <w:numId w:val="3"/>
        </w:numPr>
        <w:spacing w:after="80" w:line="276"/>
      </w:pPr>
      <w:r>
        <w:rPr>
          <w:rFonts w:ascii="Times New Roman" w:cs="Times New Roman" w:eastAsia="Times New Roman" w:hAnsi="Times New Roman"/>
          <w:sz w:val="24"/>
          <w:szCs w:val="24"/>
        </w:rPr>
        <w:t xml:space="preserve">What does each column represent, and what unit is each numerical column recorded in?</w:t>
      </w:r>
    </w:p>
    <w:p>
      <w:pPr>
        <w:pStyle w:val="ListParagraph"/>
        <w:numPr>
          <w:ilvl w:val="0"/>
          <w:numId w:val="3"/>
        </w:numPr>
        <w:spacing w:after="80" w:line="276"/>
      </w:pPr>
      <w:r>
        <w:rPr>
          <w:rFonts w:ascii="Times New Roman" w:cs="Times New Roman" w:eastAsia="Times New Roman" w:hAnsi="Times New Roman"/>
          <w:sz w:val="24"/>
          <w:szCs w:val="24"/>
        </w:rPr>
        <w:t xml:space="preserve">Under what conditions (equipment, environment, protocol, calibration) was the data collected?</w:t>
      </w:r>
    </w:p>
    <w:p>
      <w:pPr>
        <w:pStyle w:val="ListParagraph"/>
        <w:numPr>
          <w:ilvl w:val="0"/>
          <w:numId w:val="3"/>
        </w:numPr>
        <w:spacing w:after="80" w:line="276"/>
      </w:pPr>
      <w:r>
        <w:rPr>
          <w:rFonts w:ascii="Times New Roman" w:cs="Times New Roman" w:eastAsia="Times New Roman" w:hAnsi="Times New Roman"/>
          <w:sz w:val="24"/>
          <w:szCs w:val="24"/>
        </w:rPr>
        <w:t xml:space="preserve">Has any cleaning, filtering, or transformation already been applied to this data?</w:t>
      </w:r>
    </w:p>
    <w:p>
      <w:pPr>
        <w:pStyle w:val="ListParagraph"/>
        <w:numPr>
          <w:ilvl w:val="0"/>
          <w:numId w:val="3"/>
        </w:numPr>
        <w:spacing w:after="80" w:line="276"/>
      </w:pPr>
      <w:r>
        <w:rPr>
          <w:rFonts w:ascii="Times New Roman" w:cs="Times New Roman" w:eastAsia="Times New Roman" w:hAnsi="Times New Roman"/>
          <w:sz w:val="24"/>
          <w:szCs w:val="24"/>
        </w:rPr>
        <w:t xml:space="preserve">Are there known issues — missing values, faulty readings, sensor drift — that the collecting team is already aware of?</w:t>
      </w:r>
    </w:p>
    <w:p>
      <w:pPr>
        <w:pStyle w:val="ListParagraph"/>
        <w:numPr>
          <w:ilvl w:val="0"/>
          <w:numId w:val="3"/>
        </w:numPr>
        <w:spacing w:after="80" w:line="276"/>
      </w:pPr>
      <w:r>
        <w:rPr>
          <w:rFonts w:ascii="Times New Roman" w:cs="Times New Roman" w:eastAsia="Times New Roman" w:hAnsi="Times New Roman"/>
          <w:sz w:val="24"/>
          <w:szCs w:val="24"/>
        </w:rPr>
        <w:t xml:space="preserve">Is this the complete dataset, or a subset, and if a subset, how was it selected?</w:t>
      </w:r>
    </w:p>
    <w:p>
      <w:pPr>
        <w:pStyle w:val="ListParagraph"/>
        <w:numPr>
          <w:ilvl w:val="0"/>
          <w:numId w:val="3"/>
        </w:numPr>
        <w:spacing w:after="80" w:line="276"/>
      </w:pPr>
      <w:r>
        <w:rPr>
          <w:rFonts w:ascii="Times New Roman" w:cs="Times New Roman" w:eastAsia="Times New Roman" w:hAnsi="Times New Roman"/>
          <w:sz w:val="24"/>
          <w:szCs w:val="24"/>
        </w:rPr>
        <w:t xml:space="preserve">What was the original purpose of collecting this data, since that purpose can introduce selection bias relevant to a different analysis goal?</w:t>
      </w:r>
    </w:p>
    <w:p>
      <w:pPr>
        <w:pStyle w:val="Heading1"/>
        <w:spacing w:after="160" w:before="280"/>
        <w:jc w:val="left"/>
      </w:pPr>
      <w:r>
        <w:rPr>
          <w:rFonts w:ascii="Times New Roman" w:cs="Times New Roman" w:eastAsia="Times New Roman" w:hAnsi="Times New Roman"/>
          <w:b/>
          <w:bCs/>
          <w:color w:val="000000"/>
          <w:sz w:val="32"/>
          <w:szCs w:val="32"/>
        </w:rPr>
        <w:t xml:space="preserve">11. Conclusion</w:t>
      </w:r>
    </w:p>
    <w:p>
      <w:pPr>
        <w:spacing w:after="120" w:line="276"/>
        <w:jc w:val="both"/>
      </w:pPr>
      <w:r>
        <w:rPr>
          <w:rFonts w:ascii="Times New Roman" w:cs="Times New Roman" w:eastAsia="Times New Roman" w:hAnsi="Times New Roman"/>
          <w:sz w:val="24"/>
          <w:szCs w:val="24"/>
        </w:rPr>
        <w:t xml:space="preserve">A dataset is not simply a table of numbers; each value is only meaningful when tied to its variable name, its measurement unit, the condition under which it was recorded, and the domain it comes from. Distinguishing observations from variables, categorical from numerical data, and raw from processed data, together with a disciplined set of pre-analysis checks, is the foundation that must be in place before any statistical summary, visualization, or model is built. This report has laid out that foundation as a basis for the pandas- and visualization-focused work planned later in this module.</w:t>
      </w:r>
    </w:p>
    <w:p>
      <w:pPr>
        <w:pStyle w:val="Heading1"/>
        <w:spacing w:after="160" w:before="280"/>
        <w:jc w:val="left"/>
      </w:pPr>
      <w:r>
        <w:rPr>
          <w:rFonts w:ascii="Times New Roman" w:cs="Times New Roman" w:eastAsia="Times New Roman" w:hAnsi="Times New Roman"/>
          <w:b/>
          <w:bCs/>
          <w:color w:val="000000"/>
          <w:sz w:val="32"/>
          <w:szCs w:val="32"/>
        </w:rPr>
        <w:t xml:space="preserve">References</w:t>
      </w:r>
    </w:p>
    <w:p>
      <w:pPr>
        <w:spacing w:after="120" w:line="276"/>
        <w:jc w:val="both"/>
      </w:pPr>
      <w:r>
        <w:rPr>
          <w:rFonts w:ascii="Times New Roman" w:cs="Times New Roman" w:eastAsia="Times New Roman" w:hAnsi="Times New Roman"/>
          <w:sz w:val="22"/>
          <w:szCs w:val="22"/>
        </w:rPr>
        <w:t xml:space="preserve">[1] Khan Academy, "Statistics and Probability," Khan Academy. [Online]. Available: https://www.khanacademy.org/math/statistics-probability</w:t>
      </w:r>
    </w:p>
    <w:p>
      <w:pPr>
        <w:spacing w:after="120" w:line="276"/>
        <w:jc w:val="both"/>
      </w:pPr>
      <w:r>
        <w:rPr>
          <w:rFonts w:ascii="Times New Roman" w:cs="Times New Roman" w:eastAsia="Times New Roman" w:hAnsi="Times New Roman"/>
          <w:sz w:val="22"/>
          <w:szCs w:val="22"/>
        </w:rPr>
        <w:t xml:space="preserve">[2] D. Diez, M. Cetinkaya-Rundel, and C. Barr, OpenIntro Statistics, 4th ed. OpenIntro, Inc. [Online]. Available: https://www.openintro.org/book/os/</w:t>
      </w:r>
    </w:p>
    <w:p>
      <w:pPr>
        <w:spacing w:after="120" w:line="276"/>
        <w:jc w:val="both"/>
      </w:pPr>
      <w:r>
        <w:rPr>
          <w:rFonts w:ascii="Times New Roman" w:cs="Times New Roman" w:eastAsia="Times New Roman" w:hAnsi="Times New Roman"/>
          <w:sz w:val="22"/>
          <w:szCs w:val="22"/>
        </w:rPr>
        <w:t xml:space="preserve">[3] National Institute of Standards and Technology, "Exploratory Data Analysis," NIST/SEMATECH e-Handbook of Statistical Methods. [Online]. Available: https://www.itl.nist.gov/div898/handbook/eda/eda.htm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2026-07-02T12:47:08.627Z</dcterms:created>
  <dcterms:modified xsi:type="dcterms:W3CDTF">2026-07-02T12:47:08.641Z</dcterms:modified>
</cp:coreProperties>
</file>

<file path=docProps/custom.xml><?xml version="1.0" encoding="utf-8"?>
<Properties xmlns="http://schemas.openxmlformats.org/officeDocument/2006/custom-properties" xmlns:vt="http://schemas.openxmlformats.org/officeDocument/2006/docPropsVTypes"/>
</file>