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77C9" w14:textId="77777777" w:rsidR="0060616C" w:rsidRPr="0060616C" w:rsidRDefault="0060616C" w:rsidP="0060616C">
      <w:pPr>
        <w:pStyle w:val="a3"/>
        <w:rPr>
          <w:color w:val="000000"/>
          <w:sz w:val="36"/>
        </w:rPr>
      </w:pPr>
      <w:r w:rsidRPr="0060616C">
        <w:rPr>
          <w:color w:val="000000"/>
          <w:sz w:val="36"/>
        </w:rPr>
        <w:t>T11图文表格手册</w:t>
      </w:r>
    </w:p>
    <w:p w14:paraId="2E520A46" w14:textId="77777777" w:rsidR="0060616C" w:rsidRPr="0060616C" w:rsidRDefault="0060616C" w:rsidP="0060616C">
      <w:pPr>
        <w:spacing w:after="120"/>
        <w:rPr>
          <w:rFonts w:ascii="Calibri" w:eastAsia="微软雅黑" w:hAnsi="Calibri" w:cs="Calibri"/>
        </w:rPr>
      </w:pPr>
      <w:r w:rsidRPr="0060616C">
        <w:rPr>
          <w:rFonts w:ascii="Calibri" w:eastAsia="微软雅黑" w:hAnsi="Calibri" w:cs="Calibri" w:hint="eastAsia"/>
        </w:rPr>
        <w:t>本文全部为虚构测试材料，不用于实际管理。</w:t>
      </w:r>
    </w:p>
    <w:p w14:paraId="1C60F85F" w14:textId="77777777" w:rsidR="0060616C" w:rsidRPr="0060616C" w:rsidRDefault="0060616C" w:rsidP="0060616C">
      <w:pPr>
        <w:spacing w:after="120"/>
        <w:rPr>
          <w:rFonts w:ascii="Calibri" w:eastAsia="微软雅黑" w:hAnsi="Calibri" w:cs="Calibri"/>
        </w:rPr>
      </w:pPr>
      <w:r w:rsidRPr="0060616C">
        <w:rPr>
          <w:rFonts w:ascii="Calibri" w:eastAsia="微软雅黑" w:hAnsi="Calibri" w:cs="Calibri" w:hint="eastAsia"/>
        </w:rPr>
        <w:t>虚构澄星公司图文表格手册</w:t>
      </w:r>
    </w:p>
    <w:p w14:paraId="4F251F4A" w14:textId="77777777" w:rsidR="0060616C" w:rsidRPr="0060616C" w:rsidRDefault="0060616C" w:rsidP="0060616C">
      <w:pPr>
        <w:pStyle w:val="1"/>
        <w:rPr>
          <w:rFonts w:eastAsia="微软雅黑"/>
          <w:color w:val="000000"/>
          <w:sz w:val="26"/>
        </w:rPr>
      </w:pPr>
      <w:r w:rsidRPr="0060616C">
        <w:rPr>
          <w:rFonts w:eastAsia="微软雅黑" w:hint="eastAsia"/>
          <w:color w:val="000000"/>
          <w:sz w:val="26"/>
        </w:rPr>
        <w:t>第一章</w:t>
      </w:r>
      <w:r w:rsidRPr="0060616C">
        <w:rPr>
          <w:rFonts w:eastAsia="微软雅黑"/>
          <w:color w:val="000000"/>
          <w:sz w:val="26"/>
        </w:rPr>
        <w:t xml:space="preserve"> </w:t>
      </w:r>
      <w:r w:rsidRPr="0060616C">
        <w:rPr>
          <w:rFonts w:eastAsia="微软雅黑"/>
          <w:color w:val="000000"/>
          <w:sz w:val="26"/>
        </w:rPr>
        <w:t>考勤补正</w:t>
      </w:r>
    </w:p>
    <w:p w14:paraId="5E2E3E5C" w14:textId="77777777" w:rsidR="0060616C" w:rsidRPr="0060616C" w:rsidRDefault="0060616C" w:rsidP="0060616C">
      <w:pPr>
        <w:spacing w:after="120"/>
        <w:rPr>
          <w:rFonts w:ascii="Calibri" w:eastAsia="微软雅黑" w:hAnsi="Calibri" w:cs="Calibri"/>
        </w:rPr>
      </w:pPr>
      <w:r w:rsidRPr="0060616C">
        <w:rPr>
          <w:rFonts w:ascii="Calibri" w:eastAsia="微软雅黑" w:hAnsi="Calibri" w:cs="Calibri" w:hint="eastAsia"/>
        </w:rPr>
        <w:t>补正规则详见下表；后附图片也是本制度正文，两者同日起适用。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60616C" w14:paraId="101BCA05" w14:textId="77777777" w:rsidTr="006061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</w:tcPr>
          <w:p w14:paraId="32DBBE67" w14:textId="3912B518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事项</w:t>
            </w:r>
          </w:p>
        </w:tc>
        <w:tc>
          <w:tcPr>
            <w:tcW w:w="5040" w:type="dxa"/>
          </w:tcPr>
          <w:p w14:paraId="33243BED" w14:textId="1DBA2540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公司制度内容</w:t>
            </w:r>
          </w:p>
        </w:tc>
      </w:tr>
      <w:tr w:rsidR="0060616C" w14:paraId="08038462" w14:textId="77777777" w:rsidTr="0060616C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521C9E8" w14:textId="0933BF53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补正时限</w:t>
            </w:r>
          </w:p>
        </w:tc>
        <w:tc>
          <w:tcPr>
            <w:tcW w:w="5040" w:type="dxa"/>
          </w:tcPr>
          <w:p w14:paraId="4C4B8393" w14:textId="213F9A09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员工忘打卡可在三个工作日内补正。</w:t>
            </w:r>
          </w:p>
        </w:tc>
      </w:tr>
      <w:tr w:rsidR="0060616C" w14:paraId="4D93C5A9" w14:textId="77777777" w:rsidTr="0060616C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9FA5F40" w14:textId="20051EAB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实际出勤</w:t>
            </w:r>
          </w:p>
        </w:tc>
        <w:tc>
          <w:tcPr>
            <w:tcW w:w="5040" w:type="dxa"/>
          </w:tcPr>
          <w:p w14:paraId="6524BDD7" w14:textId="7F763FF6" w:rsidR="0060616C" w:rsidRDefault="0060616C" w:rsidP="0060616C">
            <w:pPr>
              <w:spacing w:after="120"/>
              <w:rPr>
                <w:rFonts w:ascii="Calibri" w:eastAsia="微软雅黑" w:hAnsi="Calibri" w:cs="Calibri"/>
              </w:rPr>
            </w:pPr>
            <w:r>
              <w:rPr>
                <w:rFonts w:ascii="Calibri" w:eastAsia="微软雅黑" w:hAnsi="Calibri" w:cs="Calibri" w:hint="eastAsia"/>
              </w:rPr>
              <w:t>核实出勤后更正，不能直接认定旷工。</w:t>
            </w:r>
          </w:p>
        </w:tc>
      </w:tr>
    </w:tbl>
    <w:p w14:paraId="2F1B3F84" w14:textId="45B5E3C9" w:rsidR="000E3A61" w:rsidRPr="0060616C" w:rsidRDefault="0060616C" w:rsidP="0060616C">
      <w:pPr>
        <w:spacing w:after="120"/>
        <w:rPr>
          <w:rFonts w:ascii="Calibri" w:eastAsia="微软雅黑" w:hAnsi="Calibri" w:cs="Calibri"/>
        </w:rPr>
      </w:pPr>
      <w:r>
        <w:rPr>
          <w:rFonts w:ascii="Calibri" w:eastAsia="微软雅黑" w:hAnsi="Calibri" w:cs="Calibri"/>
          <w:noProof/>
        </w:rPr>
        <w:drawing>
          <wp:inline distT="0" distB="0" distL="0" distR="0" wp14:anchorId="6DF064C4" wp14:editId="461B0601">
            <wp:extent cx="6223000" cy="2057400"/>
            <wp:effectExtent l="0" t="0" r="6350" b="0"/>
            <wp:docPr id="13604241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A61" w:rsidRPr="0060616C" w:rsidSect="0060616C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6C"/>
    <w:rsid w:val="000E3A61"/>
    <w:rsid w:val="0059784F"/>
    <w:rsid w:val="0060616C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44C0"/>
  <w15:chartTrackingRefBased/>
  <w15:docId w15:val="{A815014C-D62B-42DF-91DF-64C9617C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1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1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1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1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1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1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1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1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1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1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1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1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1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1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1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1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1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