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Lösungshinweise: Neuronale Netze – Vertiefung</w:t>
      </w:r>
    </w:p>
    <w:p>
      <w:pPr>
        <w:pStyle w:val="Heading3"/>
        <w:bidi w:val="0"/>
        <w:ind w:hanging="0" w:start="0"/>
        <w:jc w:val="start"/>
        <w:rPr/>
      </w:pPr>
      <w:r>
        <w:rPr/>
        <w:t>KIT | Technik | Jahrgangsstufe 12 | Unterrichtseinheit 2 – NUR FÜR LEHRKRÄFTE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 | Einstieg: Trainingsdaten und ihre Qualität</w:t>
      </w:r>
    </w:p>
    <w:p>
      <w:pPr>
        <w:pStyle w:val="BodyText"/>
        <w:bidi w:val="0"/>
        <w:jc w:val="start"/>
        <w:rPr/>
      </w:pPr>
      <w:r>
        <w:rPr>
          <w:b/>
        </w:rPr>
        <w:t>Aufgabe A1 – Gedankenexperiment: Datensatz-Beurteilung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Datensatz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Geeignet?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Begründung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Nein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>
                <w:b/>
              </w:rPr>
              <w:t>Klassenungleichgewicht (class imbalance):</w:t>
            </w:r>
            <w:r>
              <w:rPr/>
              <w:t xml:space="preserve"> 99,5 % der Daten zeigen keinen Ausfall. Das Modell lernt, stets „kein Ausfall" vorherzusagen und erreicht trotzdem 99,5 % Accuracy – erkennt aber echte Ausfälle nicht.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Bedingt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Ausgewogene Verteilung ist gut; aber nur ein Maschinentyp → schlechte Generalisierbarkeit auf andere Maschinen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Ja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Großer, ausgewogener Datensatz aus verschiedenen Maschinentypen → beste Generalisierbarkeit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Nein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Zu wenige Daten (1.000) und nur ein einziger Tag → kein repräsentatives Abbild möglicher Betriebszustände, Gefahr der Überanpassung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Frage: Problem mit Datensatz A</w:t>
      </w:r>
    </w:p>
    <w:p>
      <w:pPr>
        <w:pStyle w:val="BodyText"/>
        <w:bidi w:val="0"/>
        <w:jc w:val="start"/>
        <w:rPr/>
      </w:pPr>
      <w:r>
        <w:rPr/>
        <w:t xml:space="preserve">Das Problem heißt </w:t>
      </w:r>
      <w:r>
        <w:rPr>
          <w:b/>
        </w:rPr>
        <w:t>Klassenungleichgewicht</w:t>
      </w:r>
      <w:r>
        <w:rPr/>
        <w:t xml:space="preserve"> (class imbalance). Ein Modell, das immer „kein Ausfall" vorhersagt, erreicht 99,5 % Accuracy – obwohl es vollständig nutzlos ist, da echte Ausfälle nicht erkannt werden. Die Accuracy als Metrik ist bei unbalancierten Daten irreführend; hier wären </w:t>
      </w:r>
      <w:r>
        <w:rPr>
          <w:b/>
        </w:rPr>
        <w:t>Recall, Precision oder F1-Score</w:t>
      </w:r>
      <w:r>
        <w:rPr/>
        <w:t xml:space="preserve"> deutlich aussagekräftiger.</w:t>
      </w:r>
    </w:p>
    <w:p>
      <w:pPr>
        <w:pStyle w:val="Blockzitat"/>
        <w:bidi w:val="0"/>
        <w:jc w:val="start"/>
        <w:rPr/>
      </w:pPr>
      <w:r>
        <w:rPr/>
        <w:t>Didaktischer Hinweis: Dieses Phänomen lässt sich hervorragend mit dem Digits-Datensatz demonstrieren, indem man eine Klasse künstlich unterrepräsentiert.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A2 – Begriffe zuordnen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Begriff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Zugehörige 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Überanpassung (Overfitting)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Das Modell lernt die Trainingsdaten auswendig und versagt bei neuen Daten.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Unteranpassung (Underfitting)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Das Modell ist zu simpel, um Muster zu erkennen – schlechte Ergebnisse bei Trainings- </w:t>
            </w:r>
            <w:r>
              <w:rPr>
                <w:b/>
              </w:rPr>
              <w:t>und</w:t>
            </w:r>
            <w:r>
              <w:rPr/>
              <w:t xml:space="preserve"> Testdaten.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Trainings-/Testdaten-Aufteilung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Ein Teil der Daten wird nur zur Evaluation verwendet, nicht zum Training.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Kreuzvalidierung (Cross-Validation)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Daten werden mehrfach in verschiedene Blöcke geteilt, jeder Block dient einmal als Testmenge.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 | Vertiefung mit technischen Datensätzen</w:t>
      </w:r>
    </w:p>
    <w:p>
      <w:pPr>
        <w:pStyle w:val="BodyText"/>
        <w:bidi w:val="0"/>
        <w:jc w:val="start"/>
        <w:rPr/>
      </w:pPr>
      <w:r>
        <w:rPr>
          <w:b/>
        </w:rPr>
        <w:t>Aufgabe B1 – Regression: Gebäude-Energieverbrauch</w:t>
      </w:r>
    </w:p>
    <w:p>
      <w:pPr>
        <w:pStyle w:val="BodyText"/>
        <w:bidi w:val="0"/>
        <w:jc w:val="start"/>
        <w:rPr/>
      </w:pPr>
      <w:r>
        <w:rPr>
          <w:i/>
        </w:rPr>
        <w:t>Hinweis zu den Datensätzen: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ENB2012:</w:t>
      </w:r>
      <w:r>
        <w:rPr/>
        <w:t xml:space="preserve"> 768 Instanzen, 8 Features (Wandfläche, Dachfläche, Verglasungsanteil etc.), Zielgröße Y1 = Heizlast in kWh/m². Herunterladen unter https://archive.ics.uci.edu/dataset/242/energy+efficiency und als </w:t>
      </w:r>
      <w:r>
        <w:rPr>
          <w:rFonts w:ascii="Liberation Mono" w:hAnsi="Liberation Mono"/>
        </w:rPr>
        <w:t>.csv</w:t>
      </w:r>
      <w:r>
        <w:rPr/>
        <w:t xml:space="preserve"> in Orange über das File-Widget laden.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housing.tab</w:t>
      </w:r>
      <w:r>
        <w:rPr/>
        <w:t xml:space="preserve"> (Alternative, direkt eingebettet): Boston-Housing-Daten, Zielgröße = Mietpreis in USD. Weniger technischer Bezug, aber sofort verfügbar.</w:t>
      </w:r>
    </w:p>
    <w:p>
      <w:pPr>
        <w:pStyle w:val="BodyText"/>
        <w:bidi w:val="0"/>
        <w:jc w:val="start"/>
        <w:rPr/>
      </w:pPr>
      <w:r>
        <w:rPr>
          <w:b/>
        </w:rPr>
        <w:t xml:space="preserve">Typische Regressionsergebnisse (ENB2012, Neural Network </w:t>
      </w:r>
      <w:r>
        <w:rPr>
          <w:rFonts w:ascii="Liberation Mono" w:hAnsi="Liberation Mono"/>
          <w:b/>
        </w:rPr>
        <w:t>100,50</w:t>
      </w:r>
      <w:r>
        <w:rPr>
          <w:b/>
        </w:rPr>
        <w:t>, ReLU, 5-fache CV):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Metrik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Typischer Wert (ENB2012)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Typischer Wert (housing.tab)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MAE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1,5–2,5 kWh/m²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2,5–4,0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RMSE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2,5–4,0 kWh/m²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3,5–6,0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0,97–0,99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0,85–0,92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zitat"/>
        <w:bidi w:val="0"/>
        <w:jc w:val="start"/>
        <w:rPr/>
      </w:pPr>
      <w:r>
        <w:rPr/>
        <w:t>ENB2012 ist für neuronale Netze sehr gut geeignet; die hohen R²-Werte sind realistisch und motivierend. housing.tab liefert etwas schwächere, aber immer noch gute Ergebnisse.</w:t>
      </w:r>
    </w:p>
    <w:p>
      <w:pPr>
        <w:pStyle w:val="BodyText"/>
        <w:bidi w:val="0"/>
        <w:jc w:val="start"/>
        <w:rPr/>
      </w:pPr>
      <w:r>
        <w:rPr>
          <w:b/>
        </w:rPr>
        <w:t>Interpretation R²:</w:t>
      </w:r>
      <w:r>
        <w:rPr/>
        <w:t xml:space="preserve"> Ein R² von z. B. 0,98 bedeutet, dass das Modell </w:t>
      </w:r>
      <w:r>
        <w:rPr>
          <w:b/>
        </w:rPr>
        <w:t>98 % der Varianz</w:t>
      </w:r>
      <w:r>
        <w:rPr/>
        <w:t xml:space="preserve"> in den Heizlastdaten erklären kann – nur 2 % der Schwankungen bleiben unerklärt.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B2 – Visualisierung: Vorhersage vs. Realität</w:t>
      </w:r>
    </w:p>
    <w:p>
      <w:pPr>
        <w:pStyle w:val="BodyText"/>
        <w:bidi w:val="0"/>
        <w:jc w:val="start"/>
        <w:rPr/>
      </w:pPr>
      <w:r>
        <w:rPr>
          <w:b/>
        </w:rPr>
        <w:t>Ideales Modell im Scatter Plot:</w:t>
      </w:r>
      <w:r>
        <w:rPr/>
        <w:t xml:space="preserve"> Alle Punkte liegen auf einer </w:t>
      </w:r>
      <w:r>
        <w:rPr>
          <w:b/>
        </w:rPr>
        <w:t>Winkelhalbierenden</w:t>
      </w:r>
      <w:r>
        <w:rPr/>
        <w:t xml:space="preserve"> (45°-Gerade durch den Ursprung). Das bedeutet: Vorhersage = tatsächlicher Wert. Je stärker die Punktewolke um diese Gerade streut, desto schlechter das Modell.</w:t>
      </w:r>
    </w:p>
    <w:p>
      <w:pPr>
        <w:pStyle w:val="BodyText"/>
        <w:bidi w:val="0"/>
        <w:jc w:val="start"/>
        <w:rPr/>
      </w:pPr>
      <w:r>
        <w:rPr>
          <w:b/>
        </w:rPr>
        <w:t>Ausreißer – mögliche Ursachen: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Messpunkte mit ungewöhnlicher Merkmalskombination (z. B. sehr große Glasfläche + schlechte Dämmung)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Datenfehler in der ursprünglichen Messung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Gebäudetypen, die im Training unterrepräsentiert waren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Nichtlineare Effekte, die das Modell nicht vollständig erfasst hat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B3 – Über- und Unteranpassung sichtbar machen</w:t>
      </w:r>
    </w:p>
    <w:p>
      <w:pPr>
        <w:pStyle w:val="BodyText"/>
        <w:bidi w:val="0"/>
        <w:jc w:val="start"/>
        <w:rPr/>
      </w:pPr>
      <w:r>
        <w:rPr>
          <w:b/>
        </w:rPr>
        <w:t>Erwartete Tendenzen (ENB2012, 80/20-Split):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Modellgröße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R² Training (ca.)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R² Test (ca.)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Diagnose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5 Neuronen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0,75–0,85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0,70–0,82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☑ </w:t>
            </w:r>
            <w:r>
              <w:rPr/>
              <w:t>Underfitting – Netz zu klein für den Datensatz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 Schicht, 50 Neuronen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0,95–0,98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0,94–0,97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☑ </w:t>
            </w:r>
            <w:r>
              <w:rPr/>
              <w:t>Gut – gute Balance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2 Schichten, 200+100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0,98–0,99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0,96–0,98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☑ </w:t>
            </w:r>
            <w:r>
              <w:rPr/>
              <w:t>Gut bis leichtes Overfitting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 Schichten, 500+300+200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0,99+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0,90–0,96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 xml:space="preserve">☑ </w:t>
            </w:r>
            <w:r>
              <w:rPr/>
              <w:t>Overfitting – Trainings-R² deutlich besser als Test-R²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zitat"/>
        <w:bidi w:val="0"/>
        <w:jc w:val="start"/>
        <w:rPr/>
      </w:pPr>
      <w:r>
        <w:rPr/>
        <w:t xml:space="preserve">Hinweis: Die Werte variieren je nach Zufalls-Split. Wichtig ist das </w:t>
      </w:r>
      <w:r>
        <w:rPr>
          <w:b/>
        </w:rPr>
        <w:t>relative Muster</w:t>
      </w:r>
      <w:r>
        <w:rPr/>
        <w:t>, nicht absolute Zahlen. Es empfiehlt sich, den Seed im Data Sampler zu fixieren (z. B. 42), damit alle SuS vergleichbare Ergebnisse erhalten.</w:t>
      </w:r>
    </w:p>
    <w:p>
      <w:pPr>
        <w:pStyle w:val="BodyText"/>
        <w:bidi w:val="0"/>
        <w:jc w:val="start"/>
        <w:rPr/>
      </w:pPr>
      <w:r>
        <w:rPr>
          <w:b/>
        </w:rPr>
        <w:t>Erkennung von Overftting:</w:t>
      </w:r>
      <w:r>
        <w:rPr/>
        <w:t xml:space="preserve"> Overfitting erkennt man daran, dass R² (Trainingsdaten) </w:t>
      </w:r>
      <w:r>
        <w:rPr>
          <w:b/>
        </w:rPr>
        <w:t>deutlich höher</w:t>
      </w:r>
      <w:r>
        <w:rPr/>
        <w:t xml:space="preserve"> ist als R² (Testdaten). Das Modell hat die Trainingsdaten „auswendig gelernt", kann aber nicht auf neue Daten generalisieren.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 | Klassifikation: Ziffern- und Mustererkennung</w:t>
      </w:r>
    </w:p>
    <w:p>
      <w:pPr>
        <w:pStyle w:val="BodyText"/>
        <w:bidi w:val="0"/>
        <w:jc w:val="start"/>
        <w:rPr/>
      </w:pPr>
      <w:r>
        <w:rPr>
          <w:b/>
        </w:rPr>
        <w:t>Aufgabe C1 – Digits-Datensatz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Anzahl Bilder:</w:t>
      </w:r>
      <w:r>
        <w:rPr/>
        <w:t xml:space="preserve"> 1.797 | </w:t>
      </w:r>
      <w:r>
        <w:rPr>
          <w:b/>
        </w:rPr>
        <w:t>Features pro Bild:</w:t>
      </w:r>
      <w:r>
        <w:rPr/>
        <w:t xml:space="preserve"> 64 (= 8 × 8 Pixel, Grauwerte 0–16)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Typische Accuracy</w:t>
      </w:r>
      <w:r>
        <w:rPr/>
        <w:t xml:space="preserve"> mit Neural Network </w:t>
      </w:r>
      <w:r>
        <w:rPr>
          <w:rFonts w:ascii="Liberation Mono" w:hAnsi="Liberation Mono"/>
        </w:rPr>
        <w:t>100, 50</w:t>
      </w:r>
      <w:r>
        <w:rPr/>
        <w:t xml:space="preserve">, ReLU, 10-fache CV: ca. </w:t>
      </w:r>
      <w:r>
        <w:rPr>
          <w:b/>
        </w:rPr>
        <w:t>97–98 %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Häufigste Verwechslungen</w:t>
      </w:r>
      <w:r>
        <w:rPr/>
        <w:t xml:space="preserve"> (typisch, variiert leicht je nach Split):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Ziffer </w:t>
      </w:r>
      <w:r>
        <w:rPr>
          <w:b/>
        </w:rPr>
        <w:t>3</w:t>
      </w:r>
      <w:r>
        <w:rPr/>
        <w:t xml:space="preserve"> ↔ </w:t>
      </w:r>
      <w:r>
        <w:rPr>
          <w:b/>
        </w:rPr>
        <w:t>8</w:t>
      </w:r>
      <w:r>
        <w:rPr/>
        <w:t xml:space="preserve"> (ähnliche Kurvenstruktur)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Ziffer </w:t>
      </w:r>
      <w:r>
        <w:rPr>
          <w:b/>
        </w:rPr>
        <w:t>4</w:t>
      </w:r>
      <w:r>
        <w:rPr/>
        <w:t xml:space="preserve"> ↔ </w:t>
      </w:r>
      <w:r>
        <w:rPr>
          <w:b/>
        </w:rPr>
        <w:t>9</w:t>
      </w:r>
      <w:r>
        <w:rPr/>
        <w:t xml:space="preserve"> (ähnliche obere Hälfte)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Ziffer </w:t>
      </w:r>
      <w:r>
        <w:rPr>
          <w:b/>
        </w:rPr>
        <w:t>1</w:t>
      </w:r>
      <w:r>
        <w:rPr/>
        <w:t xml:space="preserve"> ↔ </w:t>
      </w:r>
      <w:r>
        <w:rPr>
          <w:b/>
        </w:rPr>
        <w:t>7</w:t>
      </w:r>
      <w:r>
        <w:rPr/>
        <w:t xml:space="preserve"> (bei schlechter Handschrift)</w:t>
      </w:r>
    </w:p>
    <w:p>
      <w:pPr>
        <w:pStyle w:val="Blockzitat"/>
        <w:numPr>
          <w:ilvl w:val="0"/>
          <w:numId w:val="0"/>
        </w:numPr>
        <w:bidi w:val="0"/>
        <w:ind w:hanging="0" w:start="567"/>
        <w:jc w:val="start"/>
        <w:rPr/>
      </w:pPr>
      <w:r>
        <w:rPr/>
        <w:t>Tipp für die Klasse: Die Verwechslungen im 8×8-Raster sind leicht nachvollziehbar, wenn man sich die Bilder im Image Viewer ansieht – eine gute Diskussionsgrundlage.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Plausibilität der Verwechslungen:</w:t>
      </w:r>
      <w:r>
        <w:rPr/>
        <w:t> Ziffern wie 3 und 8 teilen viele strukturelle Merkmale auf Pixel-Ebene (geschwungene Linien, ähnliche Belegung der Rasterzellen). Bei niedriger Auflösung (8×8) sind die Unterschiede minimal. Das Modell reagiert auf Pixelmuster, nicht auf semantische Bedeutung.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C2 – Feature-Relevanz (Rank-Widget)</w:t>
      </w:r>
    </w:p>
    <w:p>
      <w:pPr>
        <w:pStyle w:val="BodyText"/>
        <w:bidi w:val="0"/>
        <w:jc w:val="start"/>
        <w:rPr/>
      </w:pPr>
      <w:r>
        <w:rPr/>
        <w:t>Das Rank-Widget bewertet Features nach statistischen Kriterien (z. B. Information Gain, ReliefF).</w:t>
      </w:r>
    </w:p>
    <w:p>
      <w:pPr>
        <w:pStyle w:val="BodyText"/>
        <w:bidi w:val="0"/>
        <w:jc w:val="start"/>
        <w:rPr/>
      </w:pPr>
      <w:r>
        <w:rPr>
          <w:b/>
        </w:rPr>
        <w:t>Erwartetes Ergebnis:</w:t>
      </w:r>
      <w:r>
        <w:rPr/>
        <w:t xml:space="preserve"> Die wichtigsten Pixel liegen typischerweise </w:t>
      </w:r>
      <w:r>
        <w:rPr>
          <w:b/>
        </w:rPr>
        <w:t>in der Mitte</w:t>
      </w:r>
      <w:r>
        <w:rPr/>
        <w:t xml:space="preserve"> des 8×8-Rasters (Zeilen 3–6, Spalten 3–6), da dort die meisten Unterschiede zwischen den Ziffern auftreten. Randpixel (z. B. </w:t>
      </w:r>
      <w:r>
        <w:rPr>
          <w:rFonts w:ascii="Liberation Mono" w:hAnsi="Liberation Mono"/>
        </w:rPr>
        <w:t>pixel_1_1</w:t>
      </w:r>
      <w:r>
        <w:rPr/>
        <w:t xml:space="preserve">, </w:t>
      </w:r>
      <w:r>
        <w:rPr>
          <w:rFonts w:ascii="Liberation Mono" w:hAnsi="Liberation Mono"/>
        </w:rPr>
        <w:t>pixel_8_8</w:t>
      </w:r>
      <w:r>
        <w:rPr/>
        <w:t>) sind oft weniger informativ, da die meisten Ziffern dort kaum Tinte haben.</w:t>
      </w:r>
    </w:p>
    <w:p>
      <w:pPr>
        <w:pStyle w:val="Blockzitat"/>
        <w:bidi w:val="0"/>
        <w:jc w:val="start"/>
        <w:rPr/>
      </w:pPr>
      <w:r>
        <w:rPr/>
        <w:t>Tipp: Das Rank-Widget zeigt je nach gewähltem Kriterium unterschiedliche Ranglisten. ReliefF oder Information Gain sind für Klassifikationsaufgaben gut geeignet.</w:t>
      </w:r>
    </w:p>
    <w:p>
      <w:pPr>
        <w:pStyle w:val="BodyText"/>
        <w:bidi w:val="0"/>
        <w:jc w:val="start"/>
        <w:rPr/>
      </w:pPr>
      <w:r>
        <w:rPr>
          <w:b/>
        </w:rPr>
        <w:t>Interpretation:</w:t>
      </w:r>
      <w:r>
        <w:rPr/>
        <w:t> Pixel in der Bildmitte sind informativer, weil dort die charakteristischen Kurven und Striche der Ziffern verlaufen. Ecken und Ränder des 8×8-Fensters sind bei handgeschriebenen Ziffern meist leer (Hintergrund).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 | Qualität der Trainingsdaten – Datenreduktion</w:t>
      </w:r>
    </w:p>
    <w:p>
      <w:pPr>
        <w:pStyle w:val="BodyText"/>
        <w:bidi w:val="0"/>
        <w:jc w:val="start"/>
        <w:rPr/>
      </w:pPr>
      <w:r>
        <w:rPr>
          <w:b/>
        </w:rPr>
        <w:t>Aufgabe D1 – Bewusste Datenreduktion (Digits-Datensatz)</w:t>
      </w:r>
    </w:p>
    <w:p>
      <w:pPr>
        <w:pStyle w:val="BodyText"/>
        <w:bidi w:val="0"/>
        <w:jc w:val="start"/>
        <w:rPr/>
      </w:pPr>
      <w:r>
        <w:rPr>
          <w:b/>
        </w:rPr>
        <w:t xml:space="preserve">Erwartete Ergebnisse (Neural Network </w:t>
      </w:r>
      <w:r>
        <w:rPr>
          <w:rFonts w:ascii="Liberation Mono" w:hAnsi="Liberation Mono"/>
          <w:b/>
        </w:rPr>
        <w:t>100, 50</w:t>
      </w:r>
      <w:r>
        <w:rPr>
          <w:b/>
        </w:rPr>
        <w:t>, 10-fache CV):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Trainingsanteil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Tatsächliche Trainingsinstanzen (ca.)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Erwartete Accuracy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10 %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~180 Bilder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80–88 %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30 %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~540 Bilder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92–95 %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70 %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~1.260 Bilder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96–97 %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90 %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~1.620 Bilder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ca. 97–98 %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Schlussfolgerung:</w:t>
      </w:r>
      <w:r>
        <w:rPr/>
        <w:t xml:space="preserve"> Ein deutlicher Qualitätsabfall tritt typischerweise </w:t>
      </w:r>
      <w:r>
        <w:rPr>
          <w:b/>
        </w:rPr>
        <w:t>unter ca. 30 %</w:t>
      </w:r>
      <w:r>
        <w:rPr/>
        <w:t xml:space="preserve"> der Daten auf. Ab ~70 % nähert sich die Accuracy dem Maximum an – weitere Datenzugaben bringen noch geringe Verbesserungen, aber mit deutlich abnehmendem Ertrag.</w:t>
      </w:r>
    </w:p>
    <w:p>
      <w:pPr>
        <w:pStyle w:val="Blockzitat"/>
        <w:bidi w:val="0"/>
        <w:jc w:val="start"/>
        <w:rPr/>
      </w:pPr>
      <w:r>
        <w:rPr/>
        <w:t xml:space="preserve">Didaktisch wertvoll: Dieses Experiment zeigt das Konzept der </w:t>
      </w:r>
      <w:r>
        <w:rPr>
          <w:b/>
        </w:rPr>
        <w:t>Lernkurve</w:t>
      </w:r>
      <w:r>
        <w:rPr/>
        <w:t xml:space="preserve"> – ein zentrales Werkzeug zur Diagnose von Datenmengen-Problemen.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 | Reflexion und Transfer</w:t>
      </w:r>
    </w:p>
    <w:p>
      <w:pPr>
        <w:pStyle w:val="BodyText"/>
        <w:bidi w:val="0"/>
        <w:jc w:val="start"/>
        <w:rPr/>
      </w:pPr>
      <w:r>
        <w:rPr>
          <w:b/>
        </w:rPr>
        <w:t>Aufgabe E1 – Musterlösung: Eigenes Szenario</w:t>
      </w:r>
    </w:p>
    <w:p>
      <w:pPr>
        <w:pStyle w:val="BodyText"/>
        <w:bidi w:val="0"/>
        <w:jc w:val="start"/>
        <w:rPr/>
      </w:pPr>
      <w:r>
        <w:rPr/>
        <w:t>Nachfolgend ein Beispiel-Szenario als Orientierung für die Bewertung:</w:t>
      </w:r>
    </w:p>
    <w:p>
      <w:pPr>
        <w:pStyle w:val="BodyText"/>
        <w:bidi w:val="0"/>
        <w:jc w:val="start"/>
        <w:rPr/>
      </w:pPr>
      <w:r>
        <w:rPr>
          <w:b/>
        </w:rPr>
        <w:t>Szenario:</w:t>
      </w:r>
      <w:r>
        <w:rPr/>
        <w:t xml:space="preserve"> Vorhersage der Restlebensdauer von Schneidwerkzeugen (Tool Wear Prediction)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Aspekt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bidi w:val="0"/>
              <w:jc w:val="start"/>
              <w:rPr/>
            </w:pPr>
            <w:r>
              <w:rPr/>
              <w:t>Beispiellösung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Eingabe-Features (x)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Schnittkraft, Vibrationsamplitude, Temperatur, Bearbeitungszeit, Drehzahl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Zielgröße (y)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Verbleibende Nutzungsdauer in Minuten (Regression) oder Klasse „gut / verschlissen" (Klassifikation)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Typ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Regression oder binäre Klassifikation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Geeignete Metrik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Regression: RMSE, R²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Fehlerquellen Trainingsdaten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Messfehler der Sensoren, unterschiedliche Materialien, Werkzeugchargen, fehlende Beschriftung des Verschleißzustands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Risiko Over-/Underfitting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bidi w:val="0"/>
              <w:jc w:val="start"/>
              <w:rPr/>
            </w:pPr>
            <w:r>
              <w:rPr/>
              <w:t>Bei wenigen Trainingsdaten (Werkzeugwechsel selten) → Underfitting; bei sehr tiefem Netz und kleinem Datensatz → Overfitting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zitat"/>
        <w:bidi w:val="0"/>
        <w:jc w:val="start"/>
        <w:rPr/>
      </w:pPr>
      <w:r>
        <w:rPr/>
        <w:t>Bewertungshinweis: Lösungen müssen nicht exakt diesem Beispiel entsprechen. Zentral ist, dass Features und Zielgröße plausibel zusammenpassen und die Metrikwahl zum Problem passt.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Aufgabe E2 – Kritische Fragen</w:t>
      </w:r>
    </w:p>
    <w:p>
      <w:pPr>
        <w:pStyle w:val="BodyText"/>
        <w:bidi w:val="0"/>
        <w:jc w:val="start"/>
        <w:rPr/>
      </w:pPr>
      <w:r>
        <w:rPr>
          <w:b/>
        </w:rPr>
        <w:t>1. Reicht 98 % Accuracy für den Produktionseinsatz?</w:t>
      </w:r>
    </w:p>
    <w:p>
      <w:pPr>
        <w:pStyle w:val="BodyText"/>
        <w:bidi w:val="0"/>
        <w:jc w:val="start"/>
        <w:rPr/>
      </w:pPr>
      <w:r>
        <w:rPr>
          <w:b/>
        </w:rPr>
        <w:t>Nein – nicht ohne weitere Analyse.</w:t>
      </w:r>
      <w:r>
        <w:rPr/>
        <w:t xml:space="preserve"> Entscheidend ist: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Wie häufig treten Ausfälle überhaupt auf? Bei 1 % Ausfallrate liefert ein Modell, das stets „kein Ausfall" sagt, bereits 99 % Accuracy – ohne je einen Ausfall erkannt zu haben.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Welche Konsequenzen hat ein </w:t>
      </w:r>
      <w:r>
        <w:rPr>
          <w:b/>
        </w:rPr>
        <w:t>falsch negativer</w:t>
      </w:r>
      <w:r>
        <w:rPr/>
        <w:t xml:space="preserve"> Alarm (Ausfall nicht erkannt)? In der Produktion kann das sehr teuer oder gefährlich sein.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Zuverlässigkeit, Reaktionszeit und Erklärbarkeit des Modells sind im Industrieeinsatz oft wichtiger als reine Accuracy.</w:t>
      </w:r>
    </w:p>
    <w:p>
      <w:pPr>
        <w:pStyle w:val="BodyText"/>
        <w:bidi w:val="0"/>
        <w:jc w:val="start"/>
        <w:rPr/>
      </w:pPr>
      <w:r>
        <w:rPr>
          <w:b/>
        </w:rPr>
        <w:t>2. Warum reicht Accuracy allein nicht aus?</w:t>
      </w:r>
    </w:p>
    <w:p>
      <w:pPr>
        <w:pStyle w:val="BodyText"/>
        <w:bidi w:val="0"/>
        <w:jc w:val="start"/>
        <w:rPr/>
      </w:pPr>
      <w:r>
        <w:rPr/>
        <w:t xml:space="preserve">Bei </w:t>
      </w:r>
      <w:r>
        <w:rPr>
          <w:b/>
        </w:rPr>
        <w:t>unbalancierten Klassen</w:t>
      </w:r>
      <w:r>
        <w:rPr/>
        <w:t xml:space="preserve"> oder wenn die Kosten von Fehlern asymmetrisch sind, ist Accuracy irreführend. Beispiele: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Medizintechnik / Qualitätssicherung:</w:t>
      </w:r>
      <w:r>
        <w:rPr/>
        <w:t xml:space="preserve"> Ein Defekt-Erkennungssystem, das 99 % Accuracy hat, aber 50 % aller Defekte übersieht, ist gefährlich → </w:t>
      </w:r>
      <w:r>
        <w:rPr>
          <w:b/>
        </w:rPr>
        <w:t>Recall</w:t>
      </w:r>
      <w:r>
        <w:rPr/>
        <w:t xml:space="preserve"> wichtiger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Spam-Filter:</w:t>
      </w:r>
      <w:r>
        <w:rPr/>
        <w:t xml:space="preserve"> Jede echte E-Mail als Spam zu klassifizieren, wäre sehr störend → </w:t>
      </w:r>
      <w:r>
        <w:rPr>
          <w:b/>
        </w:rPr>
        <w:t>Precision</w:t>
      </w:r>
      <w:r>
        <w:rPr/>
        <w:t xml:space="preserve"> wichtiger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Allgemein:</w:t>
      </w:r>
      <w:r>
        <w:rPr/>
        <w:t xml:space="preserve"> Bei 10 Klassen mit je unterschiedlicher Häufigkeit ist der </w:t>
      </w:r>
      <w:r>
        <w:rPr>
          <w:b/>
        </w:rPr>
        <w:t>F1-Score (makro)</w:t>
      </w:r>
      <w:r>
        <w:rPr/>
        <w:t xml:space="preserve"> aussagekräftiger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AUC (ROC-Kurve)</w:t>
      </w:r>
      <w:r>
        <w:rPr/>
        <w:t xml:space="preserve"> ist besonders wichtig, wenn der Entscheidungsschwellwert variabel sein soll</w:t>
      </w:r>
    </w:p>
    <w:p>
      <w:pPr>
        <w:pStyle w:val="Blockzitat"/>
        <w:bidi w:val="0"/>
        <w:jc w:val="start"/>
        <w:rPr/>
      </w:pPr>
      <w:r>
        <w:rPr/>
        <w:t xml:space="preserve">Kernbotschaft: Die Wahl der Metrik muss vom </w:t>
      </w:r>
      <w:r>
        <w:rPr>
          <w:b/>
        </w:rPr>
        <w:t>Verwendungszweck und den Fehlerkosten</w:t>
      </w:r>
      <w:r>
        <w:rPr/>
        <w:t xml:space="preserve"> abhängen, nicht nur von der Datenlage.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Zusatzhinweise für die Lehrkraft</w:t>
      </w:r>
    </w:p>
    <w:p>
      <w:pPr>
        <w:pStyle w:val="Heading3"/>
        <w:bidi w:val="0"/>
        <w:ind w:hanging="0" w:start="0"/>
        <w:jc w:val="start"/>
        <w:rPr/>
      </w:pPr>
      <w:r>
        <w:rPr/>
        <w:t>Zum ENB2012-Datensatz</w:t>
      </w:r>
    </w:p>
    <w:p>
      <w:pPr>
        <w:pStyle w:val="BodyText"/>
        <w:bidi w:val="0"/>
        <w:jc w:val="start"/>
        <w:rPr/>
      </w:pPr>
      <w:r>
        <w:rPr/>
        <w:t xml:space="preserve">Falls der Download über das UCI-Repository Probleme bereitet: Die Datei ist auch auf Kaggle verfügbar. Als Alternative eignet sich </w:t>
      </w:r>
      <w:r>
        <w:rPr>
          <w:rFonts w:ascii="Liberation Mono" w:hAnsi="Liberation Mono"/>
        </w:rPr>
        <w:t>housing.tab</w:t>
      </w:r>
      <w:r>
        <w:rPr/>
        <w:t xml:space="preserve"> (direkt in Orange), wobei der Technikbezug geringer ist. Der Datensatz </w:t>
      </w:r>
      <w:r>
        <w:rPr>
          <w:rFonts w:ascii="Liberation Mono" w:hAnsi="Liberation Mono"/>
        </w:rPr>
        <w:t>autompg.tab</w:t>
      </w:r>
      <w:r>
        <w:rPr/>
        <w:t xml:space="preserve"> (Kraftstoffverbrauch, direkt eingebettet) ist ebenfalls eine gute Regression-Alternative mit technischem Bezug.</w:t>
      </w:r>
    </w:p>
    <w:p>
      <w:pPr>
        <w:pStyle w:val="Heading3"/>
        <w:bidi w:val="0"/>
        <w:ind w:hanging="0" w:start="0"/>
        <w:jc w:val="start"/>
        <w:rPr/>
      </w:pPr>
      <w:r>
        <w:rPr/>
        <w:t>Zur Reproduzierbarkeit</w:t>
      </w:r>
    </w:p>
    <w:p>
      <w:pPr>
        <w:pStyle w:val="BodyText"/>
        <w:bidi w:val="0"/>
        <w:jc w:val="start"/>
        <w:rPr/>
      </w:pPr>
      <w:r>
        <w:rPr/>
        <w:t>Neuronale Netze haben eine zufällige Initialisierung. Für vergleichbare Ergebnisse im Unterricht: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 Neural Network-Widget → </w:t>
      </w:r>
      <w:r>
        <w:rPr>
          <w:b/>
        </w:rPr>
        <w:t>Random seed</w:t>
      </w:r>
      <w:r>
        <w:rPr/>
        <w:t xml:space="preserve"> auf einen festen Wert setzen (z. B. 42)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 Data Sampler → </w:t>
      </w:r>
      <w:r>
        <w:rPr>
          <w:b/>
        </w:rPr>
        <w:t>Fixed seed</w:t>
      </w:r>
      <w:r>
        <w:rPr/>
        <w:t xml:space="preserve"> aktivieren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Zeitplanung</w:t>
      </w:r>
    </w:p>
    <w:p>
      <w:pPr>
        <w:pStyle w:val="BodyText"/>
        <w:bidi w:val="0"/>
        <w:jc w:val="start"/>
        <w:rPr/>
      </w:pPr>
      <w:r>
        <w:rPr/>
        <w:t xml:space="preserve">Die Aufgaben B3 (Overfitting-Tabelle) und D1 (Datenreduktion) können je nach Klasse zeitintensiv sein. Empfehlung: B3 oder D1 als </w:t>
      </w:r>
      <w:r>
        <w:rPr>
          <w:b/>
        </w:rPr>
        <w:t>Hausaufgabe oder Partneraufgabe</w:t>
      </w:r>
      <w:r>
        <w:rPr/>
        <w:t xml:space="preserve"> auslagern.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Lösungshinweise | KIT | Technik | Jahrgangsstufe 12 | Berufliche Oberschule Bayern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1390</Words>
  <Characters>8860</Characters>
  <CharactersWithSpaces>10055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