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详细方案（信创版）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国产化信创环境 · 省级平台 · 高可用部署 · 全口径采购预算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版本：V2.0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完成总体需求、技术路线、模块、数据、模型、输出和验收方案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V2.0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按国产化信创环境重构软硬件架构，增加高可用部署和全口径采购预算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 建设背景与总体目标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2 业务范围与用户角色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3 震时事件主流程与时限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4 响应等级建议规则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5 数据体系与数据管理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6 灾害评估模型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7 专业成果与报告体系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8 工作组任务协同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9 指挥大厅设计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10 信创系统总体架构与技术路线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11 AI知识问答与地图联动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12 测试、演练与运行维护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13 安全、备份与审计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14 实施阶段与任务拆分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15 首期验收标准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16 风险、依赖与应对措施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17 信创环境设计与国产化选型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18 采购预算与实施包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19 结论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附录A 27类图件清单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附录B 7个工作组任务边界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附录C 主要依据与参考材料</w:t>
      </w:r>
    </w:p>
    <w:p>
      <w:pPr>
        <w:pStyle w:val="Heading1"/>
        <w:pageBreakBefore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系统从操作系统、数据库、中间件、GIS到AI推理均按国产化信创环境设计，并采用双节点高可用部署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留痕固化为一套可审计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信创合规：CPU、操作系统、数据库、中间件、GIS和AI推理优先选用国产软硬件。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高可用：应用和数据库双节点，存储、备份、交换机和防火墙独立配置。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预算可控：硬件、软件、建设服务和后续维保全部列支，形成完整三年总拥有成本。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扩展可行：按单位独立部署，未来支持区级和兄弟省份复用配置。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按照上级国产化信创部署要求，现有机型和运行环境不直接沿用到生产系统，全部硬件和软件纳入采购预算重新建设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信创优先，兼容可控：核心软硬件优先选择国产CPU、Kylin/UOS、人大金仓、通软中间件和SuperMap。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生产高可用，单点可切换：应用、数据库、网络和安全关键节点采用冗余设计。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CENC未发布但上海地震台网已正式测定的地震，由授权人员手工输入事件信息并启动完整评估。人工事件必须填写发震时刻、经度、纬度、震级、震源深度和数据来源，可选填事件编号、正式报编号和参考地名。系统保存操作人、触发参数、关联报文和成果版本，并与CENC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手工触发界面、计算过程和最终图件保留统一事件编号，避免与同源CENC事件重复建案。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事件数据：自动速报、正式速报、修正报文、人工事件、测试和演练事件。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A类：现有基础或CENC可支撑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高德、天地图、政府公开数据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CENC仪器烈度：采用公开仪器烈度产品，反映测站观测。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初始模型框架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建筑破坏：高层、钢筋混凝土、砌体、单层和其他五类建筑面积，乘烈度易损性矩阵和破坏比例。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死亡：deathRate = a × exp(b × (I + c)) × 倒塌面积 / 总面积。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受伤与安置：按烈度档位和死亡人数或人口比例计算。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压埋：五类建筑破坏面积乘系数并除以城市类型系数。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经济损失：建筑面积×易损性比例×损失比×重置单价 + 室内财产损失。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影响场：长轴和短轴采用衰减公式，结合邻近断裂和震源机制确定方向。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B类，高德或公开数据补齐，待复核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信创系统总体架构与技术路线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信创环境系统总体逻辑架构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、异步任务编排和双节点高可用部署。应用、数据库、网络和安全关键节点均保留冗余，AI推理独立部署。核心软硬件优先选用国产化产品，操作系统同时兼容银河麒麟和统信UOS，应用通过国产中间件发布，空间数据由国产数据库空间扩展和SuperMap iServer提供。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39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层级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操作系统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银河麒麟V10 SP3主选，统信UOS Server备用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服务器、数据库、浏览器和安全软件运行底座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前端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Vue 3、TypeScript、Vite、SuperMap iClient、ECharts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事件控制台、地图、任务和指挥大厅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Java 17/21、Spring Boot 3、通软TongWeb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人大金仓KingbaseES V9、KingbaseGIS、向量检索组件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事务、空间分析、全文和知识向量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编排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国产容器云、国产工作流调度平台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自动流程、并行任务、重试、超时和资源调度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存储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国产分布式对象存储和集中存储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原始报文、图件、报告、附件和底图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SuperMap iServer、iDesktopX、PMTiles/MBTiles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空间服务、切图、专题图层和制图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AI推理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国产AI服务器、本地DeepSeek/Qwen、RAG平台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知识问答、引用和受控工具调用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制图文档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国产浏览器渲染、Apache POI、LibreOffice/WPS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27类图件、DOCX和PPTX成果生产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运维安全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国产统一监控、日志审计、主机安全、漏洞扫描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监控、日志、告警、合规和安全审计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高德地图为主、天地图备用；正式出图使用本地底图缓存。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AI模型全量部署在本地信创服务器，外网阶段可选用在线模型补充，内网阶段完全离线运行。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应用与数据库双节点部署，主节点故障时由备用节点接管，存储、交换机和防火墙不存在单点。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所有中间件、数据库、GIS和AI组件必须提供与所选CPU、Kylin/UOS版本的兼容性证明。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信创高可用部署边界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由KingbaseGIS计算，不由模型编造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外网检索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自动检索可验证的官方来源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非官方资料入候选库，审核后使用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安全、备份与审计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普通操作保留操作人、时间、对象和结果；所有版本和快照保留追溯关系。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生产环境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上海市地震局本地信创机房，内网生产区独立部署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2台国产CPU服务器，部署Kylin/UOS、TongWeb和应用服务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数据库节点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2台国产CPU服务器，部署KingbaseES和KingbaseGIS主备集群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1台国产AI推理服务器，承载本地大模型、知识库和向量检索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集中存储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1套国产集中存储，配置约96TB裸容量，保存数据、底图和成果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备份设备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1台国产备份一体机，容量不低于60TB可用空间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网络边界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2台万兆交换机和2台下一代防火墙，关键链路双上联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安全审计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配置日志审计、数据库审计、主机安全、漏洞扫描和VPN网关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高可用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应用和数据库支持故障切换，单节点维护不影响业务运行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主存储和备份空间设置阈值告警，备份空间保留至少15%空闲空间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信创环境建设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硬件采购、操作系统、数据库、中间件、GIS、AI和兼容性验证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CENC事件、修订、两级响应、认证和事件控制台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先完成信创产品兼容性验证和硬件到货，形成数据库、中间件、GIS、AI和操作系统的稳定基线。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全部生产组件能够在选定国产CPU和Kylin/UOS环境稳定运行，并提供兼容性证明。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应用和数据库完成主备切换验证，存储、交换机和防火墙无单点故障。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所有硬件、基础软件、开发实施和运行保障费用均已完成列支并纳入采购计划。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重试、缺口记录、本地缓存和人工触发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信创兼容性不足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组件无法在国产CPU或操作系统运行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立项前完成兼容性验证，并要求厂商出具互认证明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国产GPU供应波动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AI推理节点交付延期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预留替代型号和接口适配层，避免绑定单一卡型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产品授权口径变化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预算出现偏差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按CPU、节点和用户数明确授权口径，写入采购合同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信创环境设计与国产化选型</w:t>
      </w:r>
    </w:p>
    <w:p>
      <w:pPr>
        <w:pStyle w:val="Heading2"/>
      </w:pPr>
      <w:r>
        <w:t>17.1 设计目标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生产系统不再依赖现有Z440和Windows环境，而是新建一套符合国产化信创要求的独立运行环境。设计重点不是简单替换操作系统，而是让CPU、服务器、存储、网络、安全、操作系统、数据库、中间件、GIS、AI推理、浏览器、办公和备份软件形成经过兼容性验证的完整技术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核心业务服务器优先采用海光或鲲鹏等国产CPU，操作系统采用银河麒麟V10 SP3，兼容统信UOS Server。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数据库主选人大金仓KingbaseES V9和KingbaseGIS，利用其PostgreSQL兼容能力降低空间应用迁移风险。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应用中间件采用国产TongWeb集群，后端使用Java和Spring Boot，避免生产环境依赖非信创运行时。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GIS采用SuperMap iServer和iDesktopX，前端采用SuperMap iClient，底图使用高德为主、天地图备用。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AI采用国产AI服务器和本地DeepSeek或Qwen模型，知识库、向量检索和问答推理全部在本地区域运行。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存储、备份、交换机、防火墙、日志审计、数据库审计、主机安全和漏洞扫描全部纳入信创采购。</w:t>
      </w:r>
    </w:p>
    <w:p>
      <w:pPr>
        <w:pStyle w:val="Heading2"/>
      </w:pPr>
      <w:r>
        <w:t>17.2 生产部署拓扑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部署区域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节点和设备</w:t>
            </w:r>
          </w:p>
        </w:tc>
        <w:tc>
          <w:tcPr>
            <w:tcW w:type="dxa" w:w="4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高可用与边界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接入区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双防火墙、VPN网关、受控接口代理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CENC和通知接口经统一代理进入，生产区不直接暴露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应用区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2台信创应用服务器、国产容器云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双节点负载均衡，支持滚动升级和单节点维护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2台信创数据库服务器、1套集中存储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数据库主备切换，空间数据、对象数据和成果集中保存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1台国产AI推理服务器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本地大模型和知识库，限制外联，提供受控推理接口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2台万兆交换机、2台下一代防火墙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服务器双上联，网络和安全关键路径冗余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运维区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日志审计、数据库审计、监控、漏洞扫描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生产操作和数据库访问可审计，满足安全测评要求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备份区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1台国产备份一体机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每日增量、每月完整恢复点，支持离线副本扩展</w:t>
            </w:r>
          </w:p>
        </w:tc>
      </w:tr>
    </w:tbl>
    <w:p/>
    <w:p>
      <w:pPr>
        <w:pStyle w:val="Heading2"/>
      </w:pPr>
      <w:r>
        <w:t>17.3 兼容性和验收要求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投标产品应提供有效的信创产品目录、兼容性互认证明、软件著作权或销售许可。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数据库、中间件、GIS、浏览器和AI推理软件必须明确支持的CPU型号、Kylin/UOS版本和JDK版本。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在采购合同签订前完成最小兼容性验证，包括启动、空间计算、文件生成、大屏访问和故障切换。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交付环境不得依赖Windows、ArcGIS、SQL Server、Oracle或其他未列入预算的商业组件。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项目验收前完成信创适配测试、性能测试、安全测试、备份恢复测试和断网运行测试。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对无法提供适配证明的产品，应使用同等级国产替代品，不降低平台功能和5分钟成果时限。</w:t>
      </w:r>
    </w:p>
    <w:p>
      <w:pPr>
        <w:pStyle w:val="Heading1"/>
      </w:pPr>
      <w:r>
        <w:t>18 采购预算与实施包</w:t>
      </w:r>
    </w:p>
    <w:p>
      <w:pPr>
        <w:pStyle w:val="Heading2"/>
      </w:pPr>
      <w:r>
        <w:t>18.1 预算口径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预算是2026年9月编制的采购控制预算，价格为含税参考价，包含三年基础软件订阅、首年硬件质保、平台开发、信创适配、数据治理、集成部署、测试、安全测评、培训和验收文档。最终价格以政府采购成交价为准。预算不包含机房土建装修、市电增容、指挥大厅已有大屏本体和上海市地震局现有网络专线费用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采购包</w:t>
            </w:r>
          </w:p>
        </w:tc>
        <w:tc>
          <w:tcPr>
            <w:tcW w:type="dxa" w:w="5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信创服务器、存储、备份、网络、安全、UPS和配套硬件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253.50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采购包2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操作系统、数据库、中间件、GIS、AI、备份、安全和办公软件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240.50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平台开发、信创适配、数据治理、集成部署、测试和培训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670.00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预备费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按一次性建设费用约5%计提，用于价格波动和兼容性替代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58.00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总投资控制预算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一次性建设和采购预算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1222.00</w:t>
            </w:r>
          </w:p>
        </w:tc>
      </w:tr>
    </w:tbl>
    <w:p/>
    <w:p>
      <w:pPr>
        <w:pStyle w:val="Heading2"/>
      </w:pPr>
      <w:r>
        <w:t>18.2 硬件采购明细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1126"/>
        <w:gridCol w:w="110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设备</w:t>
            </w:r>
          </w:p>
        </w:tc>
        <w:tc>
          <w:tcPr>
            <w:tcW w:type="dxa" w:w="4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推荐配置和数量</w:t>
            </w:r>
          </w:p>
        </w:tc>
        <w:tc>
          <w:tcPr>
            <w:tcW w:type="dxa" w:w="1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参考单价（万元）</w:t>
            </w:r>
          </w:p>
        </w:tc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应用与并行制图服务器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国产CPU 2×32核、256GB内存、2×960GB NVMe、4×3.84TB NVMe、双10GE，2台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16.50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33.00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数据库与空间计算服务器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国产CPU 2×32核、512GB内存、2×960GB NVMe、4×7.68TB NVMe、双25GE，2台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24.50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49.00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AI推理服务器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国产AI服务器、256GB内存、2块国产AI加速卡（合计显存不低于192GB）、2×3.84TB NVMe，1台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42.00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42.00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国产集中存储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96TB裸容量、2×3.84TB元数据盘、双25GE、对象存储和共享服务，1套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28.00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28.00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国产备份一体机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不低于60TB可用容量、压缩去重、数据库和文件代理，1台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22.00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22.00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万兆交换机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48口万兆、冗余电源、堆叠和链路聚合，2台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5.50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11.00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下一代防火墙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双机热备、应用识别、入侵防御、流量审计，2台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9.50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19.00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日志审计设备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日志集中采集、存储、检索和报表，1台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8.00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8.00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数据库审计设备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数据库访问审计、风险告警和合规报表，1台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12.00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12.00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VPN网关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国产密码算法、双机可扩展、远程运维接入，1台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UPS及电池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10kVA在线式、关键设备续航不低于60分钟，1套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7.50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7.50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机柜及配套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42U机柜、PDU、KVM、理线、光模块和线缆，2套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3.50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7.00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信创管理工作站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国产CPU、16GB内存、512GB SSD、信创桌面系统，2台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1.50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3.00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大屏信号接入终端</w:t>
            </w:r>
          </w:p>
        </w:tc>
        <w:tc>
          <w:tcPr>
            <w:tcW w:type="dxa" w:w="4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4K发送、矩阵适配和运维控制终端，1套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小计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硬件及基础配套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253.50</w:t>
            </w:r>
          </w:p>
        </w:tc>
      </w:tr>
    </w:tbl>
    <w:p/>
    <w:p>
      <w:pPr>
        <w:pStyle w:val="Heading2"/>
      </w:pPr>
      <w:r>
        <w:t>18.3 软件采购明细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600"/>
        <w:gridCol w:w="1126"/>
        <w:gridCol w:w="110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软件或服务</w:t>
            </w:r>
          </w:p>
        </w:tc>
        <w:tc>
          <w:tcPr>
            <w:tcW w:type="dxa" w:w="4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授权口径和内容</w:t>
            </w:r>
          </w:p>
        </w:tc>
        <w:tc>
          <w:tcPr>
            <w:tcW w:type="dxa" w:w="1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参考单价（万元）</w:t>
            </w:r>
          </w:p>
        </w:tc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国产服务器操作系统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Kylin/UOS Server授权、三年更新，8套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0.80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6.40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国产桌面操作系统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Kylin/UOS Desktop授权，4套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0.15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0.60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国产容器云平台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双节点、国产CPU适配、应用发布和监控，2节点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13.00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26.00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国产数据库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KingbaseES V9企业版、主备集群和迁移工具，2节点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13.00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26.00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空间数据库扩展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KingbaseGIS及空间计算组件，2节点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7.00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14.00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国产应用中间件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TongWeb企业版、集群部署，2节点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8.00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16.00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SuperMap iServer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企业级空间服务、二维制图和集群授权，2CPU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16.00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32.00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SuperMap iDesktopX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专业桌面GIS、空间数据处理，3个用户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4.00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12.00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国产对象存储软件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S3兼容、分布式对象存储、快照和容量扩展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12.00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国产备份软件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集中备份、压缩去重、数据库和文件代理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8.00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国产工作流调度平台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任务编排、重试、超时、资源调度和三年服务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AI推理及RAG平台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模型管理、知识库、引用、受控工具调用和运维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18.00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向量检索组件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国产化适配、双节点或高可用部署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12.00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WPS Office信创版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DOCX、XLSX、PPTX办公和模板编辑，30用户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0.15</w:t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4.50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安全可信浏览器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国产网页浏览、证书和安全策略管理，50用户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0.06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3.00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统一监控和日志平台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主机、数据库、中间件、任务和大屏监控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7.00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主机安全软件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终端检测、漏洞防护和集中管理，80个节点三年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8.00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漏洞扫描软件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系统、数据库、Web和弱口令检查，三年授权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7.00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短信通知网关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事件、任务和告警短信接口及三年服务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6.00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高德和天地图服务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高德为主、天地图备用，三年接口和调用量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14.00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证书和安全介质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国密证书、服务证书和安全介质</w:t>
            </w:r>
          </w:p>
        </w:tc>
        <w:tc>
          <w:tcPr>
            <w:tcW w:type="dxa" w:w="1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小计</w:t>
            </w:r>
          </w:p>
        </w:tc>
        <w:tc>
          <w:tcPr>
            <w:tcW w:type="dxa" w:w="4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基础软件和订阅服务</w:t>
            </w:r>
          </w:p>
        </w:tc>
        <w:tc>
          <w:tcPr>
            <w:tcW w:type="dxa" w:w="1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</w:r>
          </w:p>
        </w:tc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5"/>
              </w:rPr>
              <w:t>240.50</w:t>
            </w:r>
          </w:p>
        </w:tc>
      </w:tr>
    </w:tbl>
    <w:p/>
    <w:p>
      <w:pPr>
        <w:pStyle w:val="Heading2"/>
      </w:pPr>
      <w:r>
        <w:t>18.4 建设与服务明细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2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服务项目</w:t>
            </w:r>
          </w:p>
        </w:tc>
        <w:tc>
          <w:tcPr>
            <w:tcW w:type="dxa" w:w="5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主要工作内容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平台软件开发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事件接入、数据管理、评估引擎、制图报告、任务协同、大屏和用户权限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360.00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信创兼容性适配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CPU、操作系统、数据库、中间件、GIS、浏览器和AI组件适配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GIS和专题图实施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27类图件、专业版模板、本地底图、切片和制图性能优化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AI知识和问答实施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知识库整理、RAG、空间工具、引用控制和地图联动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数据治理与迁移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基础数据清洗、质量校验、MDB迁移、空间索引和版本发布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集成部署和高可用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硬件安装、系统集成、双机切换、网络策略和灾备演练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测试与安全测评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性能、5分钟成果、故障注入、信创适配、安全测评和整改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培训和验收文档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管理员、应急技术组、工作组培训，操作和运维文档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项目管理和质量控制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需求、进度、质量、风险、变更、监理配合和验收组织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小计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建设、实施和服务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670.00</w:t>
            </w:r>
          </w:p>
        </w:tc>
      </w:tr>
    </w:tbl>
    <w:p/>
    <w:p>
      <w:pPr>
        <w:pStyle w:val="Heading2"/>
      </w:pPr>
      <w:r>
        <w:t>18.5 后续三年运行保障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26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金额（万元）</w:t>
            </w:r>
          </w:p>
        </w:tc>
        <w:tc>
          <w:tcPr>
            <w:tcW w:type="dxa" w:w="45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一次性建设预算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1222.00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硬件、软件、平台建设和预备费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硬件延保及备件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42.00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第二至三年硬件维保、故障件更换和技术支持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软件订阅和升级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78.00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第二至三年数据库、中间件、GIS、安全、地图和AI平台服务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平台运维和模型校准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195.00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系统巡检、故障处置、模型参数、知识库和专题图维护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三年总拥有成本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1537.00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一次性建设加第二至三年运行保障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三年以后年度预算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160.00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按年度采购硬件维保、软件订阅和平台运维服务</w:t>
            </w:r>
          </w:p>
        </w:tc>
      </w:tr>
    </w:tbl>
    <w:p/>
    <w:p>
      <w:pPr>
        <w:pStyle w:val="Heading2"/>
      </w:pPr>
      <w:r>
        <w:t>18.6 采购包划分建议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采购包1采购通用信创硬件，要求原厂三年质保、关键部件备件和本地化服务。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采购包2采购基础软件，要求投标联合体提供数据库、中间件、GIS、AI和操作系统的完整兼容性证明。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采购包3采购业务平台开发与实施服务，按事件接入、数据、模型、图件、协同、AI和运维分期验收。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预备费不单独采购，由建设单位按变更程序控制，优先用于信创产品替代和市场价格波动。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硬件到货前完成兼容性验证，软件和业务系统在信创测试环境完成全链路测试后再迁移生产环境。</w:t>
      </w:r>
    </w:p>
    <w:p>
      <w:pPr>
        <w:pStyle w:val="Heading1"/>
      </w:pPr>
      <w:r>
        <w:t>19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信创版建设标准为总投资控制预算1222万元，三年总拥有成本1537万元，全部硬件、软件、开发实施和运行保障均纳入预算，可直接作为立项和采购包编制依据。</w:t>
      </w:r>
    </w:p>
    <w:p>
      <w:pPr>
        <w:pStyle w:val="Heading2"/>
      </w:pPr>
      <w:r>
        <w:t>19.1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接入内网EQIM、正式仪器烈度系统以及正式发布的震源机制、余震目录和台站数据。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接入企业微信、邮件、电话等通知渠道，并保留统一通知日志和渠道降级机制。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内网阶段关闭自动联网检索，继续使用本地知识库、离线模型和受控增量更新。</w:t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B类，高德或公开数据补齐，待复核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国家信息技术应用创新相关产品目录、兼容性互认和安全审查要求。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银河麒麟、统信UOS、人大金仓、SuperMap、TongWeb等产品的信创版本技术资料。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信创版详细方案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