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keepNext w:val="0"/>
        <w:spacing w:before="0" w:after="160" w:line="240" w:lineRule="auto"/>
        <w:jc w:val="center"/>
      </w:pPr>
      <w:r>
        <w:rPr>
          <w:rFonts w:ascii="Microsoft YaHei" w:hAnsi="Microsoft YaHei" w:eastAsia="Microsoft YaHei"/>
          <w:b/>
          <w:color w:val="0F6B72"/>
          <w:sz w:val="32"/>
        </w:rPr>
        <w:t>上海市</w:t>
      </w:r>
    </w:p>
    <w:p>
      <w:pPr>
        <w:keepNext w:val="0"/>
        <w:spacing w:before="0" w:after="160" w:line="240" w:lineRule="auto"/>
        <w:jc w:val="center"/>
      </w:pPr>
      <w:r>
        <w:rPr>
          <w:rFonts w:ascii="Microsoft YaHei" w:hAnsi="Microsoft YaHei" w:eastAsia="Microsoft YaHei"/>
          <w:b/>
          <w:color w:val="173B57"/>
          <w:sz w:val="50"/>
        </w:rPr>
        <w:t>地震应急评估与辅助决策系统</w:t>
      </w:r>
    </w:p>
    <w:p>
      <w:pPr>
        <w:keepNext w:val="0"/>
        <w:spacing w:before="0" w:after="440" w:line="240" w:lineRule="auto"/>
        <w:jc w:val="center"/>
      </w:pPr>
      <w:r>
        <w:rPr>
          <w:rFonts w:ascii="Microsoft YaHei" w:hAnsi="Microsoft YaHei" w:eastAsia="Microsoft YaHei"/>
          <w:b/>
          <w:color w:val="2E74B5"/>
          <w:sz w:val="58"/>
        </w:rPr>
        <w:t>详细方案（全内网信创版）</w:t>
      </w:r>
    </w:p>
    <w:p>
      <w:pPr>
        <w:keepNext w:val="0"/>
        <w:spacing w:before="0" w:after="120" w:line="288" w:lineRule="auto"/>
        <w:jc w:val="center"/>
      </w:pPr>
      <w:r>
        <w:rPr>
          <w:rFonts w:ascii="Microsoft YaHei" w:hAnsi="Microsoft YaHei" w:eastAsia="Microsoft YaHei"/>
          <w:color w:val="5F6B76"/>
          <w:sz w:val="26"/>
        </w:rPr>
        <w:t>全内网隔离 · 国产化信创环境 · 高可用部署 · 全口径采购预算</w:t>
      </w:r>
    </w:p>
    <w:p>
      <w:pPr>
        <w:keepNext w:val="0"/>
        <w:spacing w:before="0" w:after="1440" w:line="288" w:lineRule="auto"/>
        <w:jc w:val="center"/>
      </w:pPr>
      <w:r>
        <w:rPr>
          <w:rFonts w:ascii="Microsoft YaHei" w:hAnsi="Microsoft YaHei" w:eastAsia="Microsoft YaHei"/>
          <w:b/>
          <w:color w:val="9A6A1F"/>
          <w:sz w:val="21"/>
        </w:rPr>
        <w:t>自动评估 · 专业制图 · 任务协同 · 指挥决策 · 知识问答</w:t>
      </w:r>
    </w:p>
    <w:p>
      <w:pPr>
        <w:keepNext w:val="0"/>
        <w:spacing w:before="0" w:after="80" w:line="240" w:lineRule="auto"/>
        <w:jc w:val="center"/>
      </w:pPr>
      <w:r>
        <w:rPr>
          <w:rFonts w:ascii="Microsoft YaHei" w:hAnsi="Microsoft YaHei" w:eastAsia="Microsoft YaHei"/>
          <w:color w:val="24313D"/>
          <w:sz w:val="22"/>
        </w:rPr>
        <w:t>编制单位：上海市地震局信息中心（应急技术组）</w:t>
      </w:r>
    </w:p>
    <w:p>
      <w:pPr>
        <w:keepNext w:val="0"/>
        <w:spacing w:before="0" w:after="80" w:line="240" w:lineRule="auto"/>
        <w:jc w:val="center"/>
      </w:pPr>
      <w:r>
        <w:rPr>
          <w:rFonts w:ascii="Microsoft YaHei" w:hAnsi="Microsoft YaHei" w:eastAsia="Microsoft YaHei"/>
          <w:color w:val="5F6B76"/>
          <w:sz w:val="21"/>
        </w:rPr>
        <w:t>版本：V3.0    日期：2026年9月17日</w:t>
      </w:r>
    </w:p>
    <w:p>
      <w:pPr>
        <w:keepNext w:val="0"/>
        <w:spacing w:before="2400" w:after="0" w:line="240" w:lineRule="auto"/>
        <w:jc w:val="center"/>
      </w:pPr>
      <w:r>
        <w:rPr>
          <w:rFonts w:ascii="Microsoft YaHei" w:hAnsi="Microsoft YaHei" w:eastAsia="Microsoft YaHei"/>
          <w:b w:val="0"/>
          <w:i/>
          <w:color w:val="5F6B76"/>
          <w:sz w:val="18"/>
        </w:rPr>
        <w:t>内部设计资料</w:t>
      </w:r>
    </w:p>
    <w:p>
      <w:r>
        <w:br w:type="page"/>
      </w:r>
    </w:p>
    <w:p>
      <w:pPr>
        <w:pStyle w:val="Heading1"/>
      </w:pPr>
      <w:r>
        <w:t>编制说明与版本记录</w:t>
      </w:r>
    </w:p>
    <w:p>
      <w:pPr>
        <w:keepNext w:val="0"/>
        <w:spacing w:before="0" w:after="160" w:line="320" w:lineRule="auto"/>
        <w:jc w:val="both"/>
      </w:pPr>
      <w:r>
        <w:rPr>
          <w:rFonts w:ascii="Microsoft YaHei" w:hAnsi="Microsoft YaHei" w:eastAsia="Microsoft YaHei"/>
          <w:b w:val="0"/>
          <w:i w:val="0"/>
          <w:color w:val="24313D"/>
          <w:sz w:val="22"/>
        </w:rPr>
        <w:t>本方案依据上海市地震局地震应急预案（2026年版）、中国地震局地震应急服务响应相关文件、旧系统成果模板、现有基础数据以及公开论文、专利和开源项目资料编制。方案不把旧系统作为数值复现基准，而是重建可配置、可追溯、可校准的评估和制图体系。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00"/>
        <w:gridCol w:w="1600"/>
        <w:gridCol w:w="5000"/>
        <w:gridCol w:w="1426"/>
      </w:tblGrid>
      <w:tr>
        <w:trPr>
          <w:tblHeader w:val="true"/>
        </w:trPr>
        <w:tc>
          <w:tcPr>
            <w:tcW w:type="dxa" w:w="10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版本</w:t>
            </w:r>
          </w:p>
        </w:tc>
        <w:tc>
          <w:tcPr>
            <w:tcW w:type="dxa" w:w="16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日期</w:t>
            </w:r>
          </w:p>
        </w:tc>
        <w:tc>
          <w:tcPr>
            <w:tcW w:type="dxa" w:w="50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内容</w:t>
            </w:r>
          </w:p>
        </w:tc>
        <w:tc>
          <w:tcPr>
            <w:tcW w:type="dxa" w:w="1426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状态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V1.0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2026-09-17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完成总体需求、技术路线、模块、数据、模型、输出和验收方案</w:t>
            </w:r>
          </w:p>
        </w:tc>
        <w:tc>
          <w:tcPr>
            <w:tcW w:type="dxa" w:w="14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已归档</w:t>
            </w:r>
          </w:p>
        </w:tc>
      </w:tr>
      <w:tr>
        <w:trPr>
          <w:cantSplit/>
        </w:trPr>
        <w:tc>
          <w:tcPr>
            <w:tcW w:type="dxa" w:w="10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V2.0</w:t>
            </w:r>
          </w:p>
        </w:tc>
        <w:tc>
          <w:tcPr>
            <w:tcW w:type="dxa" w:w="16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2026-09-17</w:t>
            </w:r>
          </w:p>
        </w:tc>
        <w:tc>
          <w:tcPr>
            <w:tcW w:type="dxa" w:w="50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按国产化信创环境重构软硬件架构，增加高可用部署和全口径采购预算</w:t>
            </w:r>
          </w:p>
        </w:tc>
        <w:tc>
          <w:tcPr>
            <w:tcW w:type="dxa" w:w="14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已归档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V3.0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2026-09-17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确定全内网部署边界，补充离线数据、地图、模型和软件更新方案，完善采购数量</w:t>
            </w:r>
          </w:p>
        </w:tc>
        <w:tc>
          <w:tcPr>
            <w:tcW w:type="dxa" w:w="14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待审</w:t>
            </w:r>
          </w:p>
        </w:tc>
      </w:tr>
    </w:tbl>
    <w:p/>
    <w:p>
      <w:pPr>
        <w:pStyle w:val="Heading1"/>
      </w:pPr>
      <w:r>
        <w:t>目录</w:t>
      </w:r>
    </w:p>
    <w:p>
      <w:pPr>
        <w:keepNext w:val="0"/>
        <w:spacing w:before="0" w:after="0" w:line="211" w:lineRule="auto"/>
      </w:pPr>
      <w:r>
        <w:rPr>
          <w:rFonts w:ascii="Microsoft YaHei" w:hAnsi="Microsoft YaHei" w:eastAsia="Microsoft YaHei"/>
          <w:color w:val="24313D"/>
          <w:sz w:val="17"/>
        </w:rPr>
        <w:t>1 建设背景与总体目标</w:t>
      </w:r>
    </w:p>
    <w:p>
      <w:pPr>
        <w:keepNext w:val="0"/>
        <w:spacing w:before="0" w:after="0" w:line="211" w:lineRule="auto"/>
      </w:pPr>
      <w:r>
        <w:rPr>
          <w:rFonts w:ascii="Microsoft YaHei" w:hAnsi="Microsoft YaHei" w:eastAsia="Microsoft YaHei"/>
          <w:color w:val="24313D"/>
          <w:sz w:val="17"/>
        </w:rPr>
        <w:t>2 业务范围与用户角色</w:t>
      </w:r>
    </w:p>
    <w:p>
      <w:pPr>
        <w:keepNext w:val="0"/>
        <w:spacing w:before="0" w:after="0" w:line="211" w:lineRule="auto"/>
      </w:pPr>
      <w:r>
        <w:rPr>
          <w:rFonts w:ascii="Microsoft YaHei" w:hAnsi="Microsoft YaHei" w:eastAsia="Microsoft YaHei"/>
          <w:color w:val="24313D"/>
          <w:sz w:val="17"/>
        </w:rPr>
        <w:t>3 震时事件主流程与时限</w:t>
      </w:r>
    </w:p>
    <w:p>
      <w:pPr>
        <w:keepNext w:val="0"/>
        <w:spacing w:before="0" w:after="0" w:line="211" w:lineRule="auto"/>
      </w:pPr>
      <w:r>
        <w:rPr>
          <w:rFonts w:ascii="Microsoft YaHei" w:hAnsi="Microsoft YaHei" w:eastAsia="Microsoft YaHei"/>
          <w:color w:val="24313D"/>
          <w:sz w:val="17"/>
        </w:rPr>
        <w:t>4 响应等级建议规则</w:t>
      </w:r>
    </w:p>
    <w:p>
      <w:pPr>
        <w:keepNext w:val="0"/>
        <w:spacing w:before="0" w:after="0" w:line="211" w:lineRule="auto"/>
      </w:pPr>
      <w:r>
        <w:rPr>
          <w:rFonts w:ascii="Microsoft YaHei" w:hAnsi="Microsoft YaHei" w:eastAsia="Microsoft YaHei"/>
          <w:color w:val="24313D"/>
          <w:sz w:val="17"/>
        </w:rPr>
        <w:t>5 数据体系与数据管理</w:t>
      </w:r>
    </w:p>
    <w:p>
      <w:pPr>
        <w:keepNext w:val="0"/>
        <w:spacing w:before="0" w:after="0" w:line="211" w:lineRule="auto"/>
      </w:pPr>
      <w:r>
        <w:rPr>
          <w:rFonts w:ascii="Microsoft YaHei" w:hAnsi="Microsoft YaHei" w:eastAsia="Microsoft YaHei"/>
          <w:color w:val="24313D"/>
          <w:sz w:val="17"/>
        </w:rPr>
        <w:t>6 灾害评估模型</w:t>
      </w:r>
    </w:p>
    <w:p>
      <w:pPr>
        <w:keepNext w:val="0"/>
        <w:spacing w:before="0" w:after="0" w:line="211" w:lineRule="auto"/>
      </w:pPr>
      <w:r>
        <w:rPr>
          <w:rFonts w:ascii="Microsoft YaHei" w:hAnsi="Microsoft YaHei" w:eastAsia="Microsoft YaHei"/>
          <w:color w:val="24313D"/>
          <w:sz w:val="17"/>
        </w:rPr>
        <w:t>7 专业成果与报告体系</w:t>
      </w:r>
    </w:p>
    <w:p>
      <w:pPr>
        <w:keepNext w:val="0"/>
        <w:spacing w:before="0" w:after="0" w:line="211" w:lineRule="auto"/>
      </w:pPr>
      <w:r>
        <w:rPr>
          <w:rFonts w:ascii="Microsoft YaHei" w:hAnsi="Microsoft YaHei" w:eastAsia="Microsoft YaHei"/>
          <w:color w:val="24313D"/>
          <w:sz w:val="17"/>
        </w:rPr>
        <w:t>8 工作组任务协同</w:t>
      </w:r>
    </w:p>
    <w:p>
      <w:pPr>
        <w:keepNext w:val="0"/>
        <w:spacing w:before="0" w:after="0" w:line="211" w:lineRule="auto"/>
      </w:pPr>
      <w:r>
        <w:rPr>
          <w:rFonts w:ascii="Microsoft YaHei" w:hAnsi="Microsoft YaHei" w:eastAsia="Microsoft YaHei"/>
          <w:color w:val="24313D"/>
          <w:sz w:val="17"/>
        </w:rPr>
        <w:t>9 指挥大厅设计</w:t>
      </w:r>
    </w:p>
    <w:p>
      <w:pPr>
        <w:keepNext w:val="0"/>
        <w:spacing w:before="0" w:after="0" w:line="211" w:lineRule="auto"/>
      </w:pPr>
      <w:r>
        <w:rPr>
          <w:rFonts w:ascii="Microsoft YaHei" w:hAnsi="Microsoft YaHei" w:eastAsia="Microsoft YaHei"/>
          <w:color w:val="24313D"/>
          <w:sz w:val="17"/>
        </w:rPr>
        <w:t>10 信创系统总体架构与技术路线</w:t>
      </w:r>
    </w:p>
    <w:p>
      <w:pPr>
        <w:keepNext w:val="0"/>
        <w:spacing w:before="0" w:after="0" w:line="211" w:lineRule="auto"/>
      </w:pPr>
      <w:r>
        <w:rPr>
          <w:rFonts w:ascii="Microsoft YaHei" w:hAnsi="Microsoft YaHei" w:eastAsia="Microsoft YaHei"/>
          <w:color w:val="24313D"/>
          <w:sz w:val="17"/>
        </w:rPr>
        <w:t>11 AI知识问答与地图联动</w:t>
      </w:r>
    </w:p>
    <w:p>
      <w:pPr>
        <w:keepNext w:val="0"/>
        <w:spacing w:before="0" w:after="0" w:line="211" w:lineRule="auto"/>
      </w:pPr>
      <w:r>
        <w:rPr>
          <w:rFonts w:ascii="Microsoft YaHei" w:hAnsi="Microsoft YaHei" w:eastAsia="Microsoft YaHei"/>
          <w:color w:val="24313D"/>
          <w:sz w:val="17"/>
        </w:rPr>
        <w:t>12 测试、演练与运行维护</w:t>
      </w:r>
    </w:p>
    <w:p>
      <w:pPr>
        <w:keepNext w:val="0"/>
        <w:spacing w:before="0" w:after="0" w:line="211" w:lineRule="auto"/>
      </w:pPr>
      <w:r>
        <w:rPr>
          <w:rFonts w:ascii="Microsoft YaHei" w:hAnsi="Microsoft YaHei" w:eastAsia="Microsoft YaHei"/>
          <w:color w:val="24313D"/>
          <w:sz w:val="17"/>
        </w:rPr>
        <w:t>13 安全、备份与审计</w:t>
      </w:r>
    </w:p>
    <w:p>
      <w:pPr>
        <w:keepNext w:val="0"/>
        <w:spacing w:before="0" w:after="0" w:line="211" w:lineRule="auto"/>
      </w:pPr>
      <w:r>
        <w:rPr>
          <w:rFonts w:ascii="Microsoft YaHei" w:hAnsi="Microsoft YaHei" w:eastAsia="Microsoft YaHei"/>
          <w:color w:val="24313D"/>
          <w:sz w:val="17"/>
        </w:rPr>
        <w:t>14 实施阶段与任务拆分</w:t>
      </w:r>
    </w:p>
    <w:p>
      <w:pPr>
        <w:keepNext w:val="0"/>
        <w:spacing w:before="0" w:after="0" w:line="211" w:lineRule="auto"/>
      </w:pPr>
      <w:r>
        <w:rPr>
          <w:rFonts w:ascii="Microsoft YaHei" w:hAnsi="Microsoft YaHei" w:eastAsia="Microsoft YaHei"/>
          <w:color w:val="24313D"/>
          <w:sz w:val="17"/>
        </w:rPr>
        <w:t>15 首期验收标准</w:t>
      </w:r>
    </w:p>
    <w:p>
      <w:pPr>
        <w:keepNext w:val="0"/>
        <w:spacing w:before="0" w:after="0" w:line="211" w:lineRule="auto"/>
      </w:pPr>
      <w:r>
        <w:rPr>
          <w:rFonts w:ascii="Microsoft YaHei" w:hAnsi="Microsoft YaHei" w:eastAsia="Microsoft YaHei"/>
          <w:color w:val="24313D"/>
          <w:sz w:val="17"/>
        </w:rPr>
        <w:t>16 风险、依赖与应对措施</w:t>
      </w:r>
    </w:p>
    <w:p>
      <w:pPr>
        <w:keepNext w:val="0"/>
        <w:spacing w:before="0" w:after="0" w:line="211" w:lineRule="auto"/>
      </w:pPr>
      <w:r>
        <w:rPr>
          <w:rFonts w:ascii="Microsoft YaHei" w:hAnsi="Microsoft YaHei" w:eastAsia="Microsoft YaHei"/>
          <w:color w:val="24313D"/>
          <w:sz w:val="17"/>
        </w:rPr>
        <w:t>17 信创环境设计与国产化选型</w:t>
      </w:r>
    </w:p>
    <w:p>
      <w:pPr>
        <w:keepNext w:val="0"/>
        <w:spacing w:before="0" w:after="0" w:line="211" w:lineRule="auto"/>
      </w:pPr>
      <w:r>
        <w:rPr>
          <w:rFonts w:ascii="Microsoft YaHei" w:hAnsi="Microsoft YaHei" w:eastAsia="Microsoft YaHei"/>
          <w:color w:val="24313D"/>
          <w:sz w:val="17"/>
        </w:rPr>
        <w:t>18 采购预算与实施包</w:t>
      </w:r>
    </w:p>
    <w:p>
      <w:pPr>
        <w:keepNext w:val="0"/>
        <w:spacing w:before="0" w:after="0" w:line="211" w:lineRule="auto"/>
      </w:pPr>
      <w:r>
        <w:rPr>
          <w:rFonts w:ascii="Microsoft YaHei" w:hAnsi="Microsoft YaHei" w:eastAsia="Microsoft YaHei"/>
          <w:color w:val="24313D"/>
          <w:sz w:val="17"/>
        </w:rPr>
        <w:t>19 结论</w:t>
      </w:r>
    </w:p>
    <w:p>
      <w:pPr>
        <w:keepNext w:val="0"/>
        <w:spacing w:before="0" w:after="0" w:line="211" w:lineRule="auto"/>
      </w:pPr>
      <w:r>
        <w:rPr>
          <w:rFonts w:ascii="Microsoft YaHei" w:hAnsi="Microsoft YaHei" w:eastAsia="Microsoft YaHei"/>
          <w:color w:val="24313D"/>
          <w:sz w:val="17"/>
        </w:rPr>
        <w:t>附录A 27类图件清单</w:t>
      </w:r>
    </w:p>
    <w:p>
      <w:pPr>
        <w:keepNext w:val="0"/>
        <w:spacing w:before="0" w:after="0" w:line="211" w:lineRule="auto"/>
      </w:pPr>
      <w:r>
        <w:rPr>
          <w:rFonts w:ascii="Microsoft YaHei" w:hAnsi="Microsoft YaHei" w:eastAsia="Microsoft YaHei"/>
          <w:color w:val="24313D"/>
          <w:sz w:val="17"/>
        </w:rPr>
        <w:t>附录B 7个工作组任务边界</w:t>
      </w:r>
    </w:p>
    <w:p>
      <w:pPr>
        <w:keepNext w:val="0"/>
        <w:spacing w:before="0" w:after="0" w:line="211" w:lineRule="auto"/>
      </w:pPr>
      <w:r>
        <w:rPr>
          <w:rFonts w:ascii="Microsoft YaHei" w:hAnsi="Microsoft YaHei" w:eastAsia="Microsoft YaHei"/>
          <w:color w:val="24313D"/>
          <w:sz w:val="17"/>
        </w:rPr>
        <w:t>附录C 主要依据与参考材料</w:t>
      </w:r>
    </w:p>
    <w:p>
      <w:pPr>
        <w:pStyle w:val="Heading1"/>
        <w:pageBreakBefore/>
      </w:pPr>
      <w:r>
        <w:t>管理摘要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26"/>
      </w:tblGrid>
      <w:tr>
        <w:tc>
          <w:tcPr>
            <w:tcW w:type="dxa" w:w="9026"/>
            <w:shd w:fill="EE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60" w:after="60" w:line="300" w:lineRule="auto"/>
            </w:pPr>
            <w:r>
              <w:rPr>
                <w:rFonts w:ascii="Microsoft YaHei" w:hAnsi="Microsoft YaHei" w:eastAsia="Microsoft YaHei"/>
                <w:b/>
                <w:color w:val="173B57"/>
                <w:sz w:val="21"/>
              </w:rPr>
              <w:t xml:space="preserve">方案定位  </w:t>
            </w:r>
            <w:r>
              <w:rPr>
                <w:rFonts w:ascii="Microsoft YaHei" w:hAnsi="Microsoft YaHei" w:eastAsia="Microsoft YaHei"/>
                <w:color w:val="24313D"/>
                <w:sz w:val="21"/>
              </w:rPr>
              <w:t>以正式速报入库为评估触发点，在5分钟内并行生成灾害评估、27类专业图件、核心报告和背景资料，同时将任务、时限、成果和版本集中到指挥大厅，为领导决策和各工作组协同提供统一工作底图。系统从操作系统、数据库、中间件、GIS到AI推理均按国产化信创环境设计，采用双节点高可用部署，并整体运行在物理隔离的全内网环境。</w:t>
            </w:r>
          </w:p>
        </w:tc>
      </w:tr>
    </w:tbl>
    <w:p/>
    <w:p>
      <w:pPr>
        <w:keepNext w:val="0"/>
        <w:spacing w:before="0" w:after="160" w:line="320" w:lineRule="auto"/>
        <w:jc w:val="both"/>
      </w:pPr>
      <w:r>
        <w:rPr>
          <w:rFonts w:ascii="Microsoft YaHei" w:hAnsi="Microsoft YaHei" w:eastAsia="Microsoft YaHei"/>
          <w:b w:val="0"/>
          <w:i w:val="0"/>
          <w:color w:val="24313D"/>
          <w:sz w:val="22"/>
        </w:rPr>
        <w:t>平台首期面向上海市地震局本级和上海市行政区域，强调震后快速评估、辅助决策、成果标准化和指挥大厅协同。系统不自动替代制度响应和对外报送，而是把模型评估、预案任务、成果生产和版本留痕固化为一套可审计的流程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数据可信：来源可追溯、版本可回滚、事件启动后使用固定快照。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时间可控：T0、T1和预案时限统一计时，自动成果按T1+5分钟验收。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专业可解释：模型结果带区间、质量等级和计算依据，不伪造缺失数据。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协同可用：7个工作组任务、成果、确认和状态集中呈现。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信创合规：CPU、操作系统、数据库、中间件、GIS和AI推理优先选用国产软硬件。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全内网运行：生产区不直接访问互联网，数据、补丁、模型和地图均通过受控离线通道导入。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高可用：应用和数据库双节点，存储、备份、交换机和防火墙独立配置。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预算可控：硬件、软件、建设服务和后续维保全部列支，形成完整三年总拥有成本。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扩展可行：按单位独立部署，未来支持区级和兄弟省份复用配置。</w:t>
      </w:r>
    </w:p>
    <w:p>
      <w:pPr>
        <w:pStyle w:val="Heading1"/>
      </w:pPr>
      <w:r>
        <w:t>1 建设背景与总体目标</w:t>
      </w:r>
    </w:p>
    <w:p>
      <w:pPr>
        <w:pStyle w:val="Heading2"/>
      </w:pPr>
      <w:r>
        <w:t>1.1 建设背景</w:t>
      </w:r>
    </w:p>
    <w:p>
      <w:pPr>
        <w:keepNext w:val="0"/>
        <w:spacing w:before="0" w:after="160" w:line="320" w:lineRule="auto"/>
        <w:jc w:val="both"/>
      </w:pPr>
      <w:r>
        <w:rPr>
          <w:rFonts w:ascii="Microsoft YaHei" w:hAnsi="Microsoft YaHei" w:eastAsia="Microsoft YaHei"/>
          <w:b w:val="0"/>
          <w:i w:val="0"/>
          <w:color w:val="24313D"/>
          <w:sz w:val="22"/>
        </w:rPr>
        <w:t>震后短时间内，值班、监测预报、震害评估、应急技术、综合协调和后勤保障等任务同时展开。传统方式依赖人工收集、人工制图和分散文档流转，存在事件版本不一致、成果难以汇总、预案时限不易跟踪、评估依据难以追溯等问题。平台建设的核心是把正式速报后的评估和协同流程自动化、标准化。</w:t>
      </w:r>
    </w:p>
    <w:p>
      <w:pPr>
        <w:keepNext w:val="0"/>
        <w:spacing w:before="0" w:after="160" w:line="320" w:lineRule="auto"/>
        <w:jc w:val="both"/>
      </w:pPr>
      <w:r>
        <w:rPr>
          <w:rFonts w:ascii="Microsoft YaHei" w:hAnsi="Microsoft YaHei" w:eastAsia="Microsoft YaHei"/>
          <w:b w:val="0"/>
          <w:i w:val="0"/>
          <w:color w:val="24313D"/>
          <w:sz w:val="22"/>
        </w:rPr>
        <w:t>现有基础数据、旧系统源码和成果模板为方案提供了业务结构、界面和数据基础，但旧系统模型参数和价格体系并未完整保留。本方案据此采用“旧系统作参照、模型重新建设、参数本地校准”的路线。按照上级国产化信创部署要求，现有机型和运行环境不直接沿用到生产系统，全部硬件和软件纳入采购预算重新建设。</w:t>
      </w:r>
    </w:p>
    <w:p>
      <w:pPr>
        <w:pStyle w:val="Heading2"/>
      </w:pPr>
      <w:r>
        <w:t>1.2 总体目标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在正式速报入库后自动完成事件建档、响应建议、评估计算、制图、报告和任务建立。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在T1+5分钟内形成全部27类图件、4类核心文档或演示稿、8类背景文档。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为指挥大厅提供事件态势、预案任务、工作组进度、成果版本和数据质量的总览。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建设可配置的数据资产和模型中心，支撑未来区级和兄弟省份独立部署。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把AI用于知识检索、确定性空间计算和地图联动，不替代领导和业务专业判断。</w:t>
      </w:r>
    </w:p>
    <w:p>
      <w:pPr>
        <w:pStyle w:val="Heading2"/>
      </w:pPr>
      <w:r>
        <w:t>1.3 建设原则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先真实闭环，后功能扩张：首期先打通事件到成果的主链路，再扩展现场、遥感和更多通知渠道。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本地优先，外部可替换：正式出图依赖本地数据和底图，外部接口只作为上游来源。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信创优先，兼容可控：核心软硬件优先选择国产CPU、Kylin/UOS、人大金仓、通软中间件和SuperMap。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生产高可用，单点可切换：应用、数据库、网络和安全关键节点采用冗余设计。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版本优先，不覆盖历史：事件、数据、模型、模板、成果和知识库统一版本化。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缺数不造假：核心输入缺失时不生成虚假数值，非核心图层缺失时明确标注待复核。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模块化单体优先：首期控制部署复杂度，模块间接口清晰，保留服务化演进空间。</w:t>
      </w:r>
    </w:p>
    <w:p>
      <w:pPr>
        <w:pStyle w:val="Heading1"/>
      </w:pPr>
      <w:r>
        <w:t>2 业务范围与用户角色</w:t>
      </w:r>
    </w:p>
    <w:p>
      <w:pPr>
        <w:pStyle w:val="Heading2"/>
      </w:pPr>
      <w:r>
        <w:t>2.1 服务范围</w:t>
      </w:r>
    </w:p>
    <w:p>
      <w:pPr>
        <w:keepNext w:val="0"/>
        <w:spacing w:before="0" w:after="160" w:line="320" w:lineRule="auto"/>
        <w:jc w:val="both"/>
      </w:pPr>
      <w:r>
        <w:rPr>
          <w:rFonts w:ascii="Microsoft YaHei" w:hAnsi="Microsoft YaHei" w:eastAsia="Microsoft YaHei"/>
          <w:b w:val="0"/>
          <w:i w:val="0"/>
          <w:color w:val="24313D"/>
          <w:sz w:val="22"/>
        </w:rPr>
        <w:t>首期服务上海市地震局本级，覆盖上海市行政区域及边界海域。自动评估范围包括本市行政区域及边界海域事件、外省波及上海事件、距上海边界20公里以内事件，以及预测最大烈度达到2度以上的事件。不满足评估条件的地震只记录和通知，不建立完整评估任务。</w:t>
      </w:r>
    </w:p>
    <w:p>
      <w:pPr>
        <w:pStyle w:val="Heading2"/>
      </w:pPr>
      <w:r>
        <w:t>2.2 用户角色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50"/>
        <w:gridCol w:w="4300"/>
        <w:gridCol w:w="3176"/>
      </w:tblGrid>
      <w:tr>
        <w:trPr>
          <w:tblHeader w:val="true"/>
        </w:trPr>
        <w:tc>
          <w:tcPr>
            <w:tcW w:type="dxa" w:w="155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角色</w:t>
            </w:r>
          </w:p>
        </w:tc>
        <w:tc>
          <w:tcPr>
            <w:tcW w:type="dxa" w:w="43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主要职责</w:t>
            </w:r>
          </w:p>
        </w:tc>
        <w:tc>
          <w:tcPr>
            <w:tcW w:type="dxa" w:w="3176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关键权限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局领导/管理者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查看态势、响应建议、评估成果和大屏</w:t>
            </w:r>
          </w:p>
        </w:tc>
        <w:tc>
          <w:tcPr>
            <w:tcW w:type="dxa" w:w="31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决策查看、成果审阅</w:t>
            </w:r>
          </w:p>
        </w:tc>
      </w:tr>
      <w:tr>
        <w:trPr>
          <w:cantSplit/>
        </w:trPr>
        <w:tc>
          <w:tcPr>
            <w:tcW w:type="dxa" w:w="155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工作组组长</w:t>
            </w:r>
          </w:p>
        </w:tc>
        <w:tc>
          <w:tcPr>
            <w:tcW w:type="dxa" w:w="43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管理本组任务和成果</w:t>
            </w:r>
          </w:p>
        </w:tc>
        <w:tc>
          <w:tcPr>
            <w:tcW w:type="dxa" w:w="317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确认、发布、查看本组过程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代理副组长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组长不在时代理职责</w:t>
            </w:r>
          </w:p>
        </w:tc>
        <w:tc>
          <w:tcPr>
            <w:tcW w:type="dxa" w:w="31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按名单顺序代理组长权限</w:t>
            </w:r>
          </w:p>
        </w:tc>
      </w:tr>
      <w:tr>
        <w:trPr>
          <w:cantSplit/>
        </w:trPr>
        <w:tc>
          <w:tcPr>
            <w:tcW w:type="dxa" w:w="155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普通组员</w:t>
            </w:r>
          </w:p>
        </w:tc>
        <w:tc>
          <w:tcPr>
            <w:tcW w:type="dxa" w:w="43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接收任务、上传过程和成果</w:t>
            </w:r>
          </w:p>
        </w:tc>
        <w:tc>
          <w:tcPr>
            <w:tcW w:type="dxa" w:w="317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授权范围内编辑和上传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数据维护人员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导入、校验和提交候选数据</w:t>
            </w:r>
          </w:p>
        </w:tc>
        <w:tc>
          <w:tcPr>
            <w:tcW w:type="dxa" w:w="31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数据暂存和候选版本维护</w:t>
            </w:r>
          </w:p>
        </w:tc>
      </w:tr>
      <w:tr>
        <w:trPr>
          <w:cantSplit/>
        </w:trPr>
        <w:tc>
          <w:tcPr>
            <w:tcW w:type="dxa" w:w="155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数据复核人员</w:t>
            </w:r>
          </w:p>
        </w:tc>
        <w:tc>
          <w:tcPr>
            <w:tcW w:type="dxa" w:w="43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审核、发布和回滚数据版本</w:t>
            </w:r>
          </w:p>
        </w:tc>
        <w:tc>
          <w:tcPr>
            <w:tcW w:type="dxa" w:w="317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数据发布和版本管理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超级管理员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系统管理、错误覆盖和强制处置</w:t>
            </w:r>
          </w:p>
        </w:tc>
        <w:tc>
          <w:tcPr>
            <w:tcW w:type="dxa" w:w="31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覆盖、重发、彻底删除</w:t>
            </w:r>
          </w:p>
        </w:tc>
      </w:tr>
    </w:tbl>
    <w:p/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26"/>
      </w:tblGrid>
      <w:tr>
        <w:tc>
          <w:tcPr>
            <w:tcW w:type="dxa" w:w="9026"/>
            <w:shd w:fill="#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60" w:after="60" w:line="300" w:lineRule="auto"/>
            </w:pPr>
            <w:r>
              <w:rPr>
                <w:rFonts w:ascii="Microsoft YaHei" w:hAnsi="Microsoft YaHei" w:eastAsia="Microsoft YaHei"/>
                <w:b/>
                <w:color w:val="173B57"/>
                <w:sz w:val="21"/>
              </w:rPr>
              <w:t xml:space="preserve">权限约定  </w:t>
            </w:r>
            <w:r>
              <w:rPr>
                <w:rFonts w:ascii="Microsoft YaHei" w:hAnsi="Microsoft YaHei" w:eastAsia="Microsoft YaHei"/>
                <w:color w:val="24313D"/>
                <w:sz w:val="21"/>
              </w:rPr>
              <w:t>领导层不介入日常成果编辑；任务默认分派到工作组；组长在岗时由组长负责确认，组长不在时由代理副组长按名单顺序履职。</w:t>
            </w:r>
          </w:p>
        </w:tc>
      </w:tr>
    </w:tbl>
    <w:p/>
    <w:p>
      <w:pPr>
        <w:pStyle w:val="Heading1"/>
      </w:pPr>
      <w:r>
        <w:t>3 震时事件主流程与时限</w:t>
      </w:r>
    </w:p>
    <w:p>
      <w:pPr>
        <w:keepNext w:val="0"/>
        <w:spacing w:before="0" w:after="160" w:line="320" w:lineRule="auto"/>
        <w:jc w:val="both"/>
      </w:pPr>
      <w:r>
        <w:rPr>
          <w:rFonts w:ascii="Microsoft YaHei" w:hAnsi="Microsoft YaHei" w:eastAsia="Microsoft YaHei"/>
          <w:b w:val="0"/>
          <w:i w:val="0"/>
          <w:color w:val="24313D"/>
          <w:sz w:val="22"/>
        </w:rPr>
        <w:t>系统使用T0和T1两套时钟。T0是发震时刻，用于预案任务计时；T1是首次正式速报入库时刻，用于平台评估和自动成果计时。这样既能保持预案时限，又能让评估和制图以正式数据为起点。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88000" cy="286750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imelin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8675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40" w:after="160" w:line="240" w:lineRule="auto"/>
        <w:jc w:val="center"/>
      </w:pPr>
      <w:r>
        <w:rPr>
          <w:rFonts w:ascii="Microsoft YaHei" w:hAnsi="Microsoft YaHei" w:eastAsia="Microsoft YaHei"/>
          <w:b w:val="0"/>
          <w:i/>
          <w:color w:val="5F6B76"/>
          <w:sz w:val="18"/>
        </w:rPr>
        <w:t>图1  T0/T1震时自动处理时间线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5000"/>
        <w:gridCol w:w="2426"/>
      </w:tblGrid>
      <w:tr>
        <w:trPr>
          <w:tblHeader w:val="true"/>
        </w:trPr>
        <w:tc>
          <w:tcPr>
            <w:tcW w:type="dxa" w:w="16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时刻</w:t>
            </w:r>
          </w:p>
        </w:tc>
        <w:tc>
          <w:tcPr>
            <w:tcW w:type="dxa" w:w="50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系统行为</w:t>
            </w:r>
          </w:p>
        </w:tc>
        <w:tc>
          <w:tcPr>
            <w:tcW w:type="dxa" w:w="2426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完成条件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T0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建立待定事件和震情记录</w:t>
            </w:r>
          </w:p>
        </w:tc>
        <w:tc>
          <w:tcPr>
            <w:tcW w:type="dxa" w:w="24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保留发震时刻和来源</w:t>
            </w:r>
          </w:p>
        </w:tc>
      </w:tr>
      <w:tr>
        <w:trPr>
          <w:cantSplit/>
        </w:trPr>
        <w:tc>
          <w:tcPr>
            <w:tcW w:type="dxa" w:w="16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T0+3分钟以内</w:t>
            </w:r>
          </w:p>
        </w:tc>
        <w:tc>
          <w:tcPr>
            <w:tcW w:type="dxa" w:w="50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显示自动速报、震中、震级和深度</w:t>
            </w:r>
          </w:p>
        </w:tc>
        <w:tc>
          <w:tcPr>
            <w:tcW w:type="dxa" w:w="24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不启动损失评估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T0+5分钟以内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接收首次正式速报，记录T1</w:t>
            </w:r>
          </w:p>
        </w:tc>
        <w:tc>
          <w:tcPr>
            <w:tcW w:type="dxa" w:w="24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正式报入库</w:t>
            </w:r>
          </w:p>
        </w:tc>
      </w:tr>
      <w:tr>
        <w:trPr>
          <w:cantSplit/>
        </w:trPr>
        <w:tc>
          <w:tcPr>
            <w:tcW w:type="dxa" w:w="16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T1</w:t>
            </w:r>
          </w:p>
        </w:tc>
        <w:tc>
          <w:tcPr>
            <w:tcW w:type="dxa" w:w="50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启动评估、响应建议、任务和快照</w:t>
            </w:r>
          </w:p>
        </w:tc>
        <w:tc>
          <w:tcPr>
            <w:tcW w:type="dxa" w:w="24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自动触发平台流程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T1+5分钟以内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完成27类图件和12类文档</w:t>
            </w:r>
          </w:p>
        </w:tc>
        <w:tc>
          <w:tcPr>
            <w:tcW w:type="dxa" w:w="24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硬验收线</w:t>
            </w:r>
          </w:p>
        </w:tc>
      </w:tr>
      <w:tr>
        <w:trPr>
          <w:cantSplit/>
        </w:trPr>
        <w:tc>
          <w:tcPr>
            <w:tcW w:type="dxa" w:w="16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T0+30分钟</w:t>
            </w:r>
          </w:p>
        </w:tc>
        <w:tc>
          <w:tcPr>
            <w:tcW w:type="dxa" w:w="50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应急技术组进入大厅并产简报</w:t>
            </w:r>
          </w:p>
        </w:tc>
        <w:tc>
          <w:tcPr>
            <w:tcW w:type="dxa" w:w="24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预案任务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T0+30至60分钟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产出快速评估专报相关成果</w:t>
            </w:r>
          </w:p>
        </w:tc>
        <w:tc>
          <w:tcPr>
            <w:tcW w:type="dxa" w:w="24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阶段成果</w:t>
            </w:r>
          </w:p>
        </w:tc>
      </w:tr>
      <w:tr>
        <w:trPr>
          <w:cantSplit/>
        </w:trPr>
        <w:tc>
          <w:tcPr>
            <w:tcW w:type="dxa" w:w="16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T0+60分钟以后</w:t>
            </w:r>
          </w:p>
        </w:tc>
        <w:tc>
          <w:tcPr>
            <w:tcW w:type="dxa" w:w="50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持续产出专业图件和动态更新</w:t>
            </w:r>
          </w:p>
        </w:tc>
        <w:tc>
          <w:tcPr>
            <w:tcW w:type="dxa" w:w="24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运行期持续任务</w:t>
            </w:r>
          </w:p>
        </w:tc>
      </w:tr>
    </w:tbl>
    <w:p/>
    <w:p>
      <w:pPr>
        <w:pStyle w:val="Heading2"/>
      </w:pPr>
      <w:r>
        <w:t>3.1 正式报修正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首次正式报入库时刻固定为T1，后续修正不重置原始T1。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每次修正自动生成修订版评估任务，从修正报入库起5分钟内完成新版成果。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震中、震级或深度变化时，烈度、损失、伤亡和资源需求全部重算。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新旧版本同时保留，大屏显示最新有效版本，并提供差异对比和修订说明。</w:t>
      </w:r>
    </w:p>
    <w:p>
      <w:pPr>
        <w:pStyle w:val="Heading2"/>
      </w:pPr>
      <w:r>
        <w:t>3.2 响应升级与降级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升级时自动追加新任务，不删除已经产生的工作和成果。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降级时未开始任务标记为不再需要，进行中和已完成任务继续保留。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等级变更记录建议依据、操作人、时间和关联报文版本。</w:t>
      </w:r>
    </w:p>
    <w:p>
      <w:pPr>
        <w:pStyle w:val="Heading1"/>
      </w:pPr>
      <w:r>
        <w:t>4 响应等级建议规则</w:t>
      </w:r>
    </w:p>
    <w:p>
      <w:pPr>
        <w:keepNext w:val="0"/>
        <w:spacing w:before="0" w:after="160" w:line="320" w:lineRule="auto"/>
        <w:jc w:val="both"/>
      </w:pPr>
      <w:r>
        <w:rPr>
          <w:rFonts w:ascii="Microsoft YaHei" w:hAnsi="Microsoft YaHei" w:eastAsia="Microsoft YaHei"/>
          <w:b w:val="0"/>
          <w:i w:val="0"/>
          <w:color w:val="24313D"/>
          <w:sz w:val="22"/>
        </w:rPr>
        <w:t>平台建议等级与制度响应等级分离。平台负责根据事件条件提出建议和说明依据，局领导依据预案和经验决定是否启动制度响应。中国地震局应急服务响应等级也独立计算，单独展示。</w:t>
      </w:r>
    </w:p>
    <w:p>
      <w:pPr>
        <w:pStyle w:val="Heading2"/>
      </w:pPr>
      <w:r>
        <w:t>4.1 上海市制度响应建议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000"/>
        <w:gridCol w:w="3026"/>
      </w:tblGrid>
      <w:tr>
        <w:trPr>
          <w:tblHeader w:val="true"/>
        </w:trPr>
        <w:tc>
          <w:tcPr>
            <w:tcW w:type="dxa" w:w="60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事件条件</w:t>
            </w:r>
          </w:p>
        </w:tc>
        <w:tc>
          <w:tcPr>
            <w:tcW w:type="dxa" w:w="3026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建议等级</w:t>
            </w:r>
          </w:p>
        </w:tc>
      </w:tr>
      <w:tr>
        <w:trPr>
          <w:cantSplit/>
        </w:trPr>
        <w:tc>
          <w:tcPr>
            <w:tcW w:type="dxa" w:w="6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上海行政区域含边界50公里海域发生3.0至3.9级</w:t>
            </w:r>
          </w:p>
        </w:tc>
        <w:tc>
          <w:tcPr>
            <w:tcW w:type="dxa" w:w="30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一般响应</w:t>
            </w:r>
          </w:p>
        </w:tc>
      </w:tr>
      <w:tr>
        <w:trPr>
          <w:cantSplit/>
        </w:trPr>
        <w:tc>
          <w:tcPr>
            <w:tcW w:type="dxa" w:w="60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上海行政区域含边界50公里海域发生4.0至4.9级</w:t>
            </w:r>
          </w:p>
        </w:tc>
        <w:tc>
          <w:tcPr>
            <w:tcW w:type="dxa" w:w="30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较大响应</w:t>
            </w:r>
          </w:p>
        </w:tc>
      </w:tr>
      <w:tr>
        <w:trPr>
          <w:cantSplit/>
        </w:trPr>
        <w:tc>
          <w:tcPr>
            <w:tcW w:type="dxa" w:w="6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上海行政区域含边界50公里海域发生5.0至5.9级</w:t>
            </w:r>
          </w:p>
        </w:tc>
        <w:tc>
          <w:tcPr>
            <w:tcW w:type="dxa" w:w="30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重大响应</w:t>
            </w:r>
          </w:p>
        </w:tc>
      </w:tr>
      <w:tr>
        <w:trPr>
          <w:cantSplit/>
        </w:trPr>
        <w:tc>
          <w:tcPr>
            <w:tcW w:type="dxa" w:w="60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上海行政区域含边界50公里海域发生6.0级及以上</w:t>
            </w:r>
          </w:p>
        </w:tc>
        <w:tc>
          <w:tcPr>
            <w:tcW w:type="dxa" w:w="30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特别重大响应</w:t>
            </w:r>
          </w:p>
        </w:tc>
      </w:tr>
      <w:tr>
        <w:trPr>
          <w:cantSplit/>
        </w:trPr>
        <w:tc>
          <w:tcPr>
            <w:tcW w:type="dxa" w:w="6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外省波及上海且无直接死亡</w:t>
            </w:r>
          </w:p>
        </w:tc>
        <w:tc>
          <w:tcPr>
            <w:tcW w:type="dxa" w:w="30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一般响应</w:t>
            </w:r>
          </w:p>
        </w:tc>
      </w:tr>
      <w:tr>
        <w:trPr>
          <w:cantSplit/>
        </w:trPr>
        <w:tc>
          <w:tcPr>
            <w:tcW w:type="dxa" w:w="60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外省波及上海且死亡少于10人</w:t>
            </w:r>
          </w:p>
        </w:tc>
        <w:tc>
          <w:tcPr>
            <w:tcW w:type="dxa" w:w="30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较大响应</w:t>
            </w:r>
          </w:p>
        </w:tc>
      </w:tr>
      <w:tr>
        <w:trPr>
          <w:cantSplit/>
        </w:trPr>
        <w:tc>
          <w:tcPr>
            <w:tcW w:type="dxa" w:w="6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外省波及上海且死亡10人至不足100人</w:t>
            </w:r>
          </w:p>
        </w:tc>
        <w:tc>
          <w:tcPr>
            <w:tcW w:type="dxa" w:w="30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重大响应</w:t>
            </w:r>
          </w:p>
        </w:tc>
      </w:tr>
      <w:tr>
        <w:trPr>
          <w:cantSplit/>
        </w:trPr>
        <w:tc>
          <w:tcPr>
            <w:tcW w:type="dxa" w:w="60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外省波及上海且死亡100人及以上</w:t>
            </w:r>
          </w:p>
        </w:tc>
        <w:tc>
          <w:tcPr>
            <w:tcW w:type="dxa" w:w="30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特别重大响应</w:t>
            </w:r>
          </w:p>
        </w:tc>
      </w:tr>
    </w:tbl>
    <w:p/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震源深度大于60公里时，制度响应建议降低一级。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外省震中距上海边界20至100公里时，制度响应建议降低一级。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预测烈度达到2度但没有达到正式响应条件时，可以建立专项评估，不建议启动制度响应。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大屏显示建议等级、触发原因、使用震级或死亡人数、降级条件和数据来源。</w:t>
      </w:r>
    </w:p>
    <w:p>
      <w:pPr>
        <w:pStyle w:val="Heading2"/>
      </w:pPr>
      <w:r>
        <w:t>4.2 中国地震局应急服务响应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5000"/>
        <w:gridCol w:w="4026"/>
      </w:tblGrid>
      <w:tr>
        <w:trPr>
          <w:tblHeader w:val="true"/>
        </w:trPr>
        <w:tc>
          <w:tcPr>
            <w:tcW w:type="dxa" w:w="50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震级条件</w:t>
            </w:r>
          </w:p>
        </w:tc>
        <w:tc>
          <w:tcPr>
            <w:tcW w:type="dxa" w:w="4026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服务响应等级</w:t>
            </w:r>
          </w:p>
        </w:tc>
      </w:tr>
      <w:tr>
        <w:trPr>
          <w:cantSplit/>
        </w:trPr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M≥6.0</w:t>
            </w:r>
          </w:p>
        </w:tc>
        <w:tc>
          <w:tcPr>
            <w:tcW w:type="dxa" w:w="40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一级</w:t>
            </w:r>
          </w:p>
        </w:tc>
      </w:tr>
      <w:tr>
        <w:trPr>
          <w:cantSplit/>
        </w:trPr>
        <w:tc>
          <w:tcPr>
            <w:tcW w:type="dxa" w:w="50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5.0≤M&lt;6.0</w:t>
            </w:r>
          </w:p>
        </w:tc>
        <w:tc>
          <w:tcPr>
            <w:tcW w:type="dxa" w:w="40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二级</w:t>
            </w:r>
          </w:p>
        </w:tc>
      </w:tr>
      <w:tr>
        <w:trPr>
          <w:cantSplit/>
        </w:trPr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4.0≤M&lt;5.0</w:t>
            </w:r>
          </w:p>
        </w:tc>
        <w:tc>
          <w:tcPr>
            <w:tcW w:type="dxa" w:w="40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三级</w:t>
            </w:r>
          </w:p>
        </w:tc>
      </w:tr>
      <w:tr>
        <w:trPr>
          <w:cantSplit/>
        </w:trPr>
        <w:tc>
          <w:tcPr>
            <w:tcW w:type="dxa" w:w="50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3.0≤M&lt;4.0</w:t>
            </w:r>
          </w:p>
        </w:tc>
        <w:tc>
          <w:tcPr>
            <w:tcW w:type="dxa" w:w="40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四级</w:t>
            </w:r>
          </w:p>
        </w:tc>
      </w:tr>
    </w:tbl>
    <w:p/>
    <w:p>
      <w:pPr>
        <w:keepNext w:val="0"/>
        <w:spacing w:before="0" w:after="160" w:line="320" w:lineRule="auto"/>
        <w:jc w:val="both"/>
      </w:pPr>
      <w:r>
        <w:rPr>
          <w:rFonts w:ascii="Microsoft YaHei" w:hAnsi="Microsoft YaHei" w:eastAsia="Microsoft YaHei"/>
          <w:b w:val="0"/>
          <w:i w:val="0"/>
          <w:color w:val="24313D"/>
          <w:sz w:val="22"/>
        </w:rPr>
        <w:t>上海属于长江流域大城市和人口密集地区。上级服务响应中的中深源降级条件按文件规定的深度大于70公里处理，不覆盖上海市预案规定的深度大于60公里制度响应条件。两个字段、计算规则和显示结果不得混用。</w:t>
      </w:r>
    </w:p>
    <w:p>
      <w:pPr>
        <w:pStyle w:val="Heading2"/>
      </w:pPr>
      <w:r>
        <w:t>4.3 人工触发与影响场方向</w:t>
      </w:r>
    </w:p>
    <w:p>
      <w:pPr>
        <w:keepNext w:val="0"/>
        <w:spacing w:before="0" w:after="160" w:line="320" w:lineRule="auto"/>
        <w:jc w:val="both"/>
      </w:pPr>
      <w:r>
        <w:rPr>
          <w:rFonts w:ascii="Microsoft YaHei" w:hAnsi="Microsoft YaHei" w:eastAsia="Microsoft YaHei"/>
          <w:b w:val="0"/>
          <w:i w:val="0"/>
          <w:color w:val="24313D"/>
          <w:sz w:val="22"/>
        </w:rPr>
        <w:t>CENC未发布但上海地震台网已正式测定的地震，由授权人员手工输入事件信息并启动完整评估。人工事件必须填写发震时刻、经度、纬度、震级、震源深度和数据来源，可选填事件编号、正式报编号和参考地名。系统保存操作人、触发参数、关联报文和成果版本，并与CENC正式报使用同一套评估、制图、报告和任务规则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人工输入震中坐标后，自动匹配行政区、震中参考位置和距人民广场距离。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默认检索震中周边50公里范围内的活动断裂；检索半径可以在系统设置中调整。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有震源机制解时，优先采用震源机制解和地震影像场走向确定破裂方向。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没有震源机制解但有邻近断裂时，参考最近活动断裂的走向生成影响场长轴。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两者均缺失时生成不设定方向的圆形或椭圆形影响场，并明确标记“破裂方向待确认”。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手工触发界面、计算过程和最终图件保留统一事件编号，避免与同源CENC事件重复建案。</w:t>
      </w:r>
    </w:p>
    <w:p>
      <w:pPr>
        <w:pStyle w:val="Heading2"/>
      </w:pPr>
      <w:r>
        <w:t>4.4 通知和值守衔接</w:t>
      </w:r>
    </w:p>
    <w:p>
      <w:pPr>
        <w:keepNext w:val="0"/>
        <w:spacing w:before="0" w:after="160" w:line="320" w:lineRule="auto"/>
        <w:jc w:val="both"/>
      </w:pPr>
      <w:r>
        <w:rPr>
          <w:rFonts w:ascii="Microsoft YaHei" w:hAnsi="Microsoft YaHei" w:eastAsia="Microsoft YaHei"/>
          <w:b w:val="0"/>
          <w:i w:val="0"/>
          <w:color w:val="24313D"/>
          <w:sz w:val="22"/>
        </w:rPr>
        <w:t>平台以站内消息、待办任务和大屏告警作为主通知方式。事件进入、响应建议生成、正式成果完成、任务临期或超时、数据源异常时自动通知相关工作组。短信、企业微信、邮件和电话作为后续适配渠道预留统一通知接口，外部渠道不可用时自动回落到站内消息，不阻塞评估和制图主流程。</w:t>
      </w:r>
    </w:p>
    <w:p>
      <w:pPr>
        <w:pStyle w:val="Heading1"/>
      </w:pPr>
      <w:r>
        <w:t>5 数据体系与数据管理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88000" cy="286750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taflow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8675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40" w:after="160" w:line="240" w:lineRule="auto"/>
        <w:jc w:val="center"/>
      </w:pPr>
      <w:r>
        <w:rPr>
          <w:rFonts w:ascii="Microsoft YaHei" w:hAnsi="Microsoft YaHei" w:eastAsia="Microsoft YaHei"/>
          <w:b w:val="0"/>
          <w:i/>
          <w:color w:val="5F6B76"/>
          <w:sz w:val="18"/>
        </w:rPr>
        <w:t>图2  数据到决策的评估链路</w:t>
      </w:r>
    </w:p>
    <w:p>
      <w:pPr>
        <w:pStyle w:val="Heading2"/>
      </w:pPr>
      <w:r>
        <w:t>5.1 数据组成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事件数据：自动速报、正式速报、修正报文、人工事件、测试和演练事件。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基础地理数据：行政边界、交通、水系、桥梁、铁路、机场、港口和隧道等。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承灾体数据：人口、房屋建筑、GDP、学校、医院、重点目标、危险源和文物等。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构造与历史数据：断层、活动断层、历史地震、地壳和场地条件。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成果数据：模型结果、图件、报告、任务附件、操作记录和版本记录。</w:t>
      </w:r>
    </w:p>
    <w:p>
      <w:pPr>
        <w:pStyle w:val="Heading2"/>
      </w:pPr>
      <w:r>
        <w:t>5.2 数据现状与缺口</w:t>
      </w:r>
    </w:p>
    <w:p>
      <w:pPr>
        <w:keepNext w:val="0"/>
        <w:spacing w:before="0" w:after="160" w:line="320" w:lineRule="auto"/>
        <w:jc w:val="both"/>
      </w:pPr>
      <w:r>
        <w:rPr>
          <w:rFonts w:ascii="Microsoft YaHei" w:hAnsi="Microsoft YaHei" w:eastAsia="Microsoft YaHei"/>
          <w:b w:val="0"/>
          <w:i w:val="0"/>
          <w:color w:val="24313D"/>
          <w:sz w:val="22"/>
        </w:rPr>
        <w:t>现有上海应急基础数据2022.mdb已提供区县、乡镇、建筑、人口、经济、断层、历史地震、危险源、学校、医院、重点目标和交通设施等基础内容。但高层建筑面积、重置单价、室内财产单价、独立地铁、疏散场地、救援队伍、文物单位和建筑公里格网等仍不完整。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3600"/>
        <w:gridCol w:w="3226"/>
      </w:tblGrid>
      <w:tr>
        <w:trPr>
          <w:tblHeader w:val="true"/>
        </w:trPr>
        <w:tc>
          <w:tcPr>
            <w:tcW w:type="dxa" w:w="22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数据类别</w:t>
            </w:r>
          </w:p>
        </w:tc>
        <w:tc>
          <w:tcPr>
            <w:tcW w:type="dxa" w:w="36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现状判断</w:t>
            </w:r>
          </w:p>
        </w:tc>
        <w:tc>
          <w:tcPr>
            <w:tcW w:type="dxa" w:w="3226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首期处理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A类：现有基础或CENC可支撑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可自动生成大部分图表和评估输入</w:t>
            </w:r>
          </w:p>
        </w:tc>
        <w:tc>
          <w:tcPr>
            <w:tcW w:type="dxa" w:w="32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优先实现并用于验收</w:t>
            </w:r>
          </w:p>
        </w:tc>
      </w:tr>
      <w:tr>
        <w:trPr>
          <w:cantSplit/>
        </w:trPr>
        <w:tc>
          <w:tcPr>
            <w:tcW w:type="dxa" w:w="22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B类：需要公共数据补充</w:t>
            </w:r>
          </w:p>
        </w:tc>
        <w:tc>
          <w:tcPr>
            <w:tcW w:type="dxa" w:w="36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高德、天地图、政府公开数据</w:t>
            </w:r>
          </w:p>
        </w:tc>
        <w:tc>
          <w:tcPr>
            <w:tcW w:type="dxa" w:w="32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补齐并标记待复核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C类：需要聚合或模型派生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建筑公里格网等</w:t>
            </w:r>
          </w:p>
        </w:tc>
        <w:tc>
          <w:tcPr>
            <w:tcW w:type="dxa" w:w="32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按质量等级单独标识</w:t>
            </w:r>
          </w:p>
        </w:tc>
      </w:tr>
      <w:tr>
        <w:trPr>
          <w:cantSplit/>
        </w:trPr>
        <w:tc>
          <w:tcPr>
            <w:tcW w:type="dxa" w:w="22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D类：正式数据尚未提供</w:t>
            </w:r>
          </w:p>
        </w:tc>
        <w:tc>
          <w:tcPr>
            <w:tcW w:type="dxa" w:w="36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水库、站点等部分专题</w:t>
            </w:r>
          </w:p>
        </w:tc>
        <w:tc>
          <w:tcPr>
            <w:tcW w:type="dxa" w:w="32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生成缺数说明，不伪造数值</w:t>
            </w:r>
          </w:p>
        </w:tc>
      </w:tr>
    </w:tbl>
    <w:p/>
    <w:p>
      <w:pPr>
        <w:pStyle w:val="Heading2"/>
      </w:pPr>
      <w:r>
        <w:t>5.3 数据管理平台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数据目录：记录来源、许可、坐标系、更新时间、责任单位和质量等级。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数据导入：支持Shapefile、GeoJSON、GeoPackage、CSV、XLSX、GeoTIFF，MDB提供迁移工具。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质量校验：坐标、几何、重复、空值、字段、范围、编码和模型必需字段。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版本流转：上传、校验、预览、候选版本、复核、发布和回滚。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影响分析：显示数据更新影响哪些模型、图件、报告和大屏图层。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事件快照：事件启动后锁定数据版本，后续更新不影响运行中事件。</w:t>
      </w:r>
    </w:p>
    <w:p>
      <w:pPr>
        <w:pStyle w:val="Heading1"/>
      </w:pPr>
      <w:r>
        <w:t>6 灾害评估模型</w:t>
      </w:r>
    </w:p>
    <w:p>
      <w:pPr>
        <w:pStyle w:val="Heading2"/>
      </w:pPr>
      <w:r>
        <w:t>6.1 三套烈度结果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模型烈度：由震级、深度、距离、场地和衰减关系生成。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CENC仪器烈度：采用公开仪器烈度产品，反映测站观测。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融合烈度：综合测站密度、距离、观测质量；无仪器区域使用模型烈度。</w:t>
      </w:r>
    </w:p>
    <w:p>
      <w:pPr>
        <w:keepNext w:val="0"/>
        <w:spacing w:before="0" w:after="160" w:line="320" w:lineRule="auto"/>
        <w:jc w:val="both"/>
      </w:pPr>
      <w:r>
        <w:rPr>
          <w:rFonts w:ascii="Microsoft YaHei" w:hAnsi="Microsoft YaHei" w:eastAsia="Microsoft YaHei"/>
          <w:b w:val="0"/>
          <w:i w:val="0"/>
          <w:color w:val="24313D"/>
          <w:sz w:val="22"/>
        </w:rPr>
        <w:t>仪器烈度产品不可用时，系统仍生成模型烈度，融合结果降级为模型主导并记录质量说明。原始模型烈度和仪器烈度均保留，避免单一来源偏差。</w:t>
      </w:r>
    </w:p>
    <w:p>
      <w:pPr>
        <w:pStyle w:val="Heading2"/>
      </w:pPr>
      <w:r>
        <w:t>6.2 损失评估对象</w:t>
      </w:r>
    </w:p>
    <w:p>
      <w:pPr>
        <w:keepNext w:val="0"/>
        <w:spacing w:before="0" w:after="160" w:line="320" w:lineRule="auto"/>
        <w:jc w:val="both"/>
      </w:pPr>
      <w:r>
        <w:rPr>
          <w:rFonts w:ascii="Microsoft YaHei" w:hAnsi="Microsoft YaHei" w:eastAsia="Microsoft YaHei"/>
          <w:b w:val="0"/>
          <w:i w:val="0"/>
          <w:color w:val="24313D"/>
          <w:sz w:val="22"/>
        </w:rPr>
        <w:t>在融合烈度上叠加人口、房屋建筑、重点目标、交通、生命线、GDP等承灾体，计算建筑破坏、人员死亡、人员受伤、人员压埋、经济损失和救援、医疗、防疫、帐篷、饮水、厕所、衣物、棉被、食品、毛毯、担架、病床等资源需求。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800"/>
        <w:gridCol w:w="3426"/>
      </w:tblGrid>
      <w:tr>
        <w:trPr>
          <w:tblHeader w:val="true"/>
        </w:trPr>
        <w:tc>
          <w:tcPr>
            <w:tcW w:type="dxa" w:w="18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结果类型</w:t>
            </w:r>
          </w:p>
        </w:tc>
        <w:tc>
          <w:tcPr>
            <w:tcW w:type="dxa" w:w="38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输出内容</w:t>
            </w:r>
          </w:p>
        </w:tc>
        <w:tc>
          <w:tcPr>
            <w:tcW w:type="dxa" w:w="3426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必须携带的元数据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建筑破坏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不同建筑类型和破坏状态面积</w:t>
            </w:r>
          </w:p>
        </w:tc>
        <w:tc>
          <w:tcPr>
            <w:tcW w:type="dxa" w:w="34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烈度、建筑数据、矩阵版本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人员伤亡</w:t>
            </w:r>
          </w:p>
        </w:tc>
        <w:tc>
          <w:tcPr>
            <w:tcW w:type="dxa" w:w="38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死亡、受伤、压埋中心和区间</w:t>
            </w:r>
          </w:p>
        </w:tc>
        <w:tc>
          <w:tcPr>
            <w:tcW w:type="dxa" w:w="34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人口、建筑破坏、模型参数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经济损失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直接经济损失和构成</w:t>
            </w:r>
          </w:p>
        </w:tc>
        <w:tc>
          <w:tcPr>
            <w:tcW w:type="dxa" w:w="34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价格、重置单价、室内财产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资源需求</w:t>
            </w:r>
          </w:p>
        </w:tc>
        <w:tc>
          <w:tcPr>
            <w:tcW w:type="dxa" w:w="38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救援力量和主要生活物资</w:t>
            </w:r>
          </w:p>
        </w:tc>
        <w:tc>
          <w:tcPr>
            <w:tcW w:type="dxa" w:w="34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伤亡、安置、城市类型系数</w:t>
            </w:r>
          </w:p>
        </w:tc>
      </w:tr>
    </w:tbl>
    <w:p/>
    <w:p>
      <w:pPr>
        <w:pStyle w:val="Heading2"/>
      </w:pPr>
      <w:r>
        <w:t>6.3 初始模型框架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建筑破坏：高层、钢筋混凝土、砌体、单层和其他五类建筑面积，乘烈度易损性矩阵和破坏比例。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死亡：deathRate = a × exp(b × (I + c)) × 倒塌面积 / 总面积。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受伤与安置：按烈度档位和死亡人数或人口比例计算。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压埋：五类建筑破坏面积乘系数并除以城市类型系数。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经济损失：建筑面积×易损性比例×损失比×重置单价 + 室内财产损失。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影响场：长轴和短轴采用衰减公式，结合邻近断裂和震源机制确定方向。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26"/>
      </w:tblGrid>
      <w:tr>
        <w:tc>
          <w:tcPr>
            <w:tcW w:type="dxa" w:w="9026"/>
            <w:shd w:fill="#FFF8E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60" w:after="60" w:line="300" w:lineRule="auto"/>
            </w:pPr>
            <w:r>
              <w:rPr>
                <w:rFonts w:ascii="Microsoft YaHei" w:hAnsi="Microsoft YaHei" w:eastAsia="Microsoft YaHei"/>
                <w:b/>
                <w:color w:val="173B57"/>
                <w:sz w:val="21"/>
              </w:rPr>
              <w:t xml:space="preserve">模型边界  </w:t>
            </w:r>
            <w:r>
              <w:rPr>
                <w:rFonts w:ascii="Microsoft YaHei" w:hAnsi="Microsoft YaHei" w:eastAsia="Microsoft YaHei"/>
                <w:color w:val="24313D"/>
                <w:sz w:val="21"/>
              </w:rPr>
              <w:t>旧系统实际易损性矩阵、价格和参数不完整，因此新系统不承诺数值复现。参数从标准、论文、上海本地数据和历史事件中重建，并支持版本管理和后续校准。</w:t>
            </w:r>
          </w:p>
        </w:tc>
      </w:tr>
    </w:tbl>
    <w:p/>
    <w:p>
      <w:pPr>
        <w:pStyle w:val="Heading1"/>
      </w:pPr>
      <w:r>
        <w:t>7 专业成果与报告体系</w:t>
      </w:r>
    </w:p>
    <w:p>
      <w:pPr>
        <w:pStyle w:val="Heading2"/>
      </w:pPr>
      <w:r>
        <w:t>7.1 27类图件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50"/>
        <w:gridCol w:w="4500"/>
        <w:gridCol w:w="3876"/>
      </w:tblGrid>
      <w:tr>
        <w:trPr>
          <w:tblHeader w:val="true"/>
        </w:trPr>
        <w:tc>
          <w:tcPr>
            <w:tcW w:type="dxa" w:w="65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6"/>
              </w:rPr>
              <w:t>序号</w:t>
            </w:r>
          </w:p>
        </w:tc>
        <w:tc>
          <w:tcPr>
            <w:tcW w:type="dxa" w:w="45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6"/>
              </w:rPr>
              <w:t>图件名称</w:t>
            </w:r>
          </w:p>
        </w:tc>
        <w:tc>
          <w:tcPr>
            <w:tcW w:type="dxa" w:w="3876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6"/>
              </w:rPr>
              <w:t>数据成熟度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1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城区疏散场地分布图</w:t>
            </w:r>
          </w:p>
        </w:tc>
        <w:tc>
          <w:tcPr>
            <w:tcW w:type="dxa" w:w="38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B类，公开数据补齐，待复核</w:t>
            </w:r>
          </w:p>
        </w:tc>
      </w:tr>
      <w:tr>
        <w:trPr>
          <w:cantSplit/>
        </w:trPr>
        <w:tc>
          <w:tcPr>
            <w:tcW w:type="dxa" w:w="65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2</w:t>
            </w:r>
          </w:p>
        </w:tc>
        <w:tc>
          <w:tcPr>
            <w:tcW w:type="dxa" w:w="45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地震影响场分布图</w:t>
            </w:r>
          </w:p>
        </w:tc>
        <w:tc>
          <w:tcPr>
            <w:tcW w:type="dxa" w:w="387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A类，模型和CENC自动生成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3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经济损失预估专题图</w:t>
            </w:r>
          </w:p>
        </w:tc>
        <w:tc>
          <w:tcPr>
            <w:tcW w:type="dxa" w:w="38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A类，损失模型生成</w:t>
            </w:r>
          </w:p>
        </w:tc>
      </w:tr>
      <w:tr>
        <w:trPr>
          <w:cantSplit/>
        </w:trPr>
        <w:tc>
          <w:tcPr>
            <w:tcW w:type="dxa" w:w="65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4</w:t>
            </w:r>
          </w:p>
        </w:tc>
        <w:tc>
          <w:tcPr>
            <w:tcW w:type="dxa" w:w="45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救援力量需求专题图</w:t>
            </w:r>
          </w:p>
        </w:tc>
        <w:tc>
          <w:tcPr>
            <w:tcW w:type="dxa" w:w="387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A类，资源需求模型生成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5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人员死亡预估分布图</w:t>
            </w:r>
          </w:p>
        </w:tc>
        <w:tc>
          <w:tcPr>
            <w:tcW w:type="dxa" w:w="38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A类，损失模型生成</w:t>
            </w:r>
          </w:p>
        </w:tc>
      </w:tr>
      <w:tr>
        <w:trPr>
          <w:cantSplit/>
        </w:trPr>
        <w:tc>
          <w:tcPr>
            <w:tcW w:type="dxa" w:w="65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6</w:t>
            </w:r>
          </w:p>
        </w:tc>
        <w:tc>
          <w:tcPr>
            <w:tcW w:type="dxa" w:w="45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人员受伤预估分布图</w:t>
            </w:r>
          </w:p>
        </w:tc>
        <w:tc>
          <w:tcPr>
            <w:tcW w:type="dxa" w:w="387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A类，损失模型生成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7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人员压埋预估分布图</w:t>
            </w:r>
          </w:p>
        </w:tc>
        <w:tc>
          <w:tcPr>
            <w:tcW w:type="dxa" w:w="38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A类，损失模型生成</w:t>
            </w:r>
          </w:p>
        </w:tc>
      </w:tr>
      <w:tr>
        <w:trPr>
          <w:cantSplit/>
        </w:trPr>
        <w:tc>
          <w:tcPr>
            <w:tcW w:type="dxa" w:w="65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8</w:t>
            </w:r>
          </w:p>
        </w:tc>
        <w:tc>
          <w:tcPr>
            <w:tcW w:type="dxa" w:w="45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物资需求预估专题图</w:t>
            </w:r>
          </w:p>
        </w:tc>
        <w:tc>
          <w:tcPr>
            <w:tcW w:type="dxa" w:w="387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A类，资源需求模型生成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9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震区GDP图</w:t>
            </w:r>
          </w:p>
        </w:tc>
        <w:tc>
          <w:tcPr>
            <w:tcW w:type="dxa" w:w="38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A类，基础数据生成</w:t>
            </w:r>
          </w:p>
        </w:tc>
      </w:tr>
      <w:tr>
        <w:trPr>
          <w:cantSplit/>
        </w:trPr>
        <w:tc>
          <w:tcPr>
            <w:tcW w:type="dxa" w:w="65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10</w:t>
            </w:r>
          </w:p>
        </w:tc>
        <w:tc>
          <w:tcPr>
            <w:tcW w:type="dxa" w:w="45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震区地震动峰值加速度区划图</w:t>
            </w:r>
          </w:p>
        </w:tc>
        <w:tc>
          <w:tcPr>
            <w:tcW w:type="dxa" w:w="387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B类，公开数据补齐，待复核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11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震区交通图</w:t>
            </w:r>
          </w:p>
        </w:tc>
        <w:tc>
          <w:tcPr>
            <w:tcW w:type="dxa" w:w="38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A类，基础数据和本地底图生成</w:t>
            </w:r>
          </w:p>
        </w:tc>
      </w:tr>
      <w:tr>
        <w:trPr>
          <w:cantSplit/>
        </w:trPr>
        <w:tc>
          <w:tcPr>
            <w:tcW w:type="dxa" w:w="65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12</w:t>
            </w:r>
          </w:p>
        </w:tc>
        <w:tc>
          <w:tcPr>
            <w:tcW w:type="dxa" w:w="45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震区历史地震分布图</w:t>
            </w:r>
          </w:p>
        </w:tc>
        <w:tc>
          <w:tcPr>
            <w:tcW w:type="dxa" w:w="387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A类，历史地震目录生成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13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震区人口分布图</w:t>
            </w:r>
          </w:p>
        </w:tc>
        <w:tc>
          <w:tcPr>
            <w:tcW w:type="dxa" w:w="38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A类，基础数据生成</w:t>
            </w:r>
          </w:p>
        </w:tc>
      </w:tr>
      <w:tr>
        <w:trPr>
          <w:cantSplit/>
        </w:trPr>
        <w:tc>
          <w:tcPr>
            <w:tcW w:type="dxa" w:w="65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14</w:t>
            </w:r>
          </w:p>
        </w:tc>
        <w:tc>
          <w:tcPr>
            <w:tcW w:type="dxa" w:w="45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震区水库分布图</w:t>
            </w:r>
          </w:p>
        </w:tc>
        <w:tc>
          <w:tcPr>
            <w:tcW w:type="dxa" w:w="387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B类，公开数据补齐，待复核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15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震区危险源分布图</w:t>
            </w:r>
          </w:p>
        </w:tc>
        <w:tc>
          <w:tcPr>
            <w:tcW w:type="dxa" w:w="38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A类，基础数据生成</w:t>
            </w:r>
          </w:p>
        </w:tc>
      </w:tr>
      <w:tr>
        <w:trPr>
          <w:cantSplit/>
        </w:trPr>
        <w:tc>
          <w:tcPr>
            <w:tcW w:type="dxa" w:w="65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16</w:t>
            </w:r>
          </w:p>
        </w:tc>
        <w:tc>
          <w:tcPr>
            <w:tcW w:type="dxa" w:w="45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震区学校分布图</w:t>
            </w:r>
          </w:p>
        </w:tc>
        <w:tc>
          <w:tcPr>
            <w:tcW w:type="dxa" w:w="387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A类，基础数据生成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17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震区医院分布图</w:t>
            </w:r>
          </w:p>
        </w:tc>
        <w:tc>
          <w:tcPr>
            <w:tcW w:type="dxa" w:w="38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A类，基础数据生成</w:t>
            </w:r>
          </w:p>
        </w:tc>
      </w:tr>
      <w:tr>
        <w:trPr>
          <w:cantSplit/>
        </w:trPr>
        <w:tc>
          <w:tcPr>
            <w:tcW w:type="dxa" w:w="65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18</w:t>
            </w:r>
          </w:p>
        </w:tc>
        <w:tc>
          <w:tcPr>
            <w:tcW w:type="dxa" w:w="45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震中附近地铁分布图</w:t>
            </w:r>
          </w:p>
        </w:tc>
        <w:tc>
          <w:tcPr>
            <w:tcW w:type="dxa" w:w="387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B类，高德或公开数据补齐，待复核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19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震中附近地震台站分布图</w:t>
            </w:r>
          </w:p>
        </w:tc>
        <w:tc>
          <w:tcPr>
            <w:tcW w:type="dxa" w:w="38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B类，权威数据补齐，待复核</w:t>
            </w:r>
          </w:p>
        </w:tc>
      </w:tr>
      <w:tr>
        <w:trPr>
          <w:cantSplit/>
        </w:trPr>
        <w:tc>
          <w:tcPr>
            <w:tcW w:type="dxa" w:w="65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20</w:t>
            </w:r>
          </w:p>
        </w:tc>
        <w:tc>
          <w:tcPr>
            <w:tcW w:type="dxa" w:w="45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震中附近活动断裂图</w:t>
            </w:r>
          </w:p>
        </w:tc>
        <w:tc>
          <w:tcPr>
            <w:tcW w:type="dxa" w:w="387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A类，基础数据生成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21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震中附近建筑物分布图</w:t>
            </w:r>
          </w:p>
        </w:tc>
        <w:tc>
          <w:tcPr>
            <w:tcW w:type="dxa" w:w="38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A类，行政区聚合展示</w:t>
            </w:r>
          </w:p>
        </w:tc>
      </w:tr>
      <w:tr>
        <w:trPr>
          <w:cantSplit/>
        </w:trPr>
        <w:tc>
          <w:tcPr>
            <w:tcW w:type="dxa" w:w="65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22</w:t>
            </w:r>
          </w:p>
        </w:tc>
        <w:tc>
          <w:tcPr>
            <w:tcW w:type="dxa" w:w="45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震中附近建筑物公里格网分布图</w:t>
            </w:r>
          </w:p>
        </w:tc>
        <w:tc>
          <w:tcPr>
            <w:tcW w:type="dxa" w:w="387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C类，模型聚合，按质量等级标识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23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震中附近救援队伍分布图</w:t>
            </w:r>
          </w:p>
        </w:tc>
        <w:tc>
          <w:tcPr>
            <w:tcW w:type="dxa" w:w="38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B类，公开或责任组数据补齐，待复核</w:t>
            </w:r>
          </w:p>
        </w:tc>
      </w:tr>
      <w:tr>
        <w:trPr>
          <w:cantSplit/>
        </w:trPr>
        <w:tc>
          <w:tcPr>
            <w:tcW w:type="dxa" w:w="65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24</w:t>
            </w:r>
          </w:p>
        </w:tc>
        <w:tc>
          <w:tcPr>
            <w:tcW w:type="dxa" w:w="45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震中附近文物单位分布图</w:t>
            </w:r>
          </w:p>
        </w:tc>
        <w:tc>
          <w:tcPr>
            <w:tcW w:type="dxa" w:w="387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B类，公开数据补齐，待复核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25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震中附近重要目标分布图</w:t>
            </w:r>
          </w:p>
        </w:tc>
        <w:tc>
          <w:tcPr>
            <w:tcW w:type="dxa" w:w="38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A类，基础数据生成</w:t>
            </w:r>
          </w:p>
        </w:tc>
      </w:tr>
      <w:tr>
        <w:trPr>
          <w:cantSplit/>
        </w:trPr>
        <w:tc>
          <w:tcPr>
            <w:tcW w:type="dxa" w:w="65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26</w:t>
            </w:r>
          </w:p>
        </w:tc>
        <w:tc>
          <w:tcPr>
            <w:tcW w:type="dxa" w:w="45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震中位置分布图</w:t>
            </w:r>
          </w:p>
        </w:tc>
        <w:tc>
          <w:tcPr>
            <w:tcW w:type="dxa" w:w="387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A类，CENC自动生成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27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震中与主要城市距离分布图</w:t>
            </w:r>
          </w:p>
        </w:tc>
        <w:tc>
          <w:tcPr>
            <w:tcW w:type="dxa" w:w="38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A类，基础数据和空间计算生成</w:t>
            </w:r>
          </w:p>
        </w:tc>
      </w:tr>
    </w:tbl>
    <w:p/>
    <w:p>
      <w:pPr>
        <w:keepNext w:val="0"/>
        <w:spacing w:before="0" w:after="160" w:line="320" w:lineRule="auto"/>
        <w:jc w:val="both"/>
      </w:pPr>
      <w:r>
        <w:rPr>
          <w:rFonts w:ascii="Microsoft YaHei" w:hAnsi="Microsoft YaHei" w:eastAsia="Microsoft YaHei"/>
          <w:b w:val="0"/>
          <w:i w:val="0"/>
          <w:color w:val="24313D"/>
          <w:sz w:val="22"/>
        </w:rPr>
        <w:t>中国地震局模板中的遥感影像图和不同幅面版本作为报送格式映射，不增加第28类图件。旧系统只实现专业版，其他简化版本不纳入首期。</w:t>
      </w:r>
    </w:p>
    <w:p>
      <w:pPr>
        <w:pStyle w:val="Heading2"/>
      </w:pPr>
      <w:r>
        <w:t>7.2 文档和演示稿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513"/>
        <w:gridCol w:w="4513"/>
      </w:tblGrid>
      <w:tr>
        <w:trPr>
          <w:tblHeader w:val="true"/>
        </w:trPr>
        <w:tc>
          <w:tcPr>
            <w:tcW w:type="dxa" w:w="4513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核心成果</w:t>
            </w:r>
          </w:p>
        </w:tc>
        <w:tc>
          <w:tcPr>
            <w:tcW w:type="dxa" w:w="4513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背景成果</w:t>
            </w:r>
          </w:p>
        </w:tc>
      </w:tr>
      <w:tr>
        <w:trPr>
          <w:cantSplit/>
        </w:trPr>
        <w:tc>
          <w:tcPr>
            <w:tcW w:type="dxa" w:w="45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地震灾害快速评估简报 DOCX</w:t>
            </w:r>
          </w:p>
        </w:tc>
        <w:tc>
          <w:tcPr>
            <w:tcW w:type="dxa" w:w="45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地震背景信息、震区房屋统计、震区经济信息、震区人口信息</w:t>
            </w:r>
          </w:p>
        </w:tc>
      </w:tr>
      <w:tr>
        <w:trPr>
          <w:cantSplit/>
        </w:trPr>
        <w:tc>
          <w:tcPr>
            <w:tcW w:type="dxa" w:w="4513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地震灾害快速评估专报 DOCX</w:t>
            </w:r>
          </w:p>
        </w:tc>
        <w:tc>
          <w:tcPr>
            <w:tcW w:type="dxa" w:w="4513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重点目标信息、震中空间距离分布、震区基本情况</w:t>
            </w:r>
          </w:p>
        </w:tc>
      </w:tr>
      <w:tr>
        <w:trPr>
          <w:cantSplit/>
        </w:trPr>
        <w:tc>
          <w:tcPr>
            <w:tcW w:type="dxa" w:w="45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辅助决策报告 DOCX</w:t>
            </w:r>
          </w:p>
        </w:tc>
        <w:tc>
          <w:tcPr>
            <w:tcW w:type="dxa" w:w="45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历史地震和灾害地震目录</w:t>
            </w:r>
          </w:p>
        </w:tc>
      </w:tr>
      <w:tr>
        <w:trPr>
          <w:cantSplit/>
        </w:trPr>
        <w:tc>
          <w:tcPr>
            <w:tcW w:type="dxa" w:w="4513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辅助决策报告 PPTX</w:t>
            </w:r>
          </w:p>
        </w:tc>
        <w:tc>
          <w:tcPr>
            <w:tcW w:type="dxa" w:w="4513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按模板配置自动填充</w:t>
            </w:r>
          </w:p>
        </w:tc>
      </w:tr>
    </w:tbl>
    <w:p/>
    <w:p>
      <w:pPr>
        <w:keepNext w:val="0"/>
        <w:spacing w:before="0" w:after="160" w:line="320" w:lineRule="auto"/>
        <w:jc w:val="both"/>
      </w:pPr>
      <w:r>
        <w:rPr>
          <w:rFonts w:ascii="Microsoft YaHei" w:hAnsi="Microsoft YaHei" w:eastAsia="Microsoft YaHei"/>
          <w:b w:val="0"/>
          <w:i w:val="0"/>
          <w:color w:val="24313D"/>
          <w:sz w:val="22"/>
        </w:rPr>
        <w:t>正式事件成果无前缀，测试和演练成果带不可移除的“测试”或“演练”前缀。命名规则为：震中参考位置+震级+地震_成果名称_V版本_生成时间.扩展名。图件输出JPG或PNG，文档输出DOCX，演示稿输出PPTX，首期不输出PDF。</w:t>
      </w:r>
    </w:p>
    <w:p>
      <w:pPr>
        <w:pStyle w:val="Heading1"/>
      </w:pPr>
      <w:r>
        <w:t>8 工作组任务协同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6826"/>
      </w:tblGrid>
      <w:tr>
        <w:trPr>
          <w:tblHeader w:val="true"/>
        </w:trPr>
        <w:tc>
          <w:tcPr>
            <w:tcW w:type="dxa" w:w="22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工作组</w:t>
            </w:r>
          </w:p>
        </w:tc>
        <w:tc>
          <w:tcPr>
            <w:tcW w:type="dxa" w:w="6826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平台内主要任务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新闻信息值守组</w:t>
            </w:r>
          </w:p>
        </w:tc>
        <w:tc>
          <w:tcPr>
            <w:tcW w:type="dxa" w:w="68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新闻信息、舆情动态、发布素材和稿件流转</w:t>
            </w:r>
          </w:p>
        </w:tc>
      </w:tr>
      <w:tr>
        <w:trPr>
          <w:cantSplit/>
        </w:trPr>
        <w:tc>
          <w:tcPr>
            <w:tcW w:type="dxa" w:w="22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监测预报组</w:t>
            </w:r>
          </w:p>
        </w:tc>
        <w:tc>
          <w:tcPr>
            <w:tcW w:type="dxa" w:w="68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正式速报、仪器烈度、震源机制、余震序列和异常核实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综合协调组</w:t>
            </w:r>
          </w:p>
        </w:tc>
        <w:tc>
          <w:tcPr>
            <w:tcW w:type="dxa" w:w="68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响应建议、领导指令、各组状态、重大事项和外部协调</w:t>
            </w:r>
          </w:p>
        </w:tc>
      </w:tr>
      <w:tr>
        <w:trPr>
          <w:cantSplit/>
        </w:trPr>
        <w:tc>
          <w:tcPr>
            <w:tcW w:type="dxa" w:w="22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震害评估组</w:t>
            </w:r>
          </w:p>
        </w:tc>
        <w:tc>
          <w:tcPr>
            <w:tcW w:type="dxa" w:w="68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快速评估、烈度与损失复核、断层资料、现场准备和后续评估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应急技术组</w:t>
            </w:r>
          </w:p>
        </w:tc>
        <w:tc>
          <w:tcPr>
            <w:tcW w:type="dxa" w:w="68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系统启动、自动任务、图件报告生成、大厅运维、网络通信和技术保障</w:t>
            </w:r>
          </w:p>
        </w:tc>
      </w:tr>
      <w:tr>
        <w:trPr>
          <w:cantSplit/>
        </w:trPr>
        <w:tc>
          <w:tcPr>
            <w:tcW w:type="dxa" w:w="22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后勤保障组</w:t>
            </w:r>
          </w:p>
        </w:tc>
        <w:tc>
          <w:tcPr>
            <w:tcW w:type="dxa" w:w="68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人员、车辆、物资、场地、通信和生活保障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中心站组</w:t>
            </w:r>
          </w:p>
        </w:tc>
        <w:tc>
          <w:tcPr>
            <w:tcW w:type="dxa" w:w="68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按预案和模板承接日常与震时成果流转</w:t>
            </w:r>
          </w:p>
        </w:tc>
      </w:tr>
    </w:tbl>
    <w:p/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任务默认分派到工作组，不自动指定个人。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系统自动成果直接显示为系统自动版，人工成果经组长或代理副组长确认后发布。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任务状态包括待接收、处理中、待确认、已完成、超时、不再需要和失败。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修正成果生成新版本，原成果和操作过程继续保留。</w:t>
      </w:r>
    </w:p>
    <w:p>
      <w:pPr>
        <w:pStyle w:val="Heading1"/>
      </w:pPr>
      <w:r>
        <w:t>9 指挥大厅设计</w:t>
      </w:r>
    </w:p>
    <w:p>
      <w:pPr>
        <w:keepNext w:val="0"/>
        <w:spacing w:before="0" w:after="160" w:line="320" w:lineRule="auto"/>
        <w:jc w:val="both"/>
      </w:pPr>
      <w:r>
        <w:rPr>
          <w:rFonts w:ascii="Microsoft YaHei" w:hAnsi="Microsoft YaHei" w:eastAsia="Microsoft YaHei"/>
          <w:b w:val="0"/>
          <w:i w:val="0"/>
          <w:color w:val="24313D"/>
          <w:sz w:val="22"/>
        </w:rPr>
        <w:t>应急指挥大厅面向局领导、综合协调和全部工作组，承担事件总览、任务协同和成果集中展示。整屏显示面积为29.16平方米，整屏分辨率为7680×2430。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事件态势：T0、T1、震中、震级、深度、影响范围和响应建议。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任务进度：7个工作组任务状态、时限、超时和成果数量。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评估成果：烈度、建筑破坏、人员伤亡、经济损失和资源需求。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地图联动：专题图、历史事件、断裂带、重点目标和空间查询。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消息通知：站内消息和系统告警，外部渠道预留接口。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26"/>
      </w:tblGrid>
      <w:tr>
        <w:tc>
          <w:tcPr>
            <w:tcW w:type="dxa" w:w="9026"/>
            <w:shd w:fill="#EE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60" w:after="60" w:line="300" w:lineRule="auto"/>
            </w:pPr>
            <w:r>
              <w:rPr>
                <w:rFonts w:ascii="Microsoft YaHei" w:hAnsi="Microsoft YaHei" w:eastAsia="Microsoft YaHei"/>
                <w:b/>
                <w:color w:val="173B57"/>
                <w:sz w:val="21"/>
              </w:rPr>
              <w:t xml:space="preserve">界面边界  </w:t>
            </w:r>
            <w:r>
              <w:rPr>
                <w:rFonts w:ascii="Microsoft YaHei" w:hAnsi="Microsoft YaHei" w:eastAsia="Microsoft YaHei"/>
                <w:color w:val="24313D"/>
                <w:sz w:val="21"/>
              </w:rPr>
              <w:t>只支持桌面和大屏，不开发手机端。所有元素在7680×2430下不得重叠、溢出或遮挡关键信息。</w:t>
            </w:r>
          </w:p>
        </w:tc>
      </w:tr>
    </w:tbl>
    <w:p/>
    <w:p>
      <w:pPr>
        <w:pStyle w:val="Heading1"/>
      </w:pPr>
      <w:r>
        <w:t>10 信创系统总体架构与技术路线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88000" cy="286750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8675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40" w:after="160" w:line="240" w:lineRule="auto"/>
        <w:jc w:val="center"/>
      </w:pPr>
      <w:r>
        <w:rPr>
          <w:rFonts w:ascii="Microsoft YaHei" w:hAnsi="Microsoft YaHei" w:eastAsia="Microsoft YaHei"/>
          <w:b w:val="0"/>
          <w:i/>
          <w:color w:val="5F6B76"/>
          <w:sz w:val="18"/>
        </w:rPr>
        <w:t>图3  信创环境系统总体逻辑架构</w:t>
      </w:r>
    </w:p>
    <w:p>
      <w:pPr>
        <w:pStyle w:val="Heading2"/>
      </w:pPr>
      <w:r>
        <w:t>10.1 架构选择</w:t>
      </w:r>
    </w:p>
    <w:p>
      <w:pPr>
        <w:keepNext w:val="0"/>
        <w:spacing w:before="0" w:after="160" w:line="320" w:lineRule="auto"/>
        <w:jc w:val="both"/>
      </w:pPr>
      <w:r>
        <w:rPr>
          <w:rFonts w:ascii="Microsoft YaHei" w:hAnsi="Microsoft YaHei" w:eastAsia="Microsoft YaHei"/>
          <w:b w:val="0"/>
          <w:i w:val="0"/>
          <w:color w:val="24313D"/>
          <w:sz w:val="22"/>
        </w:rPr>
        <w:t>首期采用模块化单体、异步任务编排和双节点高可用部署。应用、数据库、网络和安全关键节点均保留冗余，AI推理独立部署。核心软硬件优先选用国产化产品，操作系统同时兼容银河麒麟和统信UOS，应用通过国产中间件发布，空间数据由国产数据库空间扩展和SuperMap iServer提供。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3600"/>
        <w:gridCol w:w="3926"/>
      </w:tblGrid>
      <w:tr>
        <w:trPr>
          <w:tblHeader w:val="true"/>
        </w:trPr>
        <w:tc>
          <w:tcPr>
            <w:tcW w:type="dxa" w:w="15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6"/>
              </w:rPr>
              <w:t>层级</w:t>
            </w:r>
          </w:p>
        </w:tc>
        <w:tc>
          <w:tcPr>
            <w:tcW w:type="dxa" w:w="36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6"/>
              </w:rPr>
              <w:t>组件</w:t>
            </w:r>
          </w:p>
        </w:tc>
        <w:tc>
          <w:tcPr>
            <w:tcW w:type="dxa" w:w="3926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6"/>
              </w:rPr>
              <w:t>主要职责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操作系统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银河麒麟V10 SP3主选，统信UOS Server备用</w:t>
            </w:r>
          </w:p>
        </w:tc>
        <w:tc>
          <w:tcPr>
            <w:tcW w:type="dxa" w:w="39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服务器、数据库、浏览器和安全软件运行底座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前端</w:t>
            </w:r>
          </w:p>
        </w:tc>
        <w:tc>
          <w:tcPr>
            <w:tcW w:type="dxa" w:w="36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Vue 3、TypeScript、Vite、SuperMap iClient、ECharts</w:t>
            </w:r>
          </w:p>
        </w:tc>
        <w:tc>
          <w:tcPr>
            <w:tcW w:type="dxa" w:w="39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事件控制台、地图、任务和指挥大厅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后端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Java 17/21、Spring Boot 3、通软TongWeb</w:t>
            </w:r>
          </w:p>
        </w:tc>
        <w:tc>
          <w:tcPr>
            <w:tcW w:type="dxa" w:w="39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事件、数据、评估、任务、知识和接口服务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数据</w:t>
            </w:r>
          </w:p>
        </w:tc>
        <w:tc>
          <w:tcPr>
            <w:tcW w:type="dxa" w:w="36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人大金仓KingbaseES V9、KingbaseGIS、向量检索组件</w:t>
            </w:r>
          </w:p>
        </w:tc>
        <w:tc>
          <w:tcPr>
            <w:tcW w:type="dxa" w:w="39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事务、空间分析、全文和知识向量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编排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国产容器云、国产工作流调度平台</w:t>
            </w:r>
          </w:p>
        </w:tc>
        <w:tc>
          <w:tcPr>
            <w:tcW w:type="dxa" w:w="39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自动流程、并行任务、重试、超时和资源调度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存储</w:t>
            </w:r>
          </w:p>
        </w:tc>
        <w:tc>
          <w:tcPr>
            <w:tcW w:type="dxa" w:w="36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国产分布式对象存储和集中存储</w:t>
            </w:r>
          </w:p>
        </w:tc>
        <w:tc>
          <w:tcPr>
            <w:tcW w:type="dxa" w:w="39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原始报文、图件、报告、附件和底图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空间服务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SuperMap iServer、iDesktopX、PMTiles/MBTiles</w:t>
            </w:r>
          </w:p>
        </w:tc>
        <w:tc>
          <w:tcPr>
            <w:tcW w:type="dxa" w:w="39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空间服务、切图、专题图层和制图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AI推理</w:t>
            </w:r>
          </w:p>
        </w:tc>
        <w:tc>
          <w:tcPr>
            <w:tcW w:type="dxa" w:w="36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国产AI服务器、本地DeepSeek/Qwen、RAG平台</w:t>
            </w:r>
          </w:p>
        </w:tc>
        <w:tc>
          <w:tcPr>
            <w:tcW w:type="dxa" w:w="39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知识问答、引用和受控工具调用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制图文档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国产浏览器渲染、Apache POI、LibreOffice/WPS</w:t>
            </w:r>
          </w:p>
        </w:tc>
        <w:tc>
          <w:tcPr>
            <w:tcW w:type="dxa" w:w="39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27类图件、DOCX和PPTX成果生产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运维安全</w:t>
            </w:r>
          </w:p>
        </w:tc>
        <w:tc>
          <w:tcPr>
            <w:tcW w:type="dxa" w:w="36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国产统一监控、日志审计、主机安全、漏洞扫描</w:t>
            </w:r>
          </w:p>
        </w:tc>
        <w:tc>
          <w:tcPr>
            <w:tcW w:type="dxa" w:w="39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监控、日志、告警、合规和安全审计</w:t>
            </w:r>
          </w:p>
        </w:tc>
      </w:tr>
    </w:tbl>
    <w:p/>
    <w:p>
      <w:pPr>
        <w:pStyle w:val="Heading2"/>
      </w:pPr>
      <w:r>
        <w:t>10.2 关键设计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事件启动时锁定事件、烈度、数据、模型、模板和知识库快照。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真实事件优先级高于测试和演练任务，单个任务失败不阻塞其他成果。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底图、字体、模板、浏览器进程和空间索引预热，满足T1+5分钟硬约束。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高德离线数据为主、天地图离线数据备用；正式出图只使用本地授权底图，不调用在线地图接口。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AI模型、知识库和向量检索全部部署在本地信创服务器，不依赖外部在线模型和网络检索。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应用与数据库双节点部署，主节点故障时由备用节点接管，存储、交换机和防火墙不存在单点。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所有中间件、数据库、GIS和AI组件必须提供与所选CPU、Kylin/UOS版本的兼容性证明。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88000" cy="286750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loy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8675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40" w:after="160" w:line="240" w:lineRule="auto"/>
        <w:jc w:val="center"/>
      </w:pPr>
      <w:r>
        <w:rPr>
          <w:rFonts w:ascii="Microsoft YaHei" w:hAnsi="Microsoft YaHei" w:eastAsia="Microsoft YaHei"/>
          <w:b w:val="0"/>
          <w:i/>
          <w:color w:val="5F6B76"/>
          <w:sz w:val="18"/>
        </w:rPr>
        <w:t>图4  信创高可用部署边界</w:t>
      </w:r>
    </w:p>
    <w:p>
      <w:pPr>
        <w:pStyle w:val="Heading2"/>
      </w:pPr>
      <w:r>
        <w:t>10.3 公开资料与技术调研结论</w:t>
      </w:r>
    </w:p>
    <w:p>
      <w:pPr>
        <w:keepNext w:val="0"/>
        <w:spacing w:before="0" w:after="160" w:line="320" w:lineRule="auto"/>
        <w:jc w:val="both"/>
      </w:pPr>
      <w:r>
        <w:rPr>
          <w:rFonts w:ascii="Microsoft YaHei" w:hAnsi="Microsoft YaHei" w:eastAsia="Microsoft YaHei"/>
          <w:b w:val="0"/>
          <w:i w:val="0"/>
          <w:color w:val="24313D"/>
          <w:sz w:val="22"/>
        </w:rPr>
        <w:t>方案调研了近年快速评估、损失评估和应急制图论文，国内外公开系统以及相关专利方向。调研结论是采用成熟方法组合和自主可控的数据链，不直接嵌入许可证不兼容的灾害计算引擎。USGS PAGER和ShakeMap用于产品组织、影响圈和烈度表达的方法借鉴；OpenQuake仅用于离线校核；上海本地模型、参数和制图模板独立建设。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4200"/>
        <w:gridCol w:w="2726"/>
      </w:tblGrid>
      <w:tr>
        <w:trPr>
          <w:tblHeader w:val="true"/>
        </w:trPr>
        <w:tc>
          <w:tcPr>
            <w:tcW w:type="dxa" w:w="21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6"/>
              </w:rPr>
              <w:t>调研方向</w:t>
            </w:r>
          </w:p>
        </w:tc>
        <w:tc>
          <w:tcPr>
            <w:tcW w:type="dxa" w:w="42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6"/>
              </w:rPr>
              <w:t>代表资料</w:t>
            </w:r>
          </w:p>
        </w:tc>
        <w:tc>
          <w:tcPr>
            <w:tcW w:type="dxa" w:w="2726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6"/>
              </w:rPr>
              <w:t>本方案采纳方式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人员伤亡和损失评估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《地震人员伤亡评估方法及损失评估系统综述》（2021）；《Developing a rapid assessment framework for China earthquake》（2024）</w:t>
            </w:r>
          </w:p>
        </w:tc>
        <w:tc>
          <w:tcPr>
            <w:tcW w:type="dxa" w:w="27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采用可解释参数模型，输出中心值、区间和质量等级</w:t>
            </w:r>
          </w:p>
        </w:tc>
      </w:tr>
      <w:tr>
        <w:trPr>
          <w:cantSplit/>
        </w:trPr>
        <w:tc>
          <w:tcPr>
            <w:tcW w:type="dxa" w:w="21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快速评估和应急制图</w:t>
            </w:r>
          </w:p>
        </w:tc>
        <w:tc>
          <w:tcPr>
            <w:tcW w:type="dxa" w:w="42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离线式地震灾害快速评估与应急制图系统（2023）；基于ShakeMap的建筑物灾害快速评估系统（2024）</w:t>
            </w:r>
          </w:p>
        </w:tc>
        <w:tc>
          <w:tcPr>
            <w:tcW w:type="dxa" w:w="27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本地快照、并行计算、模板制图和断网降级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多源动态评估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定日6.8级地震多源信息动态评估（2025）；Tingri建筑损失快速评估（2025）</w:t>
            </w:r>
          </w:p>
        </w:tc>
        <w:tc>
          <w:tcPr>
            <w:tcW w:type="dxa" w:w="27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模型烈度与仪器烈度并行、融合并保留来源差异</w:t>
            </w:r>
          </w:p>
        </w:tc>
      </w:tr>
      <w:tr>
        <w:trPr>
          <w:cantSplit/>
        </w:trPr>
        <w:tc>
          <w:tcPr>
            <w:tcW w:type="dxa" w:w="21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专利技术方向</w:t>
            </w:r>
          </w:p>
        </w:tc>
        <w:tc>
          <w:tcPr>
            <w:tcW w:type="dxa" w:w="42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大震灾情快速评估、固定资本存量经济损失评估、生命线工程损失评估等专利方向</w:t>
            </w:r>
          </w:p>
        </w:tc>
        <w:tc>
          <w:tcPr>
            <w:tcW w:type="dxa" w:w="27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仅借鉴技术边界和评价思路，不假定可直接使用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GitHub开源项目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OpenQuake、USGS PAGER、ShakeMap、earthquake-impact-utils</w:t>
            </w:r>
          </w:p>
        </w:tc>
        <w:tc>
          <w:tcPr>
            <w:tcW w:type="dxa" w:w="27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用于离线校核、方法验证和接口研究，不把AGPL组件嵌入核心平台</w:t>
            </w:r>
          </w:p>
        </w:tc>
      </w:tr>
    </w:tbl>
    <w:p/>
    <w:p>
      <w:pPr>
        <w:pStyle w:val="Heading1"/>
      </w:pPr>
      <w:r>
        <w:t>11 AI知识问答与地图联动</w:t>
      </w:r>
    </w:p>
    <w:p>
      <w:pPr>
        <w:keepNext w:val="0"/>
        <w:spacing w:before="0" w:after="160" w:line="320" w:lineRule="auto"/>
        <w:jc w:val="both"/>
      </w:pPr>
      <w:r>
        <w:rPr>
          <w:rFonts w:ascii="Microsoft YaHei" w:hAnsi="Microsoft YaHei" w:eastAsia="Microsoft YaHei"/>
          <w:b w:val="0"/>
          <w:i w:val="0"/>
          <w:color w:val="24313D"/>
          <w:sz w:val="22"/>
        </w:rPr>
        <w:t>AI定位为专业检索、确定性计算和地图联动工具，不作为决策责任主体。领导可以询问震中附近断裂、历史地震、人口、重点目标、响应条件和已有成果等问题。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4200"/>
        <w:gridCol w:w="3226"/>
      </w:tblGrid>
      <w:tr>
        <w:trPr>
          <w:tblHeader w:val="true"/>
        </w:trPr>
        <w:tc>
          <w:tcPr>
            <w:tcW w:type="dxa" w:w="16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能力</w:t>
            </w:r>
          </w:p>
        </w:tc>
        <w:tc>
          <w:tcPr>
            <w:tcW w:type="dxa" w:w="42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首期范围</w:t>
            </w:r>
          </w:p>
        </w:tc>
        <w:tc>
          <w:tcPr>
            <w:tcW w:type="dxa" w:w="3226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限制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文字问答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自然语言提问、表格和结论摘要</w:t>
            </w:r>
          </w:p>
        </w:tc>
        <w:tc>
          <w:tcPr>
            <w:tcW w:type="dxa" w:w="32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不做语音和图片识别</w:t>
            </w:r>
          </w:p>
        </w:tc>
      </w:tr>
      <w:tr>
        <w:trPr>
          <w:cantSplit/>
        </w:trPr>
        <w:tc>
          <w:tcPr>
            <w:tcW w:type="dxa" w:w="16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空间计算</w:t>
            </w:r>
          </w:p>
        </w:tc>
        <w:tc>
          <w:tcPr>
            <w:tcW w:type="dxa" w:w="42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距离、缓冲区、历史地震和行政区查询</w:t>
            </w:r>
          </w:p>
        </w:tc>
        <w:tc>
          <w:tcPr>
            <w:tcW w:type="dxa" w:w="32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由KingbaseGIS计算，不由模型编造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地图联动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高亮震中、断裂、历史事件和重点目标</w:t>
            </w:r>
          </w:p>
        </w:tc>
        <w:tc>
          <w:tcPr>
            <w:tcW w:type="dxa" w:w="32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不直接生成坐标</w:t>
            </w:r>
          </w:p>
        </w:tc>
      </w:tr>
      <w:tr>
        <w:trPr>
          <w:cantSplit/>
        </w:trPr>
        <w:tc>
          <w:tcPr>
            <w:tcW w:type="dxa" w:w="16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知识检索</w:t>
            </w:r>
          </w:p>
        </w:tc>
        <w:tc>
          <w:tcPr>
            <w:tcW w:type="dxa" w:w="42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预案、规章、历史成果和授权知识库</w:t>
            </w:r>
          </w:p>
        </w:tc>
        <w:tc>
          <w:tcPr>
            <w:tcW w:type="dxa" w:w="32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回答显示来源、时间和口径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知识更新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通过审批的离线知识包和规范文件导入</w:t>
            </w:r>
          </w:p>
        </w:tc>
        <w:tc>
          <w:tcPr>
            <w:tcW w:type="dxa" w:w="32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全内网环境不访问互联网，更新前完成来源核验</w:t>
            </w:r>
          </w:p>
        </w:tc>
      </w:tr>
    </w:tbl>
    <w:p/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26"/>
      </w:tblGrid>
      <w:tr>
        <w:tc>
          <w:tcPr>
            <w:tcW w:type="dxa" w:w="9026"/>
            <w:shd w:fill="#FFF8E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60" w:after="60" w:line="300" w:lineRule="auto"/>
            </w:pPr>
            <w:r>
              <w:rPr>
                <w:rFonts w:ascii="Microsoft YaHei" w:hAnsi="Microsoft YaHei" w:eastAsia="Microsoft YaHei"/>
                <w:b/>
                <w:color w:val="173B57"/>
                <w:sz w:val="21"/>
              </w:rPr>
              <w:t xml:space="preserve">AI边界  </w:t>
            </w:r>
            <w:r>
              <w:rPr>
                <w:rFonts w:ascii="Microsoft YaHei" w:hAnsi="Microsoft YaHei" w:eastAsia="Microsoft YaHei"/>
                <w:color w:val="24313D"/>
                <w:sz w:val="21"/>
              </w:rPr>
              <w:t>没有可靠依据时明确回答现有资料无法确认。AI不替代领导启动制度响应，不发布命令，不形成对外结论。</w:t>
            </w:r>
          </w:p>
        </w:tc>
      </w:tr>
    </w:tbl>
    <w:p/>
    <w:p>
      <w:pPr>
        <w:pStyle w:val="Heading1"/>
      </w:pPr>
      <w:r>
        <w:t>12 测试、演练与运行维护</w:t>
      </w:r>
    </w:p>
    <w:p>
      <w:pPr>
        <w:pStyle w:val="Heading2"/>
      </w:pPr>
      <w:r>
        <w:t>12.1 测试与演练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每天随机时间自动触发一次测试地震，同时支持人工触发。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上海市行政区域内5.0至5.9级测试事件完整生成全部27类图件和报告。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测试和演练成果带不可移除标识，真实事件到达时自动暂停测试任务。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测试事件和成果保留400天，演练事件和成果保留2年，正式事件长期保留。</w:t>
      </w:r>
    </w:p>
    <w:p>
      <w:pPr>
        <w:pStyle w:val="Heading2"/>
      </w:pPr>
      <w:r>
        <w:t>12.2 监控与异常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监控报文接入、任务队列、模型、制图、报告、数据库、对象存储、磁盘和服务器资源。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数据源或外部服务中断时重试并记录缺口，不生成虚构事件和结果。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单个模型、地图或报告失败时隔离并重试，通知应急技术组。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通知渠道异常时回落到站内消息，不阻塞评估和制图主流程。</w:t>
      </w:r>
    </w:p>
    <w:p>
      <w:pPr>
        <w:pStyle w:val="Heading1"/>
      </w:pPr>
      <w:r>
        <w:t>13 安全、备份与审计</w:t>
      </w:r>
    </w:p>
    <w:p>
      <w:pPr>
        <w:pStyle w:val="Heading2"/>
      </w:pPr>
      <w:r>
        <w:t>13.1 身份与权限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使用本地账号体系，按局领导、组长、代理副组长、组员、数据人员和超级管理员划分权限。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按用户要求不启用二次验证，高风险操作不进行密码复验，不强制填写原因。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超级管理员可以覆盖错误成果、直接重新发布，并彻底删除原始报文、报告和日志。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普通操作保留操作人、时间、对象和结果；所有版本和快照保留追溯关系。</w:t>
      </w:r>
    </w:p>
    <w:p>
      <w:pPr>
        <w:pStyle w:val="Heading2"/>
      </w:pPr>
      <w:r>
        <w:t>13.2 部署和备份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226"/>
      </w:tblGrid>
      <w:tr>
        <w:trPr>
          <w:tblHeader w:val="true"/>
        </w:trPr>
        <w:tc>
          <w:tcPr>
            <w:tcW w:type="dxa" w:w="18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项目</w:t>
            </w:r>
          </w:p>
        </w:tc>
        <w:tc>
          <w:tcPr>
            <w:tcW w:type="dxa" w:w="7226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方案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生产环境</w:t>
            </w:r>
          </w:p>
        </w:tc>
        <w:tc>
          <w:tcPr>
            <w:tcW w:type="dxa" w:w="72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上海市地震局本地信创机房，全内网生产区独立部署，不直接连接互联网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应用节点</w:t>
            </w:r>
          </w:p>
        </w:tc>
        <w:tc>
          <w:tcPr>
            <w:tcW w:type="dxa" w:w="72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2台国产CPU服务器，部署Kylin/UOS、TongWeb和应用服务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数据库节点</w:t>
            </w:r>
          </w:p>
        </w:tc>
        <w:tc>
          <w:tcPr>
            <w:tcW w:type="dxa" w:w="72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2台国产CPU服务器，部署KingbaseES和KingbaseGIS主备集群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AI节点</w:t>
            </w:r>
          </w:p>
        </w:tc>
        <w:tc>
          <w:tcPr>
            <w:tcW w:type="dxa" w:w="72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1台国产AI推理服务器，承载本地大模型、知识库和向量检索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集中存储</w:t>
            </w:r>
          </w:p>
        </w:tc>
        <w:tc>
          <w:tcPr>
            <w:tcW w:type="dxa" w:w="72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1套国产集中存储，配置约96TB裸容量，保存数据、底图和成果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备份设备</w:t>
            </w:r>
          </w:p>
        </w:tc>
        <w:tc>
          <w:tcPr>
            <w:tcW w:type="dxa" w:w="72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1台国产备份一体机，容量不低于60TB可用空间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网络边界</w:t>
            </w:r>
          </w:p>
        </w:tc>
        <w:tc>
          <w:tcPr>
            <w:tcW w:type="dxa" w:w="72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2台万兆交换机和2台下一代防火墙，关键链路双上联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安全审计</w:t>
            </w:r>
          </w:p>
        </w:tc>
        <w:tc>
          <w:tcPr>
            <w:tcW w:type="dxa" w:w="72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配置日志审计、数据库审计、主机安全、漏洞扫描、内网VPN和堡垒机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高可用</w:t>
            </w:r>
          </w:p>
        </w:tc>
        <w:tc>
          <w:tcPr>
            <w:tcW w:type="dxa" w:w="72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应用和数据库支持故障切换，单节点维护不影响业务运行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每日备份</w:t>
            </w:r>
          </w:p>
        </w:tc>
        <w:tc>
          <w:tcPr>
            <w:tcW w:type="dxa" w:w="72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增量保留30天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每月备份</w:t>
            </w:r>
          </w:p>
        </w:tc>
        <w:tc>
          <w:tcPr>
            <w:tcW w:type="dxa" w:w="72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完整恢复点保留12个月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恢复验证</w:t>
            </w:r>
          </w:p>
        </w:tc>
        <w:tc>
          <w:tcPr>
            <w:tcW w:type="dxa" w:w="72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每月执行一次真实恢复验证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容量保护</w:t>
            </w:r>
          </w:p>
        </w:tc>
        <w:tc>
          <w:tcPr>
            <w:tcW w:type="dxa" w:w="72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主存储和备份空间设置阈值告警，备份空间保留至少15%空闲空间</w:t>
            </w:r>
          </w:p>
        </w:tc>
      </w:tr>
    </w:tbl>
    <w:p/>
    <w:p>
      <w:pPr>
        <w:pStyle w:val="Heading1"/>
      </w:pPr>
      <w:r>
        <w:t>14 实施阶段与任务拆分</w:t>
      </w:r>
    </w:p>
    <w:p>
      <w:pPr>
        <w:keepNext w:val="0"/>
        <w:spacing w:before="0" w:after="160" w:line="320" w:lineRule="auto"/>
        <w:jc w:val="both"/>
      </w:pPr>
      <w:r>
        <w:rPr>
          <w:rFonts w:ascii="Microsoft YaHei" w:hAnsi="Microsoft YaHei" w:eastAsia="Microsoft YaHei"/>
          <w:b w:val="0"/>
          <w:i w:val="0"/>
          <w:color w:val="24313D"/>
          <w:sz w:val="22"/>
        </w:rPr>
        <w:t>设计规格覆盖多个可以独立测试的子系统，不能用一个实施计划一次性完成。实施按“先主链路、再数据、再模型、再成果、再协同、最后智能化和运维”的顺序推进，每个阶段都形成可运行、可测试的成果。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2600"/>
        <w:gridCol w:w="5326"/>
      </w:tblGrid>
      <w:tr>
        <w:trPr>
          <w:tblHeader w:val="true"/>
        </w:trPr>
        <w:tc>
          <w:tcPr>
            <w:tcW w:type="dxa" w:w="11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阶段</w:t>
            </w:r>
          </w:p>
        </w:tc>
        <w:tc>
          <w:tcPr>
            <w:tcW w:type="dxa" w:w="26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子系统</w:t>
            </w:r>
          </w:p>
        </w:tc>
        <w:tc>
          <w:tcPr>
            <w:tcW w:type="dxa" w:w="5326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主要交付物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阶段0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信创环境建设</w:t>
            </w:r>
          </w:p>
        </w:tc>
        <w:tc>
          <w:tcPr>
            <w:tcW w:type="dxa" w:w="53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硬件采购、操作系统、数据库、中间件、GIS、AI和兼容性验证</w:t>
            </w:r>
          </w:p>
        </w:tc>
      </w:tr>
      <w:tr>
        <w:trPr>
          <w:cantSplit/>
        </w:trPr>
        <w:tc>
          <w:tcPr>
            <w:tcW w:type="dxa" w:w="11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阶段1</w:t>
            </w:r>
          </w:p>
        </w:tc>
        <w:tc>
          <w:tcPr>
            <w:tcW w:type="dxa" w:w="26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事件接入基础</w:t>
            </w:r>
          </w:p>
        </w:tc>
        <w:tc>
          <w:tcPr>
            <w:tcW w:type="dxa" w:w="53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CENC事件、修订、两级响应、认证和事件控制台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阶段2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数据资产管理</w:t>
            </w:r>
          </w:p>
        </w:tc>
        <w:tc>
          <w:tcPr>
            <w:tcW w:type="dxa" w:w="53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数据目录、导入校验、版本发布、回滚和快照</w:t>
            </w:r>
          </w:p>
        </w:tc>
      </w:tr>
      <w:tr>
        <w:trPr>
          <w:cantSplit/>
        </w:trPr>
        <w:tc>
          <w:tcPr>
            <w:tcW w:type="dxa" w:w="11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阶段3</w:t>
            </w:r>
          </w:p>
        </w:tc>
        <w:tc>
          <w:tcPr>
            <w:tcW w:type="dxa" w:w="26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灾害评估引擎</w:t>
            </w:r>
          </w:p>
        </w:tc>
        <w:tc>
          <w:tcPr>
            <w:tcW w:type="dxa" w:w="53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烈度融合、建筑破坏、伤亡、经济和资源需求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阶段4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制图和报告</w:t>
            </w:r>
          </w:p>
        </w:tc>
        <w:tc>
          <w:tcPr>
            <w:tcW w:type="dxa" w:w="53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27类图件、4类核心文档、8类背景文档和5分钟基准</w:t>
            </w:r>
          </w:p>
        </w:tc>
      </w:tr>
      <w:tr>
        <w:trPr>
          <w:cantSplit/>
        </w:trPr>
        <w:tc>
          <w:tcPr>
            <w:tcW w:type="dxa" w:w="11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阶段5</w:t>
            </w:r>
          </w:p>
        </w:tc>
        <w:tc>
          <w:tcPr>
            <w:tcW w:type="dxa" w:w="26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任务协同和指挥大厅</w:t>
            </w:r>
          </w:p>
        </w:tc>
        <w:tc>
          <w:tcPr>
            <w:tcW w:type="dxa" w:w="53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7组任务、时限、上传确认、大屏和通知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阶段6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AI知识问答</w:t>
            </w:r>
          </w:p>
        </w:tc>
        <w:tc>
          <w:tcPr>
            <w:tcW w:type="dxa" w:w="53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知识库、引用、空间工具、地图联动</w:t>
            </w:r>
          </w:p>
        </w:tc>
      </w:tr>
      <w:tr>
        <w:trPr>
          <w:cantSplit/>
        </w:trPr>
        <w:tc>
          <w:tcPr>
            <w:tcW w:type="dxa" w:w="11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阶段7</w:t>
            </w:r>
          </w:p>
        </w:tc>
        <w:tc>
          <w:tcPr>
            <w:tcW w:type="dxa" w:w="26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测试运维</w:t>
            </w:r>
          </w:p>
        </w:tc>
        <w:tc>
          <w:tcPr>
            <w:tcW w:type="dxa" w:w="53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每日测试、演练、监控、备份和恢复验证</w:t>
            </w:r>
          </w:p>
        </w:tc>
      </w:tr>
    </w:tbl>
    <w:p/>
    <w:p>
      <w:pPr>
        <w:pStyle w:val="Heading2"/>
      </w:pPr>
      <w:r>
        <w:t>14.1 首期实施优先顺序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先完成信创产品兼容性验证和硬件到货，形成数据库、中间件、GIS、AI和操作系统的稳定基线。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先建立事件、报文、修订和响应规则，使真实事件能够稳定进入平台。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再建立数据资产和快照，确保模型和制图有稳定输入。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随后并行开发评估引擎和制图报告，尽早验证T1+5分钟性能。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评估主链路稳定后接入7组任务和指挥大厅。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最后接入AI问答、通知适配和完整运维测试。</w:t>
      </w:r>
    </w:p>
    <w:p>
      <w:pPr>
        <w:pStyle w:val="Heading1"/>
      </w:pPr>
      <w:r>
        <w:t>15 首期验收标准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自动速报建立待定事件，正式速报触发评估，手工、测试和演练事件独立运行。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上海市行政区域内一次5.0至5.9级测试地震，从T1到全部27类图件、4类核心成果和8类背景文档完成，不超过5分钟。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自动、正式和修正报文乱序或重复到达时能够去重、合并和生成修订版。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升级补任务，降级取消未开始任务，历史成果和过程记录不丢失。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数据源、模型、地图、存储、通知和单任务失败时能够隔离、告警并继续完成其他成果。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7个工作组完成任务接收、成果上传、组长或代理副组长确认、版本查看和大屏展示。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数据导入、校验、候选版本、发布、回滚、更新提醒和事件快照正常工作。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AI能够完成断层距离、历史地震、人口、行政区和成果统计问题并联动地图，无依据时不编造。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真实事件与测试或演练并发时，真实事件优先。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每日随机测试、手工测试、成果保留、超级管理员覆盖和删除规则符合要求。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每日增量、每月完整备份和恢复验证正常，不影响正式事件。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大屏在7680×2430下无重叠、溢出和关键内容遮挡。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全部生产组件能够在选定国产CPU和Kylin/UOS环境稳定运行，并提供兼容性证明。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应用和数据库完成主备切换验证，存储、交换机和防火墙无单点故障。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生产区无互联网出口条件下，CENC离线报文导入、离线地图、AI问答和5分钟成果仍可正常运行。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操作系统、数据库、地图、模型和知识库能够通过离线包完成升级、回滚和审计。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所有硬件、基础软件、开发实施和运行保障费用均已完成列支并纳入采购计划。</w:t>
      </w:r>
    </w:p>
    <w:p>
      <w:pPr>
        <w:pStyle w:val="Heading1"/>
      </w:pPr>
      <w:r>
        <w:t>16 风险、依赖与应对措施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2800"/>
        <w:gridCol w:w="3926"/>
      </w:tblGrid>
      <w:tr>
        <w:trPr>
          <w:tblHeader w:val="true"/>
        </w:trPr>
        <w:tc>
          <w:tcPr>
            <w:tcW w:type="dxa" w:w="23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风险或依赖</w:t>
            </w:r>
          </w:p>
        </w:tc>
        <w:tc>
          <w:tcPr>
            <w:tcW w:type="dxa" w:w="28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影响</w:t>
            </w:r>
          </w:p>
        </w:tc>
        <w:tc>
          <w:tcPr>
            <w:tcW w:type="dxa" w:w="3926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应对措施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旧系统参数缺失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无法完全复现旧结果</w:t>
            </w:r>
          </w:p>
        </w:tc>
        <w:tc>
          <w:tcPr>
            <w:tcW w:type="dxa" w:w="39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重建参数库，按标准、论文和本地数据校准</w:t>
            </w:r>
          </w:p>
        </w:tc>
      </w:tr>
      <w:tr>
        <w:trPr>
          <w:cantSplit/>
        </w:trPr>
        <w:tc>
          <w:tcPr>
            <w:tcW w:type="dxa" w:w="23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基础数据缺口</w:t>
            </w:r>
          </w:p>
        </w:tc>
        <w:tc>
          <w:tcPr>
            <w:tcW w:type="dxa" w:w="28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部分图层不能达到正式精度</w:t>
            </w:r>
          </w:p>
        </w:tc>
        <w:tc>
          <w:tcPr>
            <w:tcW w:type="dxa" w:w="39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公开数据补充并标记待复核，正式数据到位后替换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外部接口中断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短时缺少上游事件或地图</w:t>
            </w:r>
          </w:p>
        </w:tc>
        <w:tc>
          <w:tcPr>
            <w:tcW w:type="dxa" w:w="39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使用离线包导入、缺口记录、本地缓存和人工触发</w:t>
            </w:r>
          </w:p>
        </w:tc>
      </w:tr>
      <w:tr>
        <w:trPr>
          <w:cantSplit/>
        </w:trPr>
        <w:tc>
          <w:tcPr>
            <w:tcW w:type="dxa" w:w="23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离线更新滞后</w:t>
            </w:r>
          </w:p>
        </w:tc>
        <w:tc>
          <w:tcPr>
            <w:tcW w:type="dxa" w:w="28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补丁、模型和地图不能及时更新</w:t>
            </w:r>
          </w:p>
        </w:tc>
        <w:tc>
          <w:tcPr>
            <w:tcW w:type="dxa" w:w="39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固定月度和紧急离线更新流程，保留双版本回滚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5分钟出图压力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并行任务和渲染可能超时</w:t>
            </w:r>
          </w:p>
        </w:tc>
        <w:tc>
          <w:tcPr>
            <w:tcW w:type="dxa" w:w="39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预热的底图、模板、浏览器和任务优先级</w:t>
            </w:r>
          </w:p>
        </w:tc>
      </w:tr>
      <w:tr>
        <w:trPr>
          <w:cantSplit/>
        </w:trPr>
        <w:tc>
          <w:tcPr>
            <w:tcW w:type="dxa" w:w="23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模型不确定性</w:t>
            </w:r>
          </w:p>
        </w:tc>
        <w:tc>
          <w:tcPr>
            <w:tcW w:type="dxa" w:w="28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伤亡和经济损失存在误差</w:t>
            </w:r>
          </w:p>
        </w:tc>
        <w:tc>
          <w:tcPr>
            <w:tcW w:type="dxa" w:w="39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输出区间、质量等级、版本和复核状态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AI幻觉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错误空间或统计结论</w:t>
            </w:r>
          </w:p>
        </w:tc>
        <w:tc>
          <w:tcPr>
            <w:tcW w:type="dxa" w:w="39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空间计算工具化，知识回答必须给来源</w:t>
            </w:r>
          </w:p>
        </w:tc>
      </w:tr>
      <w:tr>
        <w:trPr>
          <w:cantSplit/>
        </w:trPr>
        <w:tc>
          <w:tcPr>
            <w:tcW w:type="dxa" w:w="23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备份空间不足</w:t>
            </w:r>
          </w:p>
        </w:tc>
        <w:tc>
          <w:tcPr>
            <w:tcW w:type="dxa" w:w="28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无法保留完整恢复点</w:t>
            </w:r>
          </w:p>
        </w:tc>
        <w:tc>
          <w:tcPr>
            <w:tcW w:type="dxa" w:w="39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容量阈值、压缩去重、停止覆盖并告警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信创兼容性不足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组件无法在国产CPU或操作系统运行</w:t>
            </w:r>
          </w:p>
        </w:tc>
        <w:tc>
          <w:tcPr>
            <w:tcW w:type="dxa" w:w="39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立项前完成兼容性验证，并要求厂商出具互认证明</w:t>
            </w:r>
          </w:p>
        </w:tc>
      </w:tr>
      <w:tr>
        <w:trPr>
          <w:cantSplit/>
        </w:trPr>
        <w:tc>
          <w:tcPr>
            <w:tcW w:type="dxa" w:w="23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国产GPU供应波动</w:t>
            </w:r>
          </w:p>
        </w:tc>
        <w:tc>
          <w:tcPr>
            <w:tcW w:type="dxa" w:w="28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AI推理节点交付延期</w:t>
            </w:r>
          </w:p>
        </w:tc>
        <w:tc>
          <w:tcPr>
            <w:tcW w:type="dxa" w:w="39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预留替代型号和接口适配层，避免绑定单一卡型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产品授权口径变化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预算出现偏差</w:t>
            </w:r>
          </w:p>
        </w:tc>
        <w:tc>
          <w:tcPr>
            <w:tcW w:type="dxa" w:w="39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按CPU、节点和用户数明确授权口径，写入采购合同</w:t>
            </w:r>
          </w:p>
        </w:tc>
      </w:tr>
      <w:tr>
        <w:trPr>
          <w:cantSplit/>
        </w:trPr>
        <w:tc>
          <w:tcPr>
            <w:tcW w:type="dxa" w:w="23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未来多地区部署</w:t>
            </w:r>
          </w:p>
        </w:tc>
        <w:tc>
          <w:tcPr>
            <w:tcW w:type="dxa" w:w="28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区域和组织耦合</w:t>
            </w:r>
          </w:p>
        </w:tc>
        <w:tc>
          <w:tcPr>
            <w:tcW w:type="dxa" w:w="39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区域、组织、模板、数据和来源全部配置化</w:t>
            </w:r>
          </w:p>
        </w:tc>
      </w:tr>
    </w:tbl>
    <w:p/>
    <w:p>
      <w:pPr>
        <w:pStyle w:val="Heading1"/>
      </w:pPr>
      <w:r>
        <w:t>17 信创环境设计与国产化选型</w:t>
      </w:r>
    </w:p>
    <w:p>
      <w:pPr>
        <w:pStyle w:val="Heading2"/>
      </w:pPr>
      <w:r>
        <w:t>17.1 设计目标</w:t>
      </w:r>
    </w:p>
    <w:p>
      <w:pPr>
        <w:keepNext w:val="0"/>
        <w:spacing w:before="0" w:after="160" w:line="320" w:lineRule="auto"/>
        <w:jc w:val="both"/>
      </w:pPr>
      <w:r>
        <w:rPr>
          <w:rFonts w:ascii="Microsoft YaHei" w:hAnsi="Microsoft YaHei" w:eastAsia="Microsoft YaHei"/>
          <w:b w:val="0"/>
          <w:i w:val="0"/>
          <w:color w:val="24313D"/>
          <w:sz w:val="22"/>
        </w:rPr>
        <w:t>生产系统不再依赖现有Z440和Windows环境，而是新建一套符合国产化信创要求的独立运行环境。设计重点不是简单替换操作系统，而是让CPU、服务器、存储、网络、安全、操作系统、数据库、中间件、GIS、AI推理、浏览器、办公和备份软件形成经过兼容性验证的完整技术栈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生产系统整体部署在物理隔离的内网环境，不直接访问互联网、在线地图、云端模型和公共服务接口。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核心业务服务器优先采用海光或鲲鹏等国产CPU，操作系统采用银河麒麟V10 SP3，兼容统信UOS Server。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数据库主选人大金仓KingbaseES V9和KingbaseGIS，利用其PostgreSQL兼容能力降低空间应用迁移风险。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应用中间件采用国产TongWeb集群，后端使用Java和Spring Boot，避免生产环境依赖非信创运行时。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GIS采用SuperMap iServer和iDesktopX，前端采用SuperMap iClient，底图使用高德离线数据为主、天地图离线数据备用。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AI采用国产AI服务器和本地DeepSeek或Qwen模型，知识库、向量检索和问答推理全部在本地区域运行。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CENC报文、基础数据、地图、补丁、模型和知识包统一通过跨网导入区进入生产区。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存储、备份、交换机、防火墙、堡垒机、日志审计、数据库审计、主机安全和漏洞扫描全部纳入信创采购。</w:t>
      </w:r>
    </w:p>
    <w:p>
      <w:pPr>
        <w:pStyle w:val="Heading2"/>
      </w:pPr>
      <w:r>
        <w:t>17.2 全内网安全域与部署拓扑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3400"/>
        <w:gridCol w:w="4126"/>
      </w:tblGrid>
      <w:tr>
        <w:trPr>
          <w:tblHeader w:val="true"/>
        </w:trPr>
        <w:tc>
          <w:tcPr>
            <w:tcW w:type="dxa" w:w="15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6"/>
              </w:rPr>
              <w:t>部署区域</w:t>
            </w:r>
          </w:p>
        </w:tc>
        <w:tc>
          <w:tcPr>
            <w:tcW w:type="dxa" w:w="34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6"/>
              </w:rPr>
              <w:t>节点和设备</w:t>
            </w:r>
          </w:p>
        </w:tc>
        <w:tc>
          <w:tcPr>
            <w:tcW w:type="dxa" w:w="4126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6"/>
              </w:rPr>
              <w:t>高可用与边界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跨网导入区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安全导入终端、病毒检查、哈希与格式校验</w:t>
            </w:r>
          </w:p>
        </w:tc>
        <w:tc>
          <w:tcPr>
            <w:tcW w:type="dxa" w:w="41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无反向控制通道，导入完成后才能进入生产区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应用服务区</w:t>
            </w:r>
          </w:p>
        </w:tc>
        <w:tc>
          <w:tcPr>
            <w:tcW w:type="dxa" w:w="34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2台信创应用服务器、国产容器云、TongWeb</w:t>
            </w:r>
          </w:p>
        </w:tc>
        <w:tc>
          <w:tcPr>
            <w:tcW w:type="dxa" w:w="41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双节点负载均衡，支持滚动升级和单节点维护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数据空间区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2台信创数据库服务器、KingbaseGIS、SuperMap iServer、集中存储</w:t>
            </w:r>
          </w:p>
        </w:tc>
        <w:tc>
          <w:tcPr>
            <w:tcW w:type="dxa" w:w="41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主备切换，空间数据、对象数据和成果集中保存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AI知识区</w:t>
            </w:r>
          </w:p>
        </w:tc>
        <w:tc>
          <w:tcPr>
            <w:tcW w:type="dxa" w:w="34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1台国产AI推理服务器、本地模型、知识库、向量检索</w:t>
            </w:r>
          </w:p>
        </w:tc>
        <w:tc>
          <w:tcPr>
            <w:tcW w:type="dxa" w:w="41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完全离线运行，AI故障不阻塞核心评估和制图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运维审计区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内网VPN、堡垒机、日志审计、数据库审计、监控、漏洞扫描</w:t>
            </w:r>
          </w:p>
        </w:tc>
        <w:tc>
          <w:tcPr>
            <w:tcW w:type="dxa" w:w="41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只允许内网管理接入，生产操作和数据库访问全程留痕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备份恢复区</w:t>
            </w:r>
          </w:p>
        </w:tc>
        <w:tc>
          <w:tcPr>
            <w:tcW w:type="dxa" w:w="34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1台国产备份一体机、离线副本介质</w:t>
            </w:r>
          </w:p>
        </w:tc>
        <w:tc>
          <w:tcPr>
            <w:tcW w:type="dxa" w:w="41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每日增量、每月完整恢复点，按月执行恢复验证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生产网络区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2台万兆交换机、2台下一代防火墙</w:t>
            </w:r>
          </w:p>
        </w:tc>
        <w:tc>
          <w:tcPr>
            <w:tcW w:type="dxa" w:w="41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服务器双上联，网络和安全关键路径冗余</w:t>
            </w:r>
          </w:p>
        </w:tc>
      </w:tr>
    </w:tbl>
    <w:p/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88000" cy="286750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rane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8675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40" w:after="160" w:line="240" w:lineRule="auto"/>
        <w:jc w:val="center"/>
      </w:pPr>
      <w:r>
        <w:rPr>
          <w:rFonts w:ascii="Microsoft YaHei" w:hAnsi="Microsoft YaHei" w:eastAsia="Microsoft YaHei"/>
          <w:b w:val="0"/>
          <w:i/>
          <w:color w:val="5F6B76"/>
          <w:sz w:val="18"/>
        </w:rPr>
        <w:t>图5  全内网部署与离线数据交换边界</w:t>
      </w:r>
    </w:p>
    <w:p>
      <w:pPr>
        <w:pStyle w:val="Heading2"/>
      </w:pPr>
      <w:r>
        <w:t>17.3 全内网数据导入与离线更新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CENC自动速报和正式速报经授权网段或前置系统导出标准文件包，通过跨网导入区完成病毒检查、哈希校验、来源校验和格式校验后自动入库。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CENC报文在校验通过后自动进入事件流程，不增加业务人工确认；校验失败的报文进入隔离区并通知应急技术组。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仪器烈度、震源机制、余震目录、台站数据、基础地理和承灾体数据使用同一离线导入流程，保留来源、时间、文件和审核记录。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高德地图采用合同明确授权的离线瓦片和离线更新包，天地图离线数据作为备用；系统不调用互联网地图API，不绕过厂商授权缓存在线服务。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地图、行政区、人口、建筑、断层、历史地震和重点目标按照季度或年度更新，更新包先在测试区验证切片、符号和空间索引。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操作系统、数据库、中间件、GIS、安全设备和漏洞库按照月度维护窗口导入厂商签名离线包，紧急安全补丁按专项流程审批后发布。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AI模型、Embedding模型、知识库和提示词模板通过签名离线包更新，更新前完成问答回归测试，保留上一版本用于快速回滚。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内网阶段不启用自动联网检索；新增法律法规、预案、标准、论文和历史成果经过整理、审核后进入本地知识库。</w:t>
      </w:r>
    </w:p>
    <w:p>
      <w:pPr>
        <w:pStyle w:val="Heading2"/>
      </w:pPr>
      <w:r>
        <w:t>17.4 全内网运行、通知与故障降级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生产系统内部使用专用DNS、NTP、文件共享和服务证书，时间源只从内网授时设备同步，避免依赖互联网时间服务。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系统通知以站内消息、待办任务和大屏告警为主；短信、企业微信、邮件或电话仅通过主管部门批准的内网网关或专线平台接入。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AI推理节点故障时，知识问答自动降级为结构化检索或暂停使用，事件评估、损失计算、27类图件和报告继续生成。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跨网导入中断时保留最近一次事件和数据快照，支持应急技术组按审批流程手工导入，不得使用未经核验的数据替代。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软件和模型升级采用测试区验证、生产备份、灰度发布、回归测试和版本回滚五步流程，禁止在生产区直接覆盖运行文件。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运维人员只能通过内网VPN和堡垒机访问生产设备，堡垒机账号、操作录像、命令记录和数据库审计日志集中保存。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存储容量按事件成果、离线地图、模型包、备份副本和400天测试数据统一测算，容量达到80%时预警，达到90%时不得继续执行覆盖式更新。</w:t>
      </w:r>
    </w:p>
    <w:p>
      <w:pPr>
        <w:pStyle w:val="Heading2"/>
      </w:pPr>
      <w:r>
        <w:t>17.5 全内网部署实施与断网验收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完成安全域、地址规划、VLAN、路由、防火墙策略、内网DNS、NTP和证书基线设计。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安装国产服务器、存储、备份、交换机、防火墙、审计、堡垒机和跨网导入终端，完成上架、供电、网络和双机验证。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部署Kylin/UOS、数据库、中间件、容器云、GIS、对象存储、监控和AI平台，完成国产CPU和操作系统兼容性适配。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导入离线地图、基础数据、模型参数、模板、知识库和历史事件，建立首个可回滚生产基线。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开展漏洞扫描、主机加固、数据库审计、日志审计、访问控制、恶意代码检查和弱口令整改。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在正式投产前完成全链路断网演练，包括CENC离线报文导入、正式速报触发、5分钟成果、AI问答、地图联动和故障切换。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完成应用与数据库主备切换、备份恢复、导入包损坏、模型回滚、存储告警和跨网导入中断等异常场景测试。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断网验收通过后进入试运行，试运行期间保持新旧版本双基线，确认稳定后再关闭回退窗口。</w:t>
      </w:r>
    </w:p>
    <w:p>
      <w:pPr>
        <w:pStyle w:val="Heading2"/>
      </w:pPr>
      <w:r>
        <w:t>17.6 兼容性和验收要求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投标产品应提供有效的信创产品目录、兼容性互认证明、软件著作权或销售许可。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数据库、中间件、GIS、浏览器和AI推理软件必须明确支持的CPU型号、Kylin/UOS版本和JDK版本。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在采购合同签订前完成最小兼容性验证，包括启动、空间计算、文件生成、大屏访问和故障切换。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交付环境不得依赖Windows、ArcGIS、SQL Server、Oracle或其他未列入预算的商业组件。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项目验收前完成信创适配测试、性能测试、安全测试、备份恢复测试和断网运行测试。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对无法提供适配证明的产品，应使用同等级国产替代品，不降低平台功能和5分钟成果时限。</w:t>
      </w:r>
    </w:p>
    <w:p>
      <w:pPr>
        <w:pStyle w:val="Heading1"/>
      </w:pPr>
      <w:r>
        <w:t>18 采购预算与实施包</w:t>
      </w:r>
    </w:p>
    <w:p>
      <w:pPr>
        <w:pStyle w:val="Heading2"/>
      </w:pPr>
      <w:r>
        <w:t>18.1 预算口径</w:t>
      </w:r>
    </w:p>
    <w:p>
      <w:pPr>
        <w:keepNext w:val="0"/>
        <w:spacing w:before="0" w:after="160" w:line="320" w:lineRule="auto"/>
        <w:jc w:val="both"/>
      </w:pPr>
      <w:r>
        <w:rPr>
          <w:rFonts w:ascii="Microsoft YaHei" w:hAnsi="Microsoft YaHei" w:eastAsia="Microsoft YaHei"/>
          <w:b w:val="0"/>
          <w:i w:val="0"/>
          <w:color w:val="24313D"/>
          <w:sz w:val="22"/>
        </w:rPr>
        <w:t>本预算是2026年9月编制的采购控制预算，价格为含税参考价，包含三年基础软件订阅、首年硬件质保、平台开发、信创适配、数据治理、集成部署、测试、安全测评、培训和验收文档。最终价格以政府采购成交价为准。硬件和软件采购明细均列明数量、参考单价和预算金额，可直接用于采购需求编制和分项询价。预算不包含机房土建装修、市电增容、指挥大厅已有大屏本体和上海市地震局现有网络专线费用。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5600"/>
        <w:gridCol w:w="1226"/>
      </w:tblGrid>
      <w:tr>
        <w:trPr>
          <w:tblHeader w:val="true"/>
        </w:trPr>
        <w:tc>
          <w:tcPr>
            <w:tcW w:type="dxa" w:w="22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采购包</w:t>
            </w:r>
          </w:p>
        </w:tc>
        <w:tc>
          <w:tcPr>
            <w:tcW w:type="dxa" w:w="56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主要内容</w:t>
            </w:r>
          </w:p>
        </w:tc>
        <w:tc>
          <w:tcPr>
            <w:tcW w:type="dxa" w:w="1226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预算（万元）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采购包1</w:t>
            </w:r>
          </w:p>
        </w:tc>
        <w:tc>
          <w:tcPr>
            <w:tcW w:type="dxa" w:w="5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信创服务器、存储、备份、网络、安全、跨网导入、UPS和配套硬件</w:t>
            </w:r>
          </w:p>
        </w:tc>
        <w:tc>
          <w:tcPr>
            <w:tcW w:type="dxa" w:w="12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269.50</w:t>
            </w:r>
          </w:p>
        </w:tc>
      </w:tr>
      <w:tr>
        <w:trPr>
          <w:cantSplit/>
        </w:trPr>
        <w:tc>
          <w:tcPr>
            <w:tcW w:type="dxa" w:w="22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采购包2</w:t>
            </w:r>
          </w:p>
        </w:tc>
        <w:tc>
          <w:tcPr>
            <w:tcW w:type="dxa" w:w="56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操作系统、数据库、中间件、GIS、AI、备份、安全和办公软件</w:t>
            </w:r>
          </w:p>
        </w:tc>
        <w:tc>
          <w:tcPr>
            <w:tcW w:type="dxa" w:w="12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240.50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采购包3</w:t>
            </w:r>
          </w:p>
        </w:tc>
        <w:tc>
          <w:tcPr>
            <w:tcW w:type="dxa" w:w="5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平台开发、信创适配、数据治理、集成部署、测试和培训</w:t>
            </w:r>
          </w:p>
        </w:tc>
        <w:tc>
          <w:tcPr>
            <w:tcW w:type="dxa" w:w="12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670.00</w:t>
            </w:r>
          </w:p>
        </w:tc>
      </w:tr>
      <w:tr>
        <w:trPr>
          <w:cantSplit/>
        </w:trPr>
        <w:tc>
          <w:tcPr>
            <w:tcW w:type="dxa" w:w="22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预备费</w:t>
            </w:r>
          </w:p>
        </w:tc>
        <w:tc>
          <w:tcPr>
            <w:tcW w:type="dxa" w:w="56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按一次性建设费用约5%计提，用于价格波动和兼容性替代</w:t>
            </w:r>
          </w:p>
        </w:tc>
        <w:tc>
          <w:tcPr>
            <w:tcW w:type="dxa" w:w="12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59.00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总投资控制预算</w:t>
            </w:r>
          </w:p>
        </w:tc>
        <w:tc>
          <w:tcPr>
            <w:tcW w:type="dxa" w:w="5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一次性建设和采购预算</w:t>
            </w:r>
          </w:p>
        </w:tc>
        <w:tc>
          <w:tcPr>
            <w:tcW w:type="dxa" w:w="12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1239.00</w:t>
            </w:r>
          </w:p>
        </w:tc>
      </w:tr>
    </w:tbl>
    <w:p/>
    <w:p>
      <w:pPr>
        <w:pStyle w:val="Heading2"/>
      </w:pPr>
      <w:r>
        <w:t>18.2 硬件采购明细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4500"/>
        <w:gridCol w:w="650"/>
        <w:gridCol w:w="950"/>
        <w:gridCol w:w="1026"/>
      </w:tblGrid>
      <w:tr>
        <w:trPr>
          <w:tblHeader w:val="true"/>
        </w:trPr>
        <w:tc>
          <w:tcPr>
            <w:tcW w:type="dxa" w:w="19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4"/>
              </w:rPr>
              <w:t>设备</w:t>
            </w:r>
          </w:p>
        </w:tc>
        <w:tc>
          <w:tcPr>
            <w:tcW w:type="dxa" w:w="45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4"/>
              </w:rPr>
              <w:t>主要配置</w:t>
            </w:r>
          </w:p>
        </w:tc>
        <w:tc>
          <w:tcPr>
            <w:tcW w:type="dxa" w:w="65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4"/>
              </w:rPr>
              <w:t>数量</w:t>
            </w:r>
          </w:p>
        </w:tc>
        <w:tc>
          <w:tcPr>
            <w:tcW w:type="dxa" w:w="95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4"/>
              </w:rPr>
              <w:t>参考单价（万元）</w:t>
            </w:r>
          </w:p>
        </w:tc>
        <w:tc>
          <w:tcPr>
            <w:tcW w:type="dxa" w:w="1026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4"/>
              </w:rPr>
              <w:t>预算（万元）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应用与并行制图服务器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国产CPU 2×32核、256GB内存、2×960GB NVMe、4×3.84TB NVMe、双10GE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2台</w:t>
            </w:r>
          </w:p>
        </w:tc>
        <w:tc>
          <w:tcPr>
            <w:tcW w:type="dxa" w:w="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16.50</w:t>
            </w:r>
          </w:p>
        </w:tc>
        <w:tc>
          <w:tcPr>
            <w:tcW w:type="dxa" w:w="10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33.00</w:t>
            </w:r>
          </w:p>
        </w:tc>
      </w:tr>
      <w:tr>
        <w:trPr>
          <w:cantSplit/>
        </w:trPr>
        <w:tc>
          <w:tcPr>
            <w:tcW w:type="dxa" w:w="19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数据库与空间计算服务器</w:t>
            </w:r>
          </w:p>
        </w:tc>
        <w:tc>
          <w:tcPr>
            <w:tcW w:type="dxa" w:w="45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国产CPU 2×32核、512GB内存、2×960GB NVMe、4×7.68TB NVMe、双25GE</w:t>
            </w:r>
          </w:p>
        </w:tc>
        <w:tc>
          <w:tcPr>
            <w:tcW w:type="dxa" w:w="65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2台</w:t>
            </w:r>
          </w:p>
        </w:tc>
        <w:tc>
          <w:tcPr>
            <w:tcW w:type="dxa" w:w="95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24.50</w:t>
            </w:r>
          </w:p>
        </w:tc>
        <w:tc>
          <w:tcPr>
            <w:tcW w:type="dxa" w:w="10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49.00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AI推理服务器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国产AI服务器、256GB内存、2块国产AI加速卡（合计显存不低于192GB）、2×3.84TB NVMe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1台</w:t>
            </w:r>
          </w:p>
        </w:tc>
        <w:tc>
          <w:tcPr>
            <w:tcW w:type="dxa" w:w="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42.00</w:t>
            </w:r>
          </w:p>
        </w:tc>
        <w:tc>
          <w:tcPr>
            <w:tcW w:type="dxa" w:w="10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42.00</w:t>
            </w:r>
          </w:p>
        </w:tc>
      </w:tr>
      <w:tr>
        <w:trPr>
          <w:cantSplit/>
        </w:trPr>
        <w:tc>
          <w:tcPr>
            <w:tcW w:type="dxa" w:w="19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国产集中存储</w:t>
            </w:r>
          </w:p>
        </w:tc>
        <w:tc>
          <w:tcPr>
            <w:tcW w:type="dxa" w:w="45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96TB裸容量、2×3.84TB元数据盘、双25GE、对象存储和共享服务</w:t>
            </w:r>
          </w:p>
        </w:tc>
        <w:tc>
          <w:tcPr>
            <w:tcW w:type="dxa" w:w="65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1套</w:t>
            </w:r>
          </w:p>
        </w:tc>
        <w:tc>
          <w:tcPr>
            <w:tcW w:type="dxa" w:w="95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28.00</w:t>
            </w:r>
          </w:p>
        </w:tc>
        <w:tc>
          <w:tcPr>
            <w:tcW w:type="dxa" w:w="10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28.00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国产备份一体机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不低于60TB可用容量、压缩去重、数据库和文件代理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1台</w:t>
            </w:r>
          </w:p>
        </w:tc>
        <w:tc>
          <w:tcPr>
            <w:tcW w:type="dxa" w:w="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22.00</w:t>
            </w:r>
          </w:p>
        </w:tc>
        <w:tc>
          <w:tcPr>
            <w:tcW w:type="dxa" w:w="10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22.00</w:t>
            </w:r>
          </w:p>
        </w:tc>
      </w:tr>
      <w:tr>
        <w:trPr>
          <w:cantSplit/>
        </w:trPr>
        <w:tc>
          <w:tcPr>
            <w:tcW w:type="dxa" w:w="19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万兆交换机</w:t>
            </w:r>
          </w:p>
        </w:tc>
        <w:tc>
          <w:tcPr>
            <w:tcW w:type="dxa" w:w="45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48口万兆、冗余电源、堆叠和链路聚合</w:t>
            </w:r>
          </w:p>
        </w:tc>
        <w:tc>
          <w:tcPr>
            <w:tcW w:type="dxa" w:w="65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2台</w:t>
            </w:r>
          </w:p>
        </w:tc>
        <w:tc>
          <w:tcPr>
            <w:tcW w:type="dxa" w:w="95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5.50</w:t>
            </w:r>
          </w:p>
        </w:tc>
        <w:tc>
          <w:tcPr>
            <w:tcW w:type="dxa" w:w="10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11.00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下一代防火墙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双机热备、应用识别、入侵防御、流量审计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2台</w:t>
            </w:r>
          </w:p>
        </w:tc>
        <w:tc>
          <w:tcPr>
            <w:tcW w:type="dxa" w:w="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9.50</w:t>
            </w:r>
          </w:p>
        </w:tc>
        <w:tc>
          <w:tcPr>
            <w:tcW w:type="dxa" w:w="10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19.00</w:t>
            </w:r>
          </w:p>
        </w:tc>
      </w:tr>
      <w:tr>
        <w:trPr>
          <w:cantSplit/>
        </w:trPr>
        <w:tc>
          <w:tcPr>
            <w:tcW w:type="dxa" w:w="19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日志审计设备</w:t>
            </w:r>
          </w:p>
        </w:tc>
        <w:tc>
          <w:tcPr>
            <w:tcW w:type="dxa" w:w="45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日志集中采集、存储、检索和报表</w:t>
            </w:r>
          </w:p>
        </w:tc>
        <w:tc>
          <w:tcPr>
            <w:tcW w:type="dxa" w:w="65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1台</w:t>
            </w:r>
          </w:p>
        </w:tc>
        <w:tc>
          <w:tcPr>
            <w:tcW w:type="dxa" w:w="95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8.00</w:t>
            </w:r>
          </w:p>
        </w:tc>
        <w:tc>
          <w:tcPr>
            <w:tcW w:type="dxa" w:w="10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8.00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数据库审计设备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数据库访问审计、风险告警和合规报表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1台</w:t>
            </w:r>
          </w:p>
        </w:tc>
        <w:tc>
          <w:tcPr>
            <w:tcW w:type="dxa" w:w="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12.00</w:t>
            </w:r>
          </w:p>
        </w:tc>
        <w:tc>
          <w:tcPr>
            <w:tcW w:type="dxa" w:w="10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12.00</w:t>
            </w:r>
          </w:p>
        </w:tc>
      </w:tr>
      <w:tr>
        <w:trPr>
          <w:cantSplit/>
        </w:trPr>
        <w:tc>
          <w:tcPr>
            <w:tcW w:type="dxa" w:w="19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内网VPN网关</w:t>
            </w:r>
          </w:p>
        </w:tc>
        <w:tc>
          <w:tcPr>
            <w:tcW w:type="dxa" w:w="45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国产密码算法、双机可扩展、内网运维接入</w:t>
            </w:r>
          </w:p>
        </w:tc>
        <w:tc>
          <w:tcPr>
            <w:tcW w:type="dxa" w:w="65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1台</w:t>
            </w:r>
          </w:p>
        </w:tc>
        <w:tc>
          <w:tcPr>
            <w:tcW w:type="dxa" w:w="95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6.00</w:t>
            </w:r>
          </w:p>
        </w:tc>
        <w:tc>
          <w:tcPr>
            <w:tcW w:type="dxa" w:w="10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6.00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堡垒机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运维账号统一管理、双人授权和操作录像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1台</w:t>
            </w:r>
          </w:p>
        </w:tc>
        <w:tc>
          <w:tcPr>
            <w:tcW w:type="dxa" w:w="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8.00</w:t>
            </w:r>
          </w:p>
        </w:tc>
        <w:tc>
          <w:tcPr>
            <w:tcW w:type="dxa" w:w="10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8.00</w:t>
            </w:r>
          </w:p>
        </w:tc>
      </w:tr>
      <w:tr>
        <w:trPr>
          <w:cantSplit/>
        </w:trPr>
        <w:tc>
          <w:tcPr>
            <w:tcW w:type="dxa" w:w="19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跨网数据导入终端</w:t>
            </w:r>
          </w:p>
        </w:tc>
        <w:tc>
          <w:tcPr>
            <w:tcW w:type="dxa" w:w="45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离线介质查杀、哈希校验、格式校验和导入审计</w:t>
            </w:r>
          </w:p>
        </w:tc>
        <w:tc>
          <w:tcPr>
            <w:tcW w:type="dxa" w:w="65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1台</w:t>
            </w:r>
          </w:p>
        </w:tc>
        <w:tc>
          <w:tcPr>
            <w:tcW w:type="dxa" w:w="95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8.00</w:t>
            </w:r>
          </w:p>
        </w:tc>
        <w:tc>
          <w:tcPr>
            <w:tcW w:type="dxa" w:w="10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8.00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UPS及电池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10kVA在线式、关键设备续航不低于60分钟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1套</w:t>
            </w:r>
          </w:p>
        </w:tc>
        <w:tc>
          <w:tcPr>
            <w:tcW w:type="dxa" w:w="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7.50</w:t>
            </w:r>
          </w:p>
        </w:tc>
        <w:tc>
          <w:tcPr>
            <w:tcW w:type="dxa" w:w="10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7.50</w:t>
            </w:r>
          </w:p>
        </w:tc>
      </w:tr>
      <w:tr>
        <w:trPr>
          <w:cantSplit/>
        </w:trPr>
        <w:tc>
          <w:tcPr>
            <w:tcW w:type="dxa" w:w="19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机柜及配套</w:t>
            </w:r>
          </w:p>
        </w:tc>
        <w:tc>
          <w:tcPr>
            <w:tcW w:type="dxa" w:w="45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42U机柜、PDU、KVM、理线、光模块和线缆</w:t>
            </w:r>
          </w:p>
        </w:tc>
        <w:tc>
          <w:tcPr>
            <w:tcW w:type="dxa" w:w="65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2套</w:t>
            </w:r>
          </w:p>
        </w:tc>
        <w:tc>
          <w:tcPr>
            <w:tcW w:type="dxa" w:w="95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3.50</w:t>
            </w:r>
          </w:p>
        </w:tc>
        <w:tc>
          <w:tcPr>
            <w:tcW w:type="dxa" w:w="10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7.00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信创管理工作站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国产CPU、16GB内存、512GB SSD、信创桌面系统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2台</w:t>
            </w:r>
          </w:p>
        </w:tc>
        <w:tc>
          <w:tcPr>
            <w:tcW w:type="dxa" w:w="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1.50</w:t>
            </w:r>
          </w:p>
        </w:tc>
        <w:tc>
          <w:tcPr>
            <w:tcW w:type="dxa" w:w="10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3.00</w:t>
            </w:r>
          </w:p>
        </w:tc>
      </w:tr>
      <w:tr>
        <w:trPr>
          <w:cantSplit/>
        </w:trPr>
        <w:tc>
          <w:tcPr>
            <w:tcW w:type="dxa" w:w="19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大屏信号接入终端</w:t>
            </w:r>
          </w:p>
        </w:tc>
        <w:tc>
          <w:tcPr>
            <w:tcW w:type="dxa" w:w="45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4K发送、矩阵适配和运维控制终端</w:t>
            </w:r>
          </w:p>
        </w:tc>
        <w:tc>
          <w:tcPr>
            <w:tcW w:type="dxa" w:w="65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1套</w:t>
            </w:r>
          </w:p>
        </w:tc>
        <w:tc>
          <w:tcPr>
            <w:tcW w:type="dxa" w:w="95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6.00</w:t>
            </w:r>
          </w:p>
        </w:tc>
        <w:tc>
          <w:tcPr>
            <w:tcW w:type="dxa" w:w="10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6.00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小计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硬件及基础配套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</w:r>
          </w:p>
        </w:tc>
        <w:tc>
          <w:tcPr>
            <w:tcW w:type="dxa" w:w="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</w:r>
          </w:p>
        </w:tc>
        <w:tc>
          <w:tcPr>
            <w:tcW w:type="dxa" w:w="10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269.50</w:t>
            </w:r>
          </w:p>
        </w:tc>
      </w:tr>
    </w:tbl>
    <w:p/>
    <w:p>
      <w:pPr>
        <w:pStyle w:val="Heading2"/>
      </w:pPr>
      <w:r>
        <w:t>18.3 软件采购明细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4100"/>
        <w:gridCol w:w="850"/>
        <w:gridCol w:w="980"/>
        <w:gridCol w:w="1096"/>
      </w:tblGrid>
      <w:tr>
        <w:trPr>
          <w:tblHeader w:val="true"/>
        </w:trPr>
        <w:tc>
          <w:tcPr>
            <w:tcW w:type="dxa" w:w="20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4"/>
              </w:rPr>
              <w:t>软件或服务</w:t>
            </w:r>
          </w:p>
        </w:tc>
        <w:tc>
          <w:tcPr>
            <w:tcW w:type="dxa" w:w="41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4"/>
              </w:rPr>
              <w:t>授权口径和内容</w:t>
            </w:r>
          </w:p>
        </w:tc>
        <w:tc>
          <w:tcPr>
            <w:tcW w:type="dxa" w:w="85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4"/>
              </w:rPr>
              <w:t>数量</w:t>
            </w:r>
          </w:p>
        </w:tc>
        <w:tc>
          <w:tcPr>
            <w:tcW w:type="dxa" w:w="98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4"/>
              </w:rPr>
              <w:t>参考单价（万元）</w:t>
            </w:r>
          </w:p>
        </w:tc>
        <w:tc>
          <w:tcPr>
            <w:tcW w:type="dxa" w:w="1096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4"/>
              </w:rPr>
              <w:t>预算（万元）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国产服务器操作系统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Kylin/UOS Server授权、三年离线更新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8套</w:t>
            </w:r>
          </w:p>
        </w:tc>
        <w:tc>
          <w:tcPr>
            <w:tcW w:type="dxa" w:w="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0.80</w:t>
            </w:r>
          </w:p>
        </w:tc>
        <w:tc>
          <w:tcPr>
            <w:tcW w:type="dxa" w:w="1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6.40</w:t>
            </w:r>
          </w:p>
        </w:tc>
      </w:tr>
      <w:tr>
        <w:trPr>
          <w:cantSplit/>
        </w:trPr>
        <w:tc>
          <w:tcPr>
            <w:tcW w:type="dxa" w:w="20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国产桌面操作系统</w:t>
            </w:r>
          </w:p>
        </w:tc>
        <w:tc>
          <w:tcPr>
            <w:tcW w:type="dxa" w:w="41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Kylin/UOS Desktop授权</w:t>
            </w:r>
          </w:p>
        </w:tc>
        <w:tc>
          <w:tcPr>
            <w:tcW w:type="dxa" w:w="85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4套</w:t>
            </w:r>
          </w:p>
        </w:tc>
        <w:tc>
          <w:tcPr>
            <w:tcW w:type="dxa" w:w="98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0.15</w:t>
            </w:r>
          </w:p>
        </w:tc>
        <w:tc>
          <w:tcPr>
            <w:tcW w:type="dxa" w:w="109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0.60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国产容器云平台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国产CPU适配、应用发布和监控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2节点</w:t>
            </w:r>
          </w:p>
        </w:tc>
        <w:tc>
          <w:tcPr>
            <w:tcW w:type="dxa" w:w="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13.00</w:t>
            </w:r>
          </w:p>
        </w:tc>
        <w:tc>
          <w:tcPr>
            <w:tcW w:type="dxa" w:w="1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26.00</w:t>
            </w:r>
          </w:p>
        </w:tc>
      </w:tr>
      <w:tr>
        <w:trPr>
          <w:cantSplit/>
        </w:trPr>
        <w:tc>
          <w:tcPr>
            <w:tcW w:type="dxa" w:w="20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国产数据库</w:t>
            </w:r>
          </w:p>
        </w:tc>
        <w:tc>
          <w:tcPr>
            <w:tcW w:type="dxa" w:w="41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KingbaseES V9企业版、主备集群和迁移工具</w:t>
            </w:r>
          </w:p>
        </w:tc>
        <w:tc>
          <w:tcPr>
            <w:tcW w:type="dxa" w:w="85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2节点</w:t>
            </w:r>
          </w:p>
        </w:tc>
        <w:tc>
          <w:tcPr>
            <w:tcW w:type="dxa" w:w="98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13.00</w:t>
            </w:r>
          </w:p>
        </w:tc>
        <w:tc>
          <w:tcPr>
            <w:tcW w:type="dxa" w:w="109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26.00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空间数据库扩展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KingbaseGIS及空间计算组件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2节点</w:t>
            </w:r>
          </w:p>
        </w:tc>
        <w:tc>
          <w:tcPr>
            <w:tcW w:type="dxa" w:w="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7.00</w:t>
            </w:r>
          </w:p>
        </w:tc>
        <w:tc>
          <w:tcPr>
            <w:tcW w:type="dxa" w:w="1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14.00</w:t>
            </w:r>
          </w:p>
        </w:tc>
      </w:tr>
      <w:tr>
        <w:trPr>
          <w:cantSplit/>
        </w:trPr>
        <w:tc>
          <w:tcPr>
            <w:tcW w:type="dxa" w:w="20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国产应用中间件</w:t>
            </w:r>
          </w:p>
        </w:tc>
        <w:tc>
          <w:tcPr>
            <w:tcW w:type="dxa" w:w="41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TongWeb企业版、集群部署</w:t>
            </w:r>
          </w:p>
        </w:tc>
        <w:tc>
          <w:tcPr>
            <w:tcW w:type="dxa" w:w="85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2节点</w:t>
            </w:r>
          </w:p>
        </w:tc>
        <w:tc>
          <w:tcPr>
            <w:tcW w:type="dxa" w:w="98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8.00</w:t>
            </w:r>
          </w:p>
        </w:tc>
        <w:tc>
          <w:tcPr>
            <w:tcW w:type="dxa" w:w="109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16.00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SuperMap iServer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企业级空间服务、二维制图和集群授权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2CPU</w:t>
            </w:r>
          </w:p>
        </w:tc>
        <w:tc>
          <w:tcPr>
            <w:tcW w:type="dxa" w:w="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16.00</w:t>
            </w:r>
          </w:p>
        </w:tc>
        <w:tc>
          <w:tcPr>
            <w:tcW w:type="dxa" w:w="1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32.00</w:t>
            </w:r>
          </w:p>
        </w:tc>
      </w:tr>
      <w:tr>
        <w:trPr>
          <w:cantSplit/>
        </w:trPr>
        <w:tc>
          <w:tcPr>
            <w:tcW w:type="dxa" w:w="20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SuperMap iDesktopX</w:t>
            </w:r>
          </w:p>
        </w:tc>
        <w:tc>
          <w:tcPr>
            <w:tcW w:type="dxa" w:w="41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专业桌面GIS、空间数据处理</w:t>
            </w:r>
          </w:p>
        </w:tc>
        <w:tc>
          <w:tcPr>
            <w:tcW w:type="dxa" w:w="85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3用户</w:t>
            </w:r>
          </w:p>
        </w:tc>
        <w:tc>
          <w:tcPr>
            <w:tcW w:type="dxa" w:w="98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4.00</w:t>
            </w:r>
          </w:p>
        </w:tc>
        <w:tc>
          <w:tcPr>
            <w:tcW w:type="dxa" w:w="109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12.00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国产对象存储软件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S3兼容、分布式对象存储、快照和容量扩展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1套</w:t>
            </w:r>
          </w:p>
        </w:tc>
        <w:tc>
          <w:tcPr>
            <w:tcW w:type="dxa" w:w="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12.00</w:t>
            </w:r>
          </w:p>
        </w:tc>
        <w:tc>
          <w:tcPr>
            <w:tcW w:type="dxa" w:w="1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12.00</w:t>
            </w:r>
          </w:p>
        </w:tc>
      </w:tr>
      <w:tr>
        <w:trPr>
          <w:cantSplit/>
        </w:trPr>
        <w:tc>
          <w:tcPr>
            <w:tcW w:type="dxa" w:w="20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国产备份软件</w:t>
            </w:r>
          </w:p>
        </w:tc>
        <w:tc>
          <w:tcPr>
            <w:tcW w:type="dxa" w:w="41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集中备份、压缩去重、数据库和文件代理</w:t>
            </w:r>
          </w:p>
        </w:tc>
        <w:tc>
          <w:tcPr>
            <w:tcW w:type="dxa" w:w="85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1套</w:t>
            </w:r>
          </w:p>
        </w:tc>
        <w:tc>
          <w:tcPr>
            <w:tcW w:type="dxa" w:w="98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8.00</w:t>
            </w:r>
          </w:p>
        </w:tc>
        <w:tc>
          <w:tcPr>
            <w:tcW w:type="dxa" w:w="109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8.00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国产工作流调度平台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任务编排、重试、超时、资源调度和三年服务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1套</w:t>
            </w:r>
          </w:p>
        </w:tc>
        <w:tc>
          <w:tcPr>
            <w:tcW w:type="dxa" w:w="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6.00</w:t>
            </w:r>
          </w:p>
        </w:tc>
        <w:tc>
          <w:tcPr>
            <w:tcW w:type="dxa" w:w="1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6.00</w:t>
            </w:r>
          </w:p>
        </w:tc>
      </w:tr>
      <w:tr>
        <w:trPr>
          <w:cantSplit/>
        </w:trPr>
        <w:tc>
          <w:tcPr>
            <w:tcW w:type="dxa" w:w="20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AI推理及RAG平台</w:t>
            </w:r>
          </w:p>
        </w:tc>
        <w:tc>
          <w:tcPr>
            <w:tcW w:type="dxa" w:w="41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模型管理、知识库、引用、受控工具调用和运维</w:t>
            </w:r>
          </w:p>
        </w:tc>
        <w:tc>
          <w:tcPr>
            <w:tcW w:type="dxa" w:w="85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1套</w:t>
            </w:r>
          </w:p>
        </w:tc>
        <w:tc>
          <w:tcPr>
            <w:tcW w:type="dxa" w:w="98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18.00</w:t>
            </w:r>
          </w:p>
        </w:tc>
        <w:tc>
          <w:tcPr>
            <w:tcW w:type="dxa" w:w="109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18.00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向量检索组件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国产化适配、双节点或高可用部署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2节点</w:t>
            </w:r>
          </w:p>
        </w:tc>
        <w:tc>
          <w:tcPr>
            <w:tcW w:type="dxa" w:w="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6.00</w:t>
            </w:r>
          </w:p>
        </w:tc>
        <w:tc>
          <w:tcPr>
            <w:tcW w:type="dxa" w:w="1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12.00</w:t>
            </w:r>
          </w:p>
        </w:tc>
      </w:tr>
      <w:tr>
        <w:trPr>
          <w:cantSplit/>
        </w:trPr>
        <w:tc>
          <w:tcPr>
            <w:tcW w:type="dxa" w:w="20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WPS Office信创版</w:t>
            </w:r>
          </w:p>
        </w:tc>
        <w:tc>
          <w:tcPr>
            <w:tcW w:type="dxa" w:w="41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DOCX、XLSX、PPTX办公和模板编辑</w:t>
            </w:r>
          </w:p>
        </w:tc>
        <w:tc>
          <w:tcPr>
            <w:tcW w:type="dxa" w:w="85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30用户</w:t>
            </w:r>
          </w:p>
        </w:tc>
        <w:tc>
          <w:tcPr>
            <w:tcW w:type="dxa" w:w="98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0.15</w:t>
            </w:r>
          </w:p>
        </w:tc>
        <w:tc>
          <w:tcPr>
            <w:tcW w:type="dxa" w:w="109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4.50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安全可信浏览器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国产网页浏览、证书和安全策略管理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50用户</w:t>
            </w:r>
          </w:p>
        </w:tc>
        <w:tc>
          <w:tcPr>
            <w:tcW w:type="dxa" w:w="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0.06</w:t>
            </w:r>
          </w:p>
        </w:tc>
        <w:tc>
          <w:tcPr>
            <w:tcW w:type="dxa" w:w="1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3.00</w:t>
            </w:r>
          </w:p>
        </w:tc>
      </w:tr>
      <w:tr>
        <w:trPr>
          <w:cantSplit/>
        </w:trPr>
        <w:tc>
          <w:tcPr>
            <w:tcW w:type="dxa" w:w="20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统一监控和日志平台</w:t>
            </w:r>
          </w:p>
        </w:tc>
        <w:tc>
          <w:tcPr>
            <w:tcW w:type="dxa" w:w="41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主机、数据库、中间件、任务和大屏监控</w:t>
            </w:r>
          </w:p>
        </w:tc>
        <w:tc>
          <w:tcPr>
            <w:tcW w:type="dxa" w:w="85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1套</w:t>
            </w:r>
          </w:p>
        </w:tc>
        <w:tc>
          <w:tcPr>
            <w:tcW w:type="dxa" w:w="98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7.00</w:t>
            </w:r>
          </w:p>
        </w:tc>
        <w:tc>
          <w:tcPr>
            <w:tcW w:type="dxa" w:w="109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7.00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主机安全软件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终端检测、漏洞防护和集中管理，三年授权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80节点</w:t>
            </w:r>
          </w:p>
        </w:tc>
        <w:tc>
          <w:tcPr>
            <w:tcW w:type="dxa" w:w="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0.10</w:t>
            </w:r>
          </w:p>
        </w:tc>
        <w:tc>
          <w:tcPr>
            <w:tcW w:type="dxa" w:w="1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8.00</w:t>
            </w:r>
          </w:p>
        </w:tc>
      </w:tr>
      <w:tr>
        <w:trPr>
          <w:cantSplit/>
        </w:trPr>
        <w:tc>
          <w:tcPr>
            <w:tcW w:type="dxa" w:w="20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漏洞扫描软件</w:t>
            </w:r>
          </w:p>
        </w:tc>
        <w:tc>
          <w:tcPr>
            <w:tcW w:type="dxa" w:w="41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系统、数据库、Web和弱口令检查，三年授权</w:t>
            </w:r>
          </w:p>
        </w:tc>
        <w:tc>
          <w:tcPr>
            <w:tcW w:type="dxa" w:w="85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1套</w:t>
            </w:r>
          </w:p>
        </w:tc>
        <w:tc>
          <w:tcPr>
            <w:tcW w:type="dxa" w:w="98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7.00</w:t>
            </w:r>
          </w:p>
        </w:tc>
        <w:tc>
          <w:tcPr>
            <w:tcW w:type="dxa" w:w="109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7.00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外部通知网关适配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与批准的内网通知平台对接，不直接连接互联网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1套</w:t>
            </w:r>
          </w:p>
        </w:tc>
        <w:tc>
          <w:tcPr>
            <w:tcW w:type="dxa" w:w="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6.00</w:t>
            </w:r>
          </w:p>
        </w:tc>
        <w:tc>
          <w:tcPr>
            <w:tcW w:type="dxa" w:w="1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6.00</w:t>
            </w:r>
          </w:p>
        </w:tc>
      </w:tr>
      <w:tr>
        <w:trPr>
          <w:cantSplit/>
        </w:trPr>
        <w:tc>
          <w:tcPr>
            <w:tcW w:type="dxa" w:w="20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离线地图数据与更新服务</w:t>
            </w:r>
          </w:p>
        </w:tc>
        <w:tc>
          <w:tcPr>
            <w:tcW w:type="dxa" w:w="41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高德合法离线授权为主、天地图离线数据备用，含三年更新</w:t>
            </w:r>
          </w:p>
        </w:tc>
        <w:tc>
          <w:tcPr>
            <w:tcW w:type="dxa" w:w="85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1套</w:t>
            </w:r>
          </w:p>
        </w:tc>
        <w:tc>
          <w:tcPr>
            <w:tcW w:type="dxa" w:w="98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14.00</w:t>
            </w:r>
          </w:p>
        </w:tc>
        <w:tc>
          <w:tcPr>
            <w:tcW w:type="dxa" w:w="109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14.00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证书和安全介质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国密证书、服务证书、离线包签名和安全介质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1套</w:t>
            </w:r>
          </w:p>
        </w:tc>
        <w:tc>
          <w:tcPr>
            <w:tcW w:type="dxa" w:w="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2.00</w:t>
            </w:r>
          </w:p>
        </w:tc>
        <w:tc>
          <w:tcPr>
            <w:tcW w:type="dxa" w:w="1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2.00</w:t>
            </w:r>
          </w:p>
        </w:tc>
      </w:tr>
      <w:tr>
        <w:trPr>
          <w:cantSplit/>
        </w:trPr>
        <w:tc>
          <w:tcPr>
            <w:tcW w:type="dxa" w:w="20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小计</w:t>
            </w:r>
          </w:p>
        </w:tc>
        <w:tc>
          <w:tcPr>
            <w:tcW w:type="dxa" w:w="41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基础软件和订阅服务</w:t>
            </w:r>
          </w:p>
        </w:tc>
        <w:tc>
          <w:tcPr>
            <w:tcW w:type="dxa" w:w="85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</w:r>
          </w:p>
        </w:tc>
        <w:tc>
          <w:tcPr>
            <w:tcW w:type="dxa" w:w="98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</w:r>
          </w:p>
        </w:tc>
        <w:tc>
          <w:tcPr>
            <w:tcW w:type="dxa" w:w="109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240.50</w:t>
            </w:r>
          </w:p>
        </w:tc>
      </w:tr>
    </w:tbl>
    <w:p/>
    <w:p>
      <w:pPr>
        <w:pStyle w:val="Heading2"/>
      </w:pPr>
      <w:r>
        <w:t>18.4 建设与服务明细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5700"/>
        <w:gridCol w:w="1226"/>
      </w:tblGrid>
      <w:tr>
        <w:trPr>
          <w:tblHeader w:val="true"/>
        </w:trPr>
        <w:tc>
          <w:tcPr>
            <w:tcW w:type="dxa" w:w="21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6"/>
              </w:rPr>
              <w:t>服务项目</w:t>
            </w:r>
          </w:p>
        </w:tc>
        <w:tc>
          <w:tcPr>
            <w:tcW w:type="dxa" w:w="57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6"/>
              </w:rPr>
              <w:t>主要工作内容</w:t>
            </w:r>
          </w:p>
        </w:tc>
        <w:tc>
          <w:tcPr>
            <w:tcW w:type="dxa" w:w="1226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6"/>
              </w:rPr>
              <w:t>预算（万元）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平台软件开发</w:t>
            </w:r>
          </w:p>
        </w:tc>
        <w:tc>
          <w:tcPr>
            <w:tcW w:type="dxa" w:w="5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事件接入、数据管理、评估引擎、制图报告、任务协同、大屏和用户权限</w:t>
            </w:r>
          </w:p>
        </w:tc>
        <w:tc>
          <w:tcPr>
            <w:tcW w:type="dxa" w:w="12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360.00</w:t>
            </w:r>
          </w:p>
        </w:tc>
      </w:tr>
      <w:tr>
        <w:trPr>
          <w:cantSplit/>
        </w:trPr>
        <w:tc>
          <w:tcPr>
            <w:tcW w:type="dxa" w:w="21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信创和全内网适配</w:t>
            </w:r>
          </w:p>
        </w:tc>
        <w:tc>
          <w:tcPr>
            <w:tcW w:type="dxa" w:w="57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CPU、操作系统、数据库、中间件、GIS、浏览器、AI和离线导入适配</w:t>
            </w:r>
          </w:p>
        </w:tc>
        <w:tc>
          <w:tcPr>
            <w:tcW w:type="dxa" w:w="12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50.00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GIS和专题图实施</w:t>
            </w:r>
          </w:p>
        </w:tc>
        <w:tc>
          <w:tcPr>
            <w:tcW w:type="dxa" w:w="5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27类图件、专业版模板、本地底图、切片和制图性能优化</w:t>
            </w:r>
          </w:p>
        </w:tc>
        <w:tc>
          <w:tcPr>
            <w:tcW w:type="dxa" w:w="12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45.00</w:t>
            </w:r>
          </w:p>
        </w:tc>
      </w:tr>
      <w:tr>
        <w:trPr>
          <w:cantSplit/>
        </w:trPr>
        <w:tc>
          <w:tcPr>
            <w:tcW w:type="dxa" w:w="21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AI知识和问答实施</w:t>
            </w:r>
          </w:p>
        </w:tc>
        <w:tc>
          <w:tcPr>
            <w:tcW w:type="dxa" w:w="57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知识库整理、RAG、空间工具、引用控制和地图联动</w:t>
            </w:r>
          </w:p>
        </w:tc>
        <w:tc>
          <w:tcPr>
            <w:tcW w:type="dxa" w:w="12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45.00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数据治理与迁移</w:t>
            </w:r>
          </w:p>
        </w:tc>
        <w:tc>
          <w:tcPr>
            <w:tcW w:type="dxa" w:w="5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基础数据清洗、质量校验、MDB迁移、空间索引和版本发布</w:t>
            </w:r>
          </w:p>
        </w:tc>
        <w:tc>
          <w:tcPr>
            <w:tcW w:type="dxa" w:w="12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50.00</w:t>
            </w:r>
          </w:p>
        </w:tc>
      </w:tr>
      <w:tr>
        <w:trPr>
          <w:cantSplit/>
        </w:trPr>
        <w:tc>
          <w:tcPr>
            <w:tcW w:type="dxa" w:w="21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集成部署和高可用</w:t>
            </w:r>
          </w:p>
        </w:tc>
        <w:tc>
          <w:tcPr>
            <w:tcW w:type="dxa" w:w="57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硬件安装、全内网隔离、系统集成、双机切换、网络策略和灾备演练</w:t>
            </w:r>
          </w:p>
        </w:tc>
        <w:tc>
          <w:tcPr>
            <w:tcW w:type="dxa" w:w="12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40.00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测试与安全测评</w:t>
            </w:r>
          </w:p>
        </w:tc>
        <w:tc>
          <w:tcPr>
            <w:tcW w:type="dxa" w:w="5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性能、5分钟成果、断网运行、离线导入、故障注入、信创适配、安全测评和整改</w:t>
            </w:r>
          </w:p>
        </w:tc>
        <w:tc>
          <w:tcPr>
            <w:tcW w:type="dxa" w:w="12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35.00</w:t>
            </w:r>
          </w:p>
        </w:tc>
      </w:tr>
      <w:tr>
        <w:trPr>
          <w:cantSplit/>
        </w:trPr>
        <w:tc>
          <w:tcPr>
            <w:tcW w:type="dxa" w:w="21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培训和验收文档</w:t>
            </w:r>
          </w:p>
        </w:tc>
        <w:tc>
          <w:tcPr>
            <w:tcW w:type="dxa" w:w="57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管理员、应急技术组、工作组培训，全内网操作和运维文档</w:t>
            </w:r>
          </w:p>
        </w:tc>
        <w:tc>
          <w:tcPr>
            <w:tcW w:type="dxa" w:w="12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15.00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项目管理和质量控制</w:t>
            </w:r>
          </w:p>
        </w:tc>
        <w:tc>
          <w:tcPr>
            <w:tcW w:type="dxa" w:w="5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需求、进度、质量、风险、变更、监理配合和验收组织</w:t>
            </w:r>
          </w:p>
        </w:tc>
        <w:tc>
          <w:tcPr>
            <w:tcW w:type="dxa" w:w="12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30.00</w:t>
            </w:r>
          </w:p>
        </w:tc>
      </w:tr>
      <w:tr>
        <w:trPr>
          <w:cantSplit/>
        </w:trPr>
        <w:tc>
          <w:tcPr>
            <w:tcW w:type="dxa" w:w="21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小计</w:t>
            </w:r>
          </w:p>
        </w:tc>
        <w:tc>
          <w:tcPr>
            <w:tcW w:type="dxa" w:w="57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建设、实施和服务</w:t>
            </w:r>
          </w:p>
        </w:tc>
        <w:tc>
          <w:tcPr>
            <w:tcW w:type="dxa" w:w="12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670.00</w:t>
            </w:r>
          </w:p>
        </w:tc>
      </w:tr>
    </w:tbl>
    <w:p/>
    <w:p>
      <w:pPr>
        <w:pStyle w:val="Heading2"/>
      </w:pPr>
      <w:r>
        <w:t>18.5 后续三年运行保障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1700"/>
        <w:gridCol w:w="4526"/>
      </w:tblGrid>
      <w:tr>
        <w:trPr>
          <w:tblHeader w:val="true"/>
        </w:trPr>
        <w:tc>
          <w:tcPr>
            <w:tcW w:type="dxa" w:w="28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项目</w:t>
            </w:r>
          </w:p>
        </w:tc>
        <w:tc>
          <w:tcPr>
            <w:tcW w:type="dxa" w:w="17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金额（万元）</w:t>
            </w:r>
          </w:p>
        </w:tc>
        <w:tc>
          <w:tcPr>
            <w:tcW w:type="dxa" w:w="4526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一次性建设预算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1239.00</w:t>
            </w:r>
          </w:p>
        </w:tc>
        <w:tc>
          <w:tcPr>
            <w:tcW w:type="dxa" w:w="45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硬件、软件、平台建设和预备费</w:t>
            </w:r>
          </w:p>
        </w:tc>
      </w:tr>
      <w:tr>
        <w:trPr>
          <w:cantSplit/>
        </w:trPr>
        <w:tc>
          <w:tcPr>
            <w:tcW w:type="dxa" w:w="28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硬件延保及备件</w:t>
            </w:r>
          </w:p>
        </w:tc>
        <w:tc>
          <w:tcPr>
            <w:tcW w:type="dxa" w:w="17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42.00</w:t>
            </w:r>
          </w:p>
        </w:tc>
        <w:tc>
          <w:tcPr>
            <w:tcW w:type="dxa" w:w="45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第二至三年硬件维保、故障件更换和技术支持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软件订阅和升级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78.00</w:t>
            </w:r>
          </w:p>
        </w:tc>
        <w:tc>
          <w:tcPr>
            <w:tcW w:type="dxa" w:w="45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第二至三年数据库、中间件、GIS、安全、地图和AI平台服务</w:t>
            </w:r>
          </w:p>
        </w:tc>
      </w:tr>
      <w:tr>
        <w:trPr>
          <w:cantSplit/>
        </w:trPr>
        <w:tc>
          <w:tcPr>
            <w:tcW w:type="dxa" w:w="28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平台运维和模型校准</w:t>
            </w:r>
          </w:p>
        </w:tc>
        <w:tc>
          <w:tcPr>
            <w:tcW w:type="dxa" w:w="17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195.00</w:t>
            </w:r>
          </w:p>
        </w:tc>
        <w:tc>
          <w:tcPr>
            <w:tcW w:type="dxa" w:w="45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系统巡检、故障处置、模型参数、知识库和专题图维护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三年总拥有成本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1554.00</w:t>
            </w:r>
          </w:p>
        </w:tc>
        <w:tc>
          <w:tcPr>
            <w:tcW w:type="dxa" w:w="45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一次性建设加第二至三年运行保障</w:t>
            </w:r>
          </w:p>
        </w:tc>
      </w:tr>
      <w:tr>
        <w:trPr>
          <w:cantSplit/>
        </w:trPr>
        <w:tc>
          <w:tcPr>
            <w:tcW w:type="dxa" w:w="28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三年以后年度预算</w:t>
            </w:r>
          </w:p>
        </w:tc>
        <w:tc>
          <w:tcPr>
            <w:tcW w:type="dxa" w:w="17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160.00</w:t>
            </w:r>
          </w:p>
        </w:tc>
        <w:tc>
          <w:tcPr>
            <w:tcW w:type="dxa" w:w="45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按年度采购硬件维保、软件订阅和平台运维服务</w:t>
            </w:r>
          </w:p>
        </w:tc>
      </w:tr>
    </w:tbl>
    <w:p/>
    <w:p>
      <w:pPr>
        <w:pStyle w:val="Heading2"/>
      </w:pPr>
      <w:r>
        <w:t>18.6 采购包划分建议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采购包1采购通用信创硬件，按清单数量报价，要求原厂三年质保、关键部件备件和本地化服务，综合单价与总价不得缺项。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采购包2采购基础软件，按套、节点、CPU或用户数量明确授权口径，要求投标联合体提供数据库、中间件、GIS、AI和操作系统的完整兼容性证明。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采购包3采购业务平台开发与实施服务，按事件接入、数据、模型、图件、协同、AI和运维分期验收。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预备费不单独采购，由建设单位按变更程序控制，优先用于信创产品替代和市场价格波动。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硬件到货前完成兼容性验证，软件和业务系统在信创测试环境完成全链路测试后再迁移生产环境。</w:t>
      </w:r>
    </w:p>
    <w:p>
      <w:pPr>
        <w:pStyle w:val="Heading1"/>
      </w:pPr>
      <w:r>
        <w:t>19 结论</w:t>
      </w:r>
    </w:p>
    <w:p>
      <w:pPr>
        <w:keepNext w:val="0"/>
        <w:spacing w:before="0" w:after="160" w:line="320" w:lineRule="auto"/>
        <w:jc w:val="both"/>
      </w:pPr>
      <w:r>
        <w:rPr>
          <w:rFonts w:ascii="Microsoft YaHei" w:hAnsi="Microsoft YaHei" w:eastAsia="Microsoft YaHei"/>
          <w:b w:val="0"/>
          <w:i w:val="0"/>
          <w:color w:val="24313D"/>
          <w:sz w:val="22"/>
        </w:rPr>
        <w:t>本方案将上海市地震局震后应急评估和辅助决策拆分为事件接入、数据管理、评估模型、制图报告、任务协同、指挥大厅、AI问答和运维测试几个可独立验收的子系统，先完成真实事件到专业成果的主链路，再逐步扩展区级和多省份部署能力。方案既满足正式速报后快速出成果的要求，也为后续数据、模型和业务规模增长保留清晰边界。全内网信创版建设标准为总投资控制预算1239万元，三年总拥有成本1554万元，全部硬件、软件、开发实施和运行保障均纳入预算，可直接作为立项和采购包编制依据。</w:t>
      </w:r>
    </w:p>
    <w:p>
      <w:pPr>
        <w:pStyle w:val="Heading2"/>
      </w:pPr>
      <w:r>
        <w:t>19.1 后续演进路线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接入内网EQIM、正式仪器烈度系统以及正式发布的震源机制、余震目录和台站数据。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接入现场灾情、遥感解译、无人机和现场工作队成果，形成快速评估后的动态复核能力。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以真实事件和历史演练积累校准易损性矩阵、人员伤亡系数、价格和资源需求参数。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在主管部门批准的内网网关条件下接入企业微信、邮件、电话等通知渠道，并保留统一通知日志和渠道降级机制。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把区域边界、组织机构、数据来源、模型参数、报告模板和通知渠道全部配置化，支持区级和兄弟省份独立部署。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持续保持全内网物理隔离，使用本地知识库、离线模型、离线地图和受控离线增量更新。</w:t>
      </w:r>
    </w:p>
    <w:p>
      <w:pPr>
        <w:pStyle w:val="Heading1"/>
      </w:pPr>
      <w:r>
        <w:t>附录A  27类图件清单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50"/>
        <w:gridCol w:w="4500"/>
        <w:gridCol w:w="3876"/>
      </w:tblGrid>
      <w:tr>
        <w:trPr>
          <w:tblHeader w:val="true"/>
        </w:trPr>
        <w:tc>
          <w:tcPr>
            <w:tcW w:type="dxa" w:w="65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6"/>
              </w:rPr>
              <w:t>序号</w:t>
            </w:r>
          </w:p>
        </w:tc>
        <w:tc>
          <w:tcPr>
            <w:tcW w:type="dxa" w:w="45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6"/>
              </w:rPr>
              <w:t>图件名称</w:t>
            </w:r>
          </w:p>
        </w:tc>
        <w:tc>
          <w:tcPr>
            <w:tcW w:type="dxa" w:w="3876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6"/>
              </w:rPr>
              <w:t>首期处理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1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城区疏散场地分布图</w:t>
            </w:r>
          </w:p>
        </w:tc>
        <w:tc>
          <w:tcPr>
            <w:tcW w:type="dxa" w:w="38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B类，公开数据补齐，待复核</w:t>
            </w:r>
          </w:p>
        </w:tc>
      </w:tr>
      <w:tr>
        <w:trPr>
          <w:cantSplit/>
        </w:trPr>
        <w:tc>
          <w:tcPr>
            <w:tcW w:type="dxa" w:w="65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2</w:t>
            </w:r>
          </w:p>
        </w:tc>
        <w:tc>
          <w:tcPr>
            <w:tcW w:type="dxa" w:w="45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地震影响场分布图</w:t>
            </w:r>
          </w:p>
        </w:tc>
        <w:tc>
          <w:tcPr>
            <w:tcW w:type="dxa" w:w="387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A类，模型和CENC自动生成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3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经济损失预估专题图</w:t>
            </w:r>
          </w:p>
        </w:tc>
        <w:tc>
          <w:tcPr>
            <w:tcW w:type="dxa" w:w="38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A类，损失模型生成</w:t>
            </w:r>
          </w:p>
        </w:tc>
      </w:tr>
      <w:tr>
        <w:trPr>
          <w:cantSplit/>
        </w:trPr>
        <w:tc>
          <w:tcPr>
            <w:tcW w:type="dxa" w:w="65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4</w:t>
            </w:r>
          </w:p>
        </w:tc>
        <w:tc>
          <w:tcPr>
            <w:tcW w:type="dxa" w:w="45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救援力量需求专题图</w:t>
            </w:r>
          </w:p>
        </w:tc>
        <w:tc>
          <w:tcPr>
            <w:tcW w:type="dxa" w:w="387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A类，资源需求模型生成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5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人员死亡预估分布图</w:t>
            </w:r>
          </w:p>
        </w:tc>
        <w:tc>
          <w:tcPr>
            <w:tcW w:type="dxa" w:w="38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A类，损失模型生成</w:t>
            </w:r>
          </w:p>
        </w:tc>
      </w:tr>
      <w:tr>
        <w:trPr>
          <w:cantSplit/>
        </w:trPr>
        <w:tc>
          <w:tcPr>
            <w:tcW w:type="dxa" w:w="65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6</w:t>
            </w:r>
          </w:p>
        </w:tc>
        <w:tc>
          <w:tcPr>
            <w:tcW w:type="dxa" w:w="45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人员受伤预估分布图</w:t>
            </w:r>
          </w:p>
        </w:tc>
        <w:tc>
          <w:tcPr>
            <w:tcW w:type="dxa" w:w="387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A类，损失模型生成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7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人员压埋预估分布图</w:t>
            </w:r>
          </w:p>
        </w:tc>
        <w:tc>
          <w:tcPr>
            <w:tcW w:type="dxa" w:w="38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A类，损失模型生成</w:t>
            </w:r>
          </w:p>
        </w:tc>
      </w:tr>
      <w:tr>
        <w:trPr>
          <w:cantSplit/>
        </w:trPr>
        <w:tc>
          <w:tcPr>
            <w:tcW w:type="dxa" w:w="65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8</w:t>
            </w:r>
          </w:p>
        </w:tc>
        <w:tc>
          <w:tcPr>
            <w:tcW w:type="dxa" w:w="45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物资需求预估专题图</w:t>
            </w:r>
          </w:p>
        </w:tc>
        <w:tc>
          <w:tcPr>
            <w:tcW w:type="dxa" w:w="387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A类，资源需求模型生成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9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震区GDP图</w:t>
            </w:r>
          </w:p>
        </w:tc>
        <w:tc>
          <w:tcPr>
            <w:tcW w:type="dxa" w:w="38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A类，基础数据生成</w:t>
            </w:r>
          </w:p>
        </w:tc>
      </w:tr>
      <w:tr>
        <w:trPr>
          <w:cantSplit/>
        </w:trPr>
        <w:tc>
          <w:tcPr>
            <w:tcW w:type="dxa" w:w="65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10</w:t>
            </w:r>
          </w:p>
        </w:tc>
        <w:tc>
          <w:tcPr>
            <w:tcW w:type="dxa" w:w="45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震区地震动峰值加速度区划图</w:t>
            </w:r>
          </w:p>
        </w:tc>
        <w:tc>
          <w:tcPr>
            <w:tcW w:type="dxa" w:w="387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B类，公开数据补齐，待复核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11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震区交通图</w:t>
            </w:r>
          </w:p>
        </w:tc>
        <w:tc>
          <w:tcPr>
            <w:tcW w:type="dxa" w:w="38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A类，基础数据和本地底图生成</w:t>
            </w:r>
          </w:p>
        </w:tc>
      </w:tr>
      <w:tr>
        <w:trPr>
          <w:cantSplit/>
        </w:trPr>
        <w:tc>
          <w:tcPr>
            <w:tcW w:type="dxa" w:w="65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12</w:t>
            </w:r>
          </w:p>
        </w:tc>
        <w:tc>
          <w:tcPr>
            <w:tcW w:type="dxa" w:w="45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震区历史地震分布图</w:t>
            </w:r>
          </w:p>
        </w:tc>
        <w:tc>
          <w:tcPr>
            <w:tcW w:type="dxa" w:w="387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A类，历史地震目录生成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13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震区人口分布图</w:t>
            </w:r>
          </w:p>
        </w:tc>
        <w:tc>
          <w:tcPr>
            <w:tcW w:type="dxa" w:w="38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A类，基础数据生成</w:t>
            </w:r>
          </w:p>
        </w:tc>
      </w:tr>
      <w:tr>
        <w:trPr>
          <w:cantSplit/>
        </w:trPr>
        <w:tc>
          <w:tcPr>
            <w:tcW w:type="dxa" w:w="65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14</w:t>
            </w:r>
          </w:p>
        </w:tc>
        <w:tc>
          <w:tcPr>
            <w:tcW w:type="dxa" w:w="45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震区水库分布图</w:t>
            </w:r>
          </w:p>
        </w:tc>
        <w:tc>
          <w:tcPr>
            <w:tcW w:type="dxa" w:w="387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B类，公开数据补齐，待复核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15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震区危险源分布图</w:t>
            </w:r>
          </w:p>
        </w:tc>
        <w:tc>
          <w:tcPr>
            <w:tcW w:type="dxa" w:w="38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A类，基础数据生成</w:t>
            </w:r>
          </w:p>
        </w:tc>
      </w:tr>
      <w:tr>
        <w:trPr>
          <w:cantSplit/>
        </w:trPr>
        <w:tc>
          <w:tcPr>
            <w:tcW w:type="dxa" w:w="65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16</w:t>
            </w:r>
          </w:p>
        </w:tc>
        <w:tc>
          <w:tcPr>
            <w:tcW w:type="dxa" w:w="45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震区学校分布图</w:t>
            </w:r>
          </w:p>
        </w:tc>
        <w:tc>
          <w:tcPr>
            <w:tcW w:type="dxa" w:w="387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A类，基础数据生成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17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震区医院分布图</w:t>
            </w:r>
          </w:p>
        </w:tc>
        <w:tc>
          <w:tcPr>
            <w:tcW w:type="dxa" w:w="38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A类，基础数据生成</w:t>
            </w:r>
          </w:p>
        </w:tc>
      </w:tr>
      <w:tr>
        <w:trPr>
          <w:cantSplit/>
        </w:trPr>
        <w:tc>
          <w:tcPr>
            <w:tcW w:type="dxa" w:w="65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18</w:t>
            </w:r>
          </w:p>
        </w:tc>
        <w:tc>
          <w:tcPr>
            <w:tcW w:type="dxa" w:w="45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震中附近地铁分布图</w:t>
            </w:r>
          </w:p>
        </w:tc>
        <w:tc>
          <w:tcPr>
            <w:tcW w:type="dxa" w:w="387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B类，高德或公开数据补齐，待复核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19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震中附近地震台站分布图</w:t>
            </w:r>
          </w:p>
        </w:tc>
        <w:tc>
          <w:tcPr>
            <w:tcW w:type="dxa" w:w="38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B类，权威数据补齐，待复核</w:t>
            </w:r>
          </w:p>
        </w:tc>
      </w:tr>
      <w:tr>
        <w:trPr>
          <w:cantSplit/>
        </w:trPr>
        <w:tc>
          <w:tcPr>
            <w:tcW w:type="dxa" w:w="65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20</w:t>
            </w:r>
          </w:p>
        </w:tc>
        <w:tc>
          <w:tcPr>
            <w:tcW w:type="dxa" w:w="45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震中附近活动断裂图</w:t>
            </w:r>
          </w:p>
        </w:tc>
        <w:tc>
          <w:tcPr>
            <w:tcW w:type="dxa" w:w="387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A类，基础数据生成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21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震中附近建筑物分布图</w:t>
            </w:r>
          </w:p>
        </w:tc>
        <w:tc>
          <w:tcPr>
            <w:tcW w:type="dxa" w:w="38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A类，行政区聚合展示</w:t>
            </w:r>
          </w:p>
        </w:tc>
      </w:tr>
      <w:tr>
        <w:trPr>
          <w:cantSplit/>
        </w:trPr>
        <w:tc>
          <w:tcPr>
            <w:tcW w:type="dxa" w:w="65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22</w:t>
            </w:r>
          </w:p>
        </w:tc>
        <w:tc>
          <w:tcPr>
            <w:tcW w:type="dxa" w:w="45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震中附近建筑物公里格网分布图</w:t>
            </w:r>
          </w:p>
        </w:tc>
        <w:tc>
          <w:tcPr>
            <w:tcW w:type="dxa" w:w="387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C类，模型聚合，按质量等级标识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23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震中附近救援队伍分布图</w:t>
            </w:r>
          </w:p>
        </w:tc>
        <w:tc>
          <w:tcPr>
            <w:tcW w:type="dxa" w:w="38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B类，公开或责任组数据补齐，待复核</w:t>
            </w:r>
          </w:p>
        </w:tc>
      </w:tr>
      <w:tr>
        <w:trPr>
          <w:cantSplit/>
        </w:trPr>
        <w:tc>
          <w:tcPr>
            <w:tcW w:type="dxa" w:w="65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24</w:t>
            </w:r>
          </w:p>
        </w:tc>
        <w:tc>
          <w:tcPr>
            <w:tcW w:type="dxa" w:w="45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震中附近文物单位分布图</w:t>
            </w:r>
          </w:p>
        </w:tc>
        <w:tc>
          <w:tcPr>
            <w:tcW w:type="dxa" w:w="387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B类，公开数据补齐，待复核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25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震中附近重要目标分布图</w:t>
            </w:r>
          </w:p>
        </w:tc>
        <w:tc>
          <w:tcPr>
            <w:tcW w:type="dxa" w:w="38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A类，基础数据生成</w:t>
            </w:r>
          </w:p>
        </w:tc>
      </w:tr>
      <w:tr>
        <w:trPr>
          <w:cantSplit/>
        </w:trPr>
        <w:tc>
          <w:tcPr>
            <w:tcW w:type="dxa" w:w="65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26</w:t>
            </w:r>
          </w:p>
        </w:tc>
        <w:tc>
          <w:tcPr>
            <w:tcW w:type="dxa" w:w="45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震中位置分布图</w:t>
            </w:r>
          </w:p>
        </w:tc>
        <w:tc>
          <w:tcPr>
            <w:tcW w:type="dxa" w:w="387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A类，CENC自动生成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27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震中与主要城市距离分布图</w:t>
            </w:r>
          </w:p>
        </w:tc>
        <w:tc>
          <w:tcPr>
            <w:tcW w:type="dxa" w:w="38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A类，基础数据和空间计算生成</w:t>
            </w:r>
          </w:p>
        </w:tc>
      </w:tr>
    </w:tbl>
    <w:p/>
    <w:p>
      <w:pPr>
        <w:pStyle w:val="Heading1"/>
      </w:pPr>
      <w:r>
        <w:t>附录B  7个工作组任务边界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6826"/>
      </w:tblGrid>
      <w:tr>
        <w:trPr>
          <w:tblHeader w:val="true"/>
        </w:trPr>
        <w:tc>
          <w:tcPr>
            <w:tcW w:type="dxa" w:w="22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工作组</w:t>
            </w:r>
          </w:p>
        </w:tc>
        <w:tc>
          <w:tcPr>
            <w:tcW w:type="dxa" w:w="6826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任务边界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新闻信息值守组</w:t>
            </w:r>
          </w:p>
        </w:tc>
        <w:tc>
          <w:tcPr>
            <w:tcW w:type="dxa" w:w="68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新闻信息收集、舆情动态、发布素材和稿件流转</w:t>
            </w:r>
          </w:p>
        </w:tc>
      </w:tr>
      <w:tr>
        <w:trPr>
          <w:cantSplit/>
        </w:trPr>
        <w:tc>
          <w:tcPr>
            <w:tcW w:type="dxa" w:w="22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监测预报组</w:t>
            </w:r>
          </w:p>
        </w:tc>
        <w:tc>
          <w:tcPr>
            <w:tcW w:type="dxa" w:w="68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正式速报、仪器烈度、震源机制、余震序列和异常核实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综合协调组</w:t>
            </w:r>
          </w:p>
        </w:tc>
        <w:tc>
          <w:tcPr>
            <w:tcW w:type="dxa" w:w="68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响应建议、领导指令、各组状态、重大事项和外部协调</w:t>
            </w:r>
          </w:p>
        </w:tc>
      </w:tr>
      <w:tr>
        <w:trPr>
          <w:cantSplit/>
        </w:trPr>
        <w:tc>
          <w:tcPr>
            <w:tcW w:type="dxa" w:w="22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震害评估组</w:t>
            </w:r>
          </w:p>
        </w:tc>
        <w:tc>
          <w:tcPr>
            <w:tcW w:type="dxa" w:w="68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快速评估、烈度与损失复核、断层资料和现场准备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应急技术组</w:t>
            </w:r>
          </w:p>
        </w:tc>
        <w:tc>
          <w:tcPr>
            <w:tcW w:type="dxa" w:w="68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系统、自动任务、图件报告、大厅运维、网络通信和技术保障</w:t>
            </w:r>
          </w:p>
        </w:tc>
      </w:tr>
      <w:tr>
        <w:trPr>
          <w:cantSplit/>
        </w:trPr>
        <w:tc>
          <w:tcPr>
            <w:tcW w:type="dxa" w:w="22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后勤保障组</w:t>
            </w:r>
          </w:p>
        </w:tc>
        <w:tc>
          <w:tcPr>
            <w:tcW w:type="dxa" w:w="68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人员、车辆、物资、场地、通信和生活保障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中心站组</w:t>
            </w:r>
          </w:p>
        </w:tc>
        <w:tc>
          <w:tcPr>
            <w:tcW w:type="dxa" w:w="68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预案赋予中心站的任务和日常、震时成果流转</w:t>
            </w:r>
          </w:p>
        </w:tc>
      </w:tr>
    </w:tbl>
    <w:p/>
    <w:p>
      <w:pPr>
        <w:pStyle w:val="Heading1"/>
      </w:pPr>
      <w:r>
        <w:t>附录C  主要依据与参考材料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上海市地震局地震应急预案（2026年版）。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中国地震局地震应急服务响应等级（暂行）。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GB/T 17742-2020 中国地震烈度表。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GB/T 18208.4-2011 地震现场工作第4部分：灾害直接损失评估。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旧系统专业版文档和图件模板。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国家信息技术应用创新相关产品目录、兼容性互认和安全审查要求。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银河麒麟、统信UOS、人大金仓、SuperMap、TongWeb等产品的信创版本技术资料。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USGS PAGER、ShakeMap和公开地震快速评估研究。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GitHub开源项目仅用于方法借鉴和离线校核，不嵌入不兼容许可证组件。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26"/>
      </w:tblGrid>
      <w:tr>
        <w:tc>
          <w:tcPr>
            <w:tcW w:type="dxa" w:w="9026"/>
            <w:shd w:fill="#EE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60" w:after="60" w:line="300" w:lineRule="auto"/>
            </w:pPr>
            <w:r>
              <w:rPr>
                <w:rFonts w:ascii="Microsoft YaHei" w:hAnsi="Microsoft YaHei" w:eastAsia="Microsoft YaHei"/>
                <w:b/>
                <w:color w:val="173B57"/>
                <w:sz w:val="21"/>
              </w:rPr>
              <w:t xml:space="preserve">文档结束  </w:t>
            </w:r>
            <w:r>
              <w:rPr>
                <w:rFonts w:ascii="Microsoft YaHei" w:hAnsi="Microsoft YaHei" w:eastAsia="Microsoft YaHei"/>
                <w:color w:val="24313D"/>
                <w:sz w:val="21"/>
              </w:rPr>
              <w:t>本方案用于内部需求确认和后续实施计划编制，不替代正式制度响应、应急预案和对外报送文件。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9" w:footer="709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color w:val="5F6B76"/>
        <w:sz w:val="18"/>
      </w:rPr>
      <w:t xml:space="preserve">第 </w:t>
      <w:fldChar w:fldCharType="begin"/>
      <w:instrText xml:space="preserve"> PAGE </w:instrText>
      <w:fldChar w:fldCharType="end"/>
    </w:r>
    <w:r>
      <w:rPr>
        <w:rFonts w:ascii="Microsoft YaHei" w:hAnsi="Microsoft YaHei" w:eastAsia="Microsoft YaHei"/>
        <w:color w:val="5F6B76"/>
        <w:sz w:val="18"/>
      </w:rPr>
      <w:t xml:space="preserve"> 页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Microsoft YaHei" w:hAnsi="Microsoft YaHei" w:eastAsia="Microsoft YaHei"/>
        <w:color w:val="5F6B76"/>
        <w:sz w:val="17"/>
      </w:rPr>
      <w:t>上海市地震应急评估与辅助决策系统  |  全内网信创版详细方案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320" w:lineRule="auto"/>
      <w:jc w:val="both"/>
    </w:pPr>
    <w:rPr>
      <w:rFonts w:ascii="Microsoft YaHei" w:hAnsi="Microsoft YaHei" w:eastAsia="Microsoft YaHei"/>
      <w:b w:val="0"/>
      <w:color w:val="24313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80" w:line="290" w:lineRule="auto"/>
      <w:contextualSpacing/>
    </w:pPr>
    <w:rPr>
      <w:rFonts w:ascii="Microsoft YaHei" w:hAnsi="Microsoft YaHei" w:eastAsia="Microsoft YaHei"/>
      <w:b w:val="0"/>
      <w:color w:val="24313D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80" w:line="290" w:lineRule="auto"/>
      <w:contextualSpacing/>
    </w:pPr>
    <w:rPr>
      <w:rFonts w:ascii="Microsoft YaHei" w:hAnsi="Microsoft YaHei" w:eastAsia="Microsoft YaHei"/>
      <w:b w:val="0"/>
      <w:color w:val="24313D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image" Target="media/image1.png"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image" Target="media/image4.png"/><Relationship Id="rId17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