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keepNext w:val="0"/>
        <w:spacing w:before="0" w:after="160" w:line="240" w:lineRule="auto"/>
        <w:jc w:val="center"/>
      </w:pPr>
      <w:r>
        <w:rPr>
          <w:rFonts w:ascii="Microsoft YaHei" w:hAnsi="Microsoft YaHei" w:eastAsia="Microsoft YaHei"/>
          <w:b/>
          <w:color w:val="0F6B72"/>
          <w:sz w:val="32"/>
        </w:rPr>
        <w:t>上海市</w:t>
      </w:r>
    </w:p>
    <w:p>
      <w:pPr>
        <w:keepNext w:val="0"/>
        <w:spacing w:before="0" w:after="160" w:line="240" w:lineRule="auto"/>
        <w:jc w:val="center"/>
      </w:pPr>
      <w:r>
        <w:rPr>
          <w:rFonts w:ascii="Microsoft YaHei" w:hAnsi="Microsoft YaHei" w:eastAsia="Microsoft YaHei"/>
          <w:b/>
          <w:color w:val="173B57"/>
          <w:sz w:val="50"/>
        </w:rPr>
        <w:t>地震应急评估与辅助决策系统</w:t>
      </w:r>
    </w:p>
    <w:p>
      <w:pPr>
        <w:keepNext w:val="0"/>
        <w:spacing w:before="0" w:after="440" w:line="240" w:lineRule="auto"/>
        <w:jc w:val="center"/>
      </w:pPr>
      <w:r>
        <w:rPr>
          <w:rFonts w:ascii="Microsoft YaHei" w:hAnsi="Microsoft YaHei" w:eastAsia="Microsoft YaHei"/>
          <w:b/>
          <w:color w:val="2E74B5"/>
          <w:sz w:val="58"/>
        </w:rPr>
        <w:t>详细方案（行业网信创版）</w:t>
      </w:r>
    </w:p>
    <w:p>
      <w:pPr>
        <w:keepNext w:val="0"/>
        <w:spacing w:before="0" w:after="120" w:line="288" w:lineRule="auto"/>
        <w:jc w:val="center"/>
      </w:pPr>
      <w:r>
        <w:rPr>
          <w:rFonts w:ascii="Microsoft YaHei" w:hAnsi="Microsoft YaHei" w:eastAsia="Microsoft YaHei"/>
          <w:color w:val="5F6B76"/>
          <w:sz w:val="26"/>
        </w:rPr>
        <w:t>行业网运行 · 国产化信创环境 · 高可用部署 · 全口径采购预算</w:t>
      </w:r>
    </w:p>
    <w:p>
      <w:pPr>
        <w:keepNext w:val="0"/>
        <w:spacing w:before="0" w:after="1440" w:line="288" w:lineRule="auto"/>
        <w:jc w:val="center"/>
      </w:pPr>
      <w:r>
        <w:rPr>
          <w:rFonts w:ascii="Microsoft YaHei" w:hAnsi="Microsoft YaHei" w:eastAsia="Microsoft YaHei"/>
          <w:b/>
          <w:color w:val="9A6A1F"/>
          <w:sz w:val="21"/>
        </w:rPr>
        <w:t>自动评估 · 专业制图 · 任务协同 · 指挥决策 · 知识问答</w:t>
      </w:r>
    </w:p>
    <w:p>
      <w:pPr>
        <w:keepNext w:val="0"/>
        <w:spacing w:before="0" w:after="80" w:line="240" w:lineRule="auto"/>
        <w:jc w:val="center"/>
      </w:pPr>
      <w:r>
        <w:rPr>
          <w:rFonts w:ascii="Microsoft YaHei" w:hAnsi="Microsoft YaHei" w:eastAsia="Microsoft YaHei"/>
          <w:color w:val="24313D"/>
          <w:sz w:val="22"/>
        </w:rPr>
        <w:t>编制单位：上海市地震局信息中心（应急技术组）</w:t>
      </w:r>
    </w:p>
    <w:p>
      <w:pPr>
        <w:keepNext w:val="0"/>
        <w:spacing w:before="0" w:after="80" w:line="240" w:lineRule="auto"/>
        <w:jc w:val="center"/>
      </w:pPr>
      <w:r>
        <w:rPr>
          <w:rFonts w:ascii="Microsoft YaHei" w:hAnsi="Microsoft YaHei" w:eastAsia="Microsoft YaHei"/>
          <w:color w:val="5F6B76"/>
          <w:sz w:val="21"/>
        </w:rPr>
        <w:t>版本：V3.2    日期：2026年9月17日</w:t>
      </w:r>
    </w:p>
    <w:p>
      <w:pPr>
        <w:keepNext w:val="0"/>
        <w:spacing w:before="2400" w:after="0" w:line="240" w:lineRule="auto"/>
        <w:jc w:val="center"/>
      </w:pPr>
      <w:r>
        <w:rPr>
          <w:rFonts w:ascii="Microsoft YaHei" w:hAnsi="Microsoft YaHei" w:eastAsia="Microsoft YaHei"/>
          <w:b w:val="0"/>
          <w:i/>
          <w:color w:val="5F6B76"/>
          <w:sz w:val="18"/>
        </w:rPr>
        <w:t>内部设计资料</w:t>
      </w:r>
    </w:p>
    <w:p>
      <w:r>
        <w:br w:type="page"/>
      </w:r>
    </w:p>
    <w:p>
      <w:pPr>
        <w:pStyle w:val="Heading1"/>
      </w:pPr>
      <w:r>
        <w:t>编制说明与版本记录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本方案依据上海市地震局地震应急预案（2026年版）、中国地震局地震应急服务响应相关文件、旧系统成果模板、现有基础数据以及公开论文、专利和开源项目资料编制。方案不把旧系统作为数值复现基准，而是重建可配置、可追溯、可校准的评估和制图体系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600"/>
        <w:gridCol w:w="5000"/>
        <w:gridCol w:w="1426"/>
      </w:tblGrid>
      <w:tr>
        <w:trPr>
          <w:tblHeader w:val="true"/>
        </w:trPr>
        <w:tc>
          <w:tcPr>
            <w:tcW w:type="dxa" w:w="1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版本</w:t>
            </w:r>
          </w:p>
        </w:tc>
        <w:tc>
          <w:tcPr>
            <w:tcW w:type="dxa" w:w="1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日期</w:t>
            </w:r>
          </w:p>
        </w:tc>
        <w:tc>
          <w:tcPr>
            <w:tcW w:type="dxa" w:w="5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内容</w:t>
            </w:r>
          </w:p>
        </w:tc>
        <w:tc>
          <w:tcPr>
            <w:tcW w:type="dxa" w:w="14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V1.0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2026-09-17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形成总体需求、技术路线、模块、数据、模型和成果体系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V2.0</w:t>
            </w:r>
          </w:p>
        </w:tc>
        <w:tc>
          <w:tcPr>
            <w:tcW w:type="dxa" w:w="1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2026-09-17</w:t>
            </w:r>
          </w:p>
        </w:tc>
        <w:tc>
          <w:tcPr>
            <w:tcW w:type="dxa" w:w="5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重构国产化信创架构，增加高可用部署和采购预算</w:t>
            </w:r>
          </w:p>
        </w:tc>
        <w:tc>
          <w:tcPr>
            <w:tcW w:type="dxa" w:w="14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V3.0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2026-09-17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确定行业网部署边界，补充地图、模型和更新方案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V3.1</w:t>
            </w:r>
          </w:p>
        </w:tc>
        <w:tc>
          <w:tcPr>
            <w:tcW w:type="dxa" w:w="1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2026-09-17</w:t>
            </w:r>
          </w:p>
        </w:tc>
        <w:tc>
          <w:tcPr>
            <w:tcW w:type="dxa" w:w="5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按行业网重构部署，接入EQIM、预警和天地图</w:t>
            </w:r>
          </w:p>
        </w:tc>
        <w:tc>
          <w:tcPr>
            <w:tcW w:type="dxa" w:w="14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V3.2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2026-09-17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剔除共用设备和测绘院底图采购，重算预算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待审</w:t>
            </w:r>
          </w:p>
        </w:tc>
      </w:tr>
    </w:tbl>
    <w:p/>
    <w:p>
      <w:pPr>
        <w:pStyle w:val="Heading1"/>
      </w:pPr>
      <w:r>
        <w:t>目录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1 建设背景与总体目标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2 业务范围与用户角色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3 震时事件主流程与时限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4 响应等级建议规则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5 数据体系与数据管理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6 灾害评估模型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7 专业成果与报告体系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8 工作组任务协同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9 指挥大厅设计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10 信创系统总体架构与技术路线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11 AI知识问答与地图联动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12 测试、演练与运行维护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13 安全、备份与运行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14 实施阶段与任务拆分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15 首期验收标准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16 风险、依赖与应对措施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17 信创环境设计与国产化选型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18 采购预算与实施包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19 结论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附录A 27类图件清单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附录B 7个工作组任务边界</w:t>
      </w:r>
    </w:p>
    <w:p>
      <w:pPr>
        <w:keepNext w:val="0"/>
        <w:spacing w:before="0" w:after="0" w:line="192" w:lineRule="auto"/>
      </w:pPr>
      <w:r>
        <w:rPr>
          <w:rFonts w:ascii="Microsoft YaHei" w:hAnsi="Microsoft YaHei" w:eastAsia="Microsoft YaHei"/>
          <w:color w:val="24313D"/>
          <w:sz w:val="17"/>
        </w:rPr>
        <w:t>附录C 主要依据与参考材料</w:t>
      </w:r>
    </w:p>
    <w:p>
      <w:pPr>
        <w:pStyle w:val="Heading1"/>
        <w:pageBreakBefore/>
      </w:pPr>
      <w:r>
        <w:t>管理摘要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6"/>
      </w:tblGrid>
      <w:tr>
        <w:tc>
          <w:tcPr>
            <w:tcW w:type="dxa" w:w="9026"/>
            <w:shd w:fill="EE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21"/>
              </w:rPr>
              <w:t xml:space="preserve">方案定位  </w:t>
            </w:r>
            <w:r>
              <w:rPr>
                <w:rFonts w:ascii="Microsoft YaHei" w:hAnsi="Microsoft YaHei" w:eastAsia="Microsoft YaHei"/>
                <w:color w:val="24313D"/>
                <w:sz w:val="21"/>
              </w:rPr>
              <w:t>以正式速报入库为评估触发点，在5分钟内并行生成灾害评估、27类专业图件、核心报告和背景资料，同时将任务、时限、成果和版本集中到指挥大厅，为领导决策和各工作组协同提供统一工作底图。系统从操作系统、数据库、中间件、GIS到AI推理均按国产化信创环境设计，采用双节点高可用部署，并整体运行在上海市地震局行业网环境，直接接入EQIM和地震预警系统。</w:t>
            </w:r>
          </w:p>
        </w:tc>
      </w:tr>
    </w:tbl>
    <w:p/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平台首期面向上海市地震局本级和上海市行政区域，强调震后快速评估、辅助决策、成果标准化和指挥大厅协同。系统不自动替代制度响应和对外报送，而是把模型评估、预案任务、成果生产和版本管理固化为一套可追溯的流程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数据可信：来源可追溯、版本可回滚、事件启动后使用固定快照。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时间可控：T0、T1和预案时限统一计时，自动成果按T1+5分钟验收。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专业可解释：模型结果带区间、质量等级和计算依据，不伪造缺失数据。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协同可用：7个工作组任务、成果、确认和状态集中呈现。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信创合规：CPU、操作系统、数据库、中间件、GIS和AI推理优先选用国产软硬件。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行业网运行：接入EQIM、地震预警和测绘院天地图资源，使用行业网既有网络安全防护环境。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高可用：应用和数据库双节点，存储、备份和交换机独立配置。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预算可控：硬件、软件、建设服务和后续维保全部列支，形成完整三年总拥有成本。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扩展可行：按单位独立部署，未来支持区级和兄弟省份复用配置。</w:t>
      </w:r>
    </w:p>
    <w:p>
      <w:pPr>
        <w:pStyle w:val="Heading1"/>
      </w:pPr>
      <w:r>
        <w:t>1 建设背景与总体目标</w:t>
      </w:r>
    </w:p>
    <w:p>
      <w:pPr>
        <w:pStyle w:val="Heading2"/>
      </w:pPr>
      <w:r>
        <w:t>1.1 建设背景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震后短时间内，值班、监测预报、震害评估、应急技术、综合协调和后勤保障等任务同时展开。传统方式依赖人工收集、人工制图和分散文档流转，存在事件版本不一致、成果难以汇总、预案时限不易跟踪、评估依据难以追溯等问题。平台建设的核心是把正式速报后的评估和协同流程自动化、标准化。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现有基础数据、旧系统源码和成果模板为方案提供了业务结构、界面和数据基础，但旧系统模型参数和价格体系并未完整保留。本方案据此采用“旧系统作参照、模型重新建设、参数本地校准”的路线。按照上级国产化信创部署要求，现有机型和运行环境不直接沿用到生产系统，全部硬件和软件纳入采购预算重新建设。</w:t>
      </w:r>
    </w:p>
    <w:p>
      <w:pPr>
        <w:pStyle w:val="Heading2"/>
      </w:pPr>
      <w:r>
        <w:t>1.2 总体目标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在正式速报入库后自动完成事件建档、响应建议、评估计算、制图、报告和任务建立。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在T1+5分钟内形成全部27类图件、4类核心文档或演示稿、8类背景文档。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为指挥大厅提供事件态势、预案任务、工作组进度、成果版本和数据质量的总览。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建设可配置的数据资产和模型中心，支撑未来区级和兄弟省份独立部署。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把AI用于知识检索、确定性空间计算和地图联动，不替代领导和业务专业判断。</w:t>
      </w:r>
    </w:p>
    <w:p>
      <w:pPr>
        <w:pStyle w:val="Heading2"/>
      </w:pPr>
      <w:r>
        <w:t>1.3 建设原则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先真实闭环，后功能扩张：首期先打通事件到成果的主链路，再扩展现场、遥感和更多通知渠道。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本地优先，外部可替换：正式出图依赖本地数据和底图，外部接口只作为上游来源。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信创优先，兼容可控：核心软硬件优先选择国产CPU、Kylin/UOS、人大金仓、通软中间件和SuperMap。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生产高可用，单点可切换：应用、数据库、网络和安全关键节点采用冗余设计。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版本优先，不覆盖历史：事件、数据、模型、模板、成果和知识库统一版本化。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缺数不造假：核心输入缺失时不生成虚假数值，非核心图层缺失时明确标注待复核。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模块化单体优先：首期控制部署复杂度，模块间接口清晰，保留服务化演进空间。</w:t>
      </w:r>
    </w:p>
    <w:p>
      <w:pPr>
        <w:pStyle w:val="Heading1"/>
      </w:pPr>
      <w:r>
        <w:t>2 业务范围与用户角色</w:t>
      </w:r>
    </w:p>
    <w:p>
      <w:pPr>
        <w:pStyle w:val="Heading2"/>
      </w:pPr>
      <w:r>
        <w:t>2.1 服务范围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首期服务上海市地震局本级，覆盖上海市行政区域及边界海域。自动评估范围包括本市行政区域及边界海域事件、外省波及上海事件、距上海边界20公里以内事件，以及预测最大烈度达到2度以上的事件。不满足评估条件的地震只记录和通知，不建立完整评估任务。</w:t>
      </w:r>
    </w:p>
    <w:p>
      <w:pPr>
        <w:pStyle w:val="Heading2"/>
      </w:pPr>
      <w:r>
        <w:t>2.2 用户角色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4300"/>
        <w:gridCol w:w="3176"/>
      </w:tblGrid>
      <w:tr>
        <w:trPr>
          <w:tblHeader w:val="true"/>
        </w:trPr>
        <w:tc>
          <w:tcPr>
            <w:tcW w:type="dxa" w:w="15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角色</w:t>
            </w:r>
          </w:p>
        </w:tc>
        <w:tc>
          <w:tcPr>
            <w:tcW w:type="dxa" w:w="4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主要职责</w:t>
            </w:r>
          </w:p>
        </w:tc>
        <w:tc>
          <w:tcPr>
            <w:tcW w:type="dxa" w:w="317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关键权限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局领导/管理者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查看态势、响应建议、评估成果和大屏</w:t>
            </w:r>
          </w:p>
        </w:tc>
        <w:tc>
          <w:tcPr>
            <w:tcW w:type="dxa" w:w="3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决策查看、成果审阅</w:t>
            </w:r>
          </w:p>
        </w:tc>
      </w:tr>
      <w:tr>
        <w:trPr>
          <w:cantSplit/>
        </w:trPr>
        <w:tc>
          <w:tcPr>
            <w:tcW w:type="dxa" w:w="15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工作组组长</w:t>
            </w:r>
          </w:p>
        </w:tc>
        <w:tc>
          <w:tcPr>
            <w:tcW w:type="dxa" w:w="4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管理本组任务和成果</w:t>
            </w:r>
          </w:p>
        </w:tc>
        <w:tc>
          <w:tcPr>
            <w:tcW w:type="dxa" w:w="31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确认、发布、查看本组过程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代理副组长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组长不在时代理职责</w:t>
            </w:r>
          </w:p>
        </w:tc>
        <w:tc>
          <w:tcPr>
            <w:tcW w:type="dxa" w:w="3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按名单顺序代理组长权限</w:t>
            </w:r>
          </w:p>
        </w:tc>
      </w:tr>
      <w:tr>
        <w:trPr>
          <w:cantSplit/>
        </w:trPr>
        <w:tc>
          <w:tcPr>
            <w:tcW w:type="dxa" w:w="15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普通组员</w:t>
            </w:r>
          </w:p>
        </w:tc>
        <w:tc>
          <w:tcPr>
            <w:tcW w:type="dxa" w:w="4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接收任务、上传过程和成果</w:t>
            </w:r>
          </w:p>
        </w:tc>
        <w:tc>
          <w:tcPr>
            <w:tcW w:type="dxa" w:w="31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授权范围内编辑和上传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数据维护人员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导入、校验和提交候选数据</w:t>
            </w:r>
          </w:p>
        </w:tc>
        <w:tc>
          <w:tcPr>
            <w:tcW w:type="dxa" w:w="3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数据暂存和候选版本维护</w:t>
            </w:r>
          </w:p>
        </w:tc>
      </w:tr>
      <w:tr>
        <w:trPr>
          <w:cantSplit/>
        </w:trPr>
        <w:tc>
          <w:tcPr>
            <w:tcW w:type="dxa" w:w="15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数据复核人员</w:t>
            </w:r>
          </w:p>
        </w:tc>
        <w:tc>
          <w:tcPr>
            <w:tcW w:type="dxa" w:w="4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审核、发布和回滚数据版本</w:t>
            </w:r>
          </w:p>
        </w:tc>
        <w:tc>
          <w:tcPr>
            <w:tcW w:type="dxa" w:w="31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数据发布和版本管理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超级管理员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系统管理、错误覆盖和强制处置</w:t>
            </w:r>
          </w:p>
        </w:tc>
        <w:tc>
          <w:tcPr>
            <w:tcW w:type="dxa" w:w="3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覆盖、重发、彻底删除</w:t>
            </w:r>
          </w:p>
        </w:tc>
      </w:tr>
    </w:tbl>
    <w:p/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6"/>
      </w:tblGrid>
      <w:tr>
        <w:tc>
          <w:tcPr>
            <w:tcW w:type="dxa" w:w="9026"/>
            <w:shd w:fill="#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21"/>
              </w:rPr>
              <w:t xml:space="preserve">权限约定  </w:t>
            </w:r>
            <w:r>
              <w:rPr>
                <w:rFonts w:ascii="Microsoft YaHei" w:hAnsi="Microsoft YaHei" w:eastAsia="Microsoft YaHei"/>
                <w:color w:val="24313D"/>
                <w:sz w:val="21"/>
              </w:rPr>
              <w:t>领导层不介入日常成果编辑；任务默认分派到工作组；组长在岗时由组长负责确认，组长不在时由代理副组长按名单顺序履职。</w:t>
            </w:r>
          </w:p>
        </w:tc>
      </w:tr>
    </w:tbl>
    <w:p/>
    <w:p>
      <w:pPr>
        <w:pStyle w:val="Heading1"/>
      </w:pPr>
      <w:r>
        <w:t>3 震时事件主流程与时限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系统使用T0和T1两套时钟。T0是发震时刻，用于预案任务计时；T1是首次正式速报入库时刻，用于平台评估和自动成果计时。这样既能保持预案时限，又能让评估和制图以正式数据为起点。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28675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67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40" w:lineRule="auto"/>
        <w:jc w:val="center"/>
      </w:pPr>
      <w:r>
        <w:rPr>
          <w:rFonts w:ascii="Microsoft YaHei" w:hAnsi="Microsoft YaHei" w:eastAsia="Microsoft YaHei"/>
          <w:b w:val="0"/>
          <w:i/>
          <w:color w:val="5F6B76"/>
          <w:sz w:val="18"/>
        </w:rPr>
        <w:t>图1  T0/T1震时自动处理时间线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5000"/>
        <w:gridCol w:w="2426"/>
      </w:tblGrid>
      <w:tr>
        <w:trPr>
          <w:tblHeader w:val="true"/>
        </w:trPr>
        <w:tc>
          <w:tcPr>
            <w:tcW w:type="dxa" w:w="1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时刻</w:t>
            </w:r>
          </w:p>
        </w:tc>
        <w:tc>
          <w:tcPr>
            <w:tcW w:type="dxa" w:w="5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系统行为</w:t>
            </w:r>
          </w:p>
        </w:tc>
        <w:tc>
          <w:tcPr>
            <w:tcW w:type="dxa" w:w="24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完成条件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T0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建立待定事件和震情记录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保留发震时刻和来源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T0+3分钟以内</w:t>
            </w:r>
          </w:p>
        </w:tc>
        <w:tc>
          <w:tcPr>
            <w:tcW w:type="dxa" w:w="5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显示自动速报、震中、震级和深度</w:t>
            </w:r>
          </w:p>
        </w:tc>
        <w:tc>
          <w:tcPr>
            <w:tcW w:type="dxa" w:w="24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不启动损失评估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T0+5分钟以内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接收首次正式速报，记录T1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正式报入库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T1</w:t>
            </w:r>
          </w:p>
        </w:tc>
        <w:tc>
          <w:tcPr>
            <w:tcW w:type="dxa" w:w="5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启动评估、响应建议、任务和快照</w:t>
            </w:r>
          </w:p>
        </w:tc>
        <w:tc>
          <w:tcPr>
            <w:tcW w:type="dxa" w:w="24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自动触发平台流程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T1+5分钟以内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完成27类图件和12类文档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硬验收线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T0+30分钟</w:t>
            </w:r>
          </w:p>
        </w:tc>
        <w:tc>
          <w:tcPr>
            <w:tcW w:type="dxa" w:w="5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应急技术组进入大厅并产简报</w:t>
            </w:r>
          </w:p>
        </w:tc>
        <w:tc>
          <w:tcPr>
            <w:tcW w:type="dxa" w:w="24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预案任务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T0+30至60分钟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产出快速评估专报相关成果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阶段成果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T0+60分钟以后</w:t>
            </w:r>
          </w:p>
        </w:tc>
        <w:tc>
          <w:tcPr>
            <w:tcW w:type="dxa" w:w="5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持续产出专业图件和动态更新</w:t>
            </w:r>
          </w:p>
        </w:tc>
        <w:tc>
          <w:tcPr>
            <w:tcW w:type="dxa" w:w="24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运行期持续任务</w:t>
            </w:r>
          </w:p>
        </w:tc>
      </w:tr>
    </w:tbl>
    <w:p/>
    <w:p>
      <w:pPr>
        <w:pStyle w:val="Heading2"/>
      </w:pPr>
      <w:r>
        <w:t>3.1 正式报修正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首次正式报入库时刻固定为T1，后续修正不重置原始T1。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每次修正自动生成修订版评估任务，从修正报入库起5分钟内完成新版成果。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震中、震级或深度变化时，烈度、损失、伤亡和资源需求全部重算。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新旧版本同时保留，大屏显示最新有效版本，并提供差异对比和修订说明。</w:t>
      </w:r>
    </w:p>
    <w:p>
      <w:pPr>
        <w:pStyle w:val="Heading2"/>
      </w:pPr>
      <w:r>
        <w:t>3.2 响应升级与降级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升级时自动追加新任务，不删除已经产生的工作和成果。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降级时未开始任务标记为不再需要，进行中和已完成任务继续保留。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等级变更记录建议依据、操作人、时间和关联报文版本。</w:t>
      </w:r>
    </w:p>
    <w:p>
      <w:pPr>
        <w:pStyle w:val="Heading1"/>
      </w:pPr>
      <w:r>
        <w:t>4 响应等级建议规则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平台建议等级与制度响应等级分离。平台负责根据事件条件提出建议和说明依据，局领导依据预案和经验决定是否启动制度响应。中国地震局应急服务响应等级也独立计算，单独展示。</w:t>
      </w:r>
    </w:p>
    <w:p>
      <w:pPr>
        <w:pStyle w:val="Heading2"/>
      </w:pPr>
      <w:r>
        <w:t>4.1 上海市制度响应建议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0"/>
        <w:gridCol w:w="3026"/>
      </w:tblGrid>
      <w:tr>
        <w:trPr>
          <w:tblHeader w:val="true"/>
        </w:trPr>
        <w:tc>
          <w:tcPr>
            <w:tcW w:type="dxa" w:w="6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事件条件</w:t>
            </w:r>
          </w:p>
        </w:tc>
        <w:tc>
          <w:tcPr>
            <w:tcW w:type="dxa" w:w="30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建议等级</w:t>
            </w:r>
          </w:p>
        </w:tc>
      </w:tr>
      <w:tr>
        <w:trPr>
          <w:cantSplit/>
        </w:trPr>
        <w:tc>
          <w:tcPr>
            <w:tcW w:type="dxa" w:w="6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上海行政区域含边界50公里海域发生3.0至3.9级</w:t>
            </w:r>
          </w:p>
        </w:tc>
        <w:tc>
          <w:tcPr>
            <w:tcW w:type="dxa" w:w="3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一般响应</w:t>
            </w:r>
          </w:p>
        </w:tc>
      </w:tr>
      <w:tr>
        <w:trPr>
          <w:cantSplit/>
        </w:trPr>
        <w:tc>
          <w:tcPr>
            <w:tcW w:type="dxa" w:w="6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上海行政区域含边界50公里海域发生4.0至4.9级</w:t>
            </w:r>
          </w:p>
        </w:tc>
        <w:tc>
          <w:tcPr>
            <w:tcW w:type="dxa" w:w="3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较大响应</w:t>
            </w:r>
          </w:p>
        </w:tc>
      </w:tr>
      <w:tr>
        <w:trPr>
          <w:cantSplit/>
        </w:trPr>
        <w:tc>
          <w:tcPr>
            <w:tcW w:type="dxa" w:w="6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上海行政区域含边界50公里海域发生5.0至5.9级</w:t>
            </w:r>
          </w:p>
        </w:tc>
        <w:tc>
          <w:tcPr>
            <w:tcW w:type="dxa" w:w="3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重大响应</w:t>
            </w:r>
          </w:p>
        </w:tc>
      </w:tr>
      <w:tr>
        <w:trPr>
          <w:cantSplit/>
        </w:trPr>
        <w:tc>
          <w:tcPr>
            <w:tcW w:type="dxa" w:w="6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上海行政区域含边界50公里海域发生6.0级及以上</w:t>
            </w:r>
          </w:p>
        </w:tc>
        <w:tc>
          <w:tcPr>
            <w:tcW w:type="dxa" w:w="3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特别重大响应</w:t>
            </w:r>
          </w:p>
        </w:tc>
      </w:tr>
      <w:tr>
        <w:trPr>
          <w:cantSplit/>
        </w:trPr>
        <w:tc>
          <w:tcPr>
            <w:tcW w:type="dxa" w:w="6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外省波及上海且无直接死亡</w:t>
            </w:r>
          </w:p>
        </w:tc>
        <w:tc>
          <w:tcPr>
            <w:tcW w:type="dxa" w:w="3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一般响应</w:t>
            </w:r>
          </w:p>
        </w:tc>
      </w:tr>
      <w:tr>
        <w:trPr>
          <w:cantSplit/>
        </w:trPr>
        <w:tc>
          <w:tcPr>
            <w:tcW w:type="dxa" w:w="6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外省波及上海且死亡少于10人</w:t>
            </w:r>
          </w:p>
        </w:tc>
        <w:tc>
          <w:tcPr>
            <w:tcW w:type="dxa" w:w="3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较大响应</w:t>
            </w:r>
          </w:p>
        </w:tc>
      </w:tr>
      <w:tr>
        <w:trPr>
          <w:cantSplit/>
        </w:trPr>
        <w:tc>
          <w:tcPr>
            <w:tcW w:type="dxa" w:w="6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外省波及上海且死亡10人至不足100人</w:t>
            </w:r>
          </w:p>
        </w:tc>
        <w:tc>
          <w:tcPr>
            <w:tcW w:type="dxa" w:w="3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重大响应</w:t>
            </w:r>
          </w:p>
        </w:tc>
      </w:tr>
      <w:tr>
        <w:trPr>
          <w:cantSplit/>
        </w:trPr>
        <w:tc>
          <w:tcPr>
            <w:tcW w:type="dxa" w:w="6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外省波及上海且死亡100人及以上</w:t>
            </w:r>
          </w:p>
        </w:tc>
        <w:tc>
          <w:tcPr>
            <w:tcW w:type="dxa" w:w="3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特别重大响应</w:t>
            </w:r>
          </w:p>
        </w:tc>
      </w:tr>
    </w:tbl>
    <w:p/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震源深度大于60公里时，制度响应建议降低一级。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外省震中距上海边界20至100公里时，制度响应建议降低一级。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预测烈度达到2度但没有达到正式响应条件时，可以建立专项评估，不建议启动制度响应。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大屏显示建议等级、触发原因、使用震级或死亡人数、降级条件和数据来源。</w:t>
      </w:r>
    </w:p>
    <w:p>
      <w:pPr>
        <w:pStyle w:val="Heading2"/>
      </w:pPr>
      <w:r>
        <w:t>4.2 中国地震局应急服务响应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00"/>
        <w:gridCol w:w="4026"/>
      </w:tblGrid>
      <w:tr>
        <w:trPr>
          <w:tblHeader w:val="true"/>
        </w:trPr>
        <w:tc>
          <w:tcPr>
            <w:tcW w:type="dxa" w:w="5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震级条件</w:t>
            </w:r>
          </w:p>
        </w:tc>
        <w:tc>
          <w:tcPr>
            <w:tcW w:type="dxa" w:w="40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服务响应等级</w:t>
            </w:r>
          </w:p>
        </w:tc>
      </w:tr>
      <w:tr>
        <w:trPr>
          <w:cantSplit/>
        </w:trPr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M≥6.0</w:t>
            </w:r>
          </w:p>
        </w:tc>
        <w:tc>
          <w:tcPr>
            <w:tcW w:type="dxa" w:w="4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一级</w:t>
            </w:r>
          </w:p>
        </w:tc>
      </w:tr>
      <w:tr>
        <w:trPr>
          <w:cantSplit/>
        </w:trPr>
        <w:tc>
          <w:tcPr>
            <w:tcW w:type="dxa" w:w="5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5.0≤M&lt;6.0</w:t>
            </w:r>
          </w:p>
        </w:tc>
        <w:tc>
          <w:tcPr>
            <w:tcW w:type="dxa" w:w="4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二级</w:t>
            </w:r>
          </w:p>
        </w:tc>
      </w:tr>
      <w:tr>
        <w:trPr>
          <w:cantSplit/>
        </w:trPr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4.0≤M&lt;5.0</w:t>
            </w:r>
          </w:p>
        </w:tc>
        <w:tc>
          <w:tcPr>
            <w:tcW w:type="dxa" w:w="4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三级</w:t>
            </w:r>
          </w:p>
        </w:tc>
      </w:tr>
      <w:tr>
        <w:trPr>
          <w:cantSplit/>
        </w:trPr>
        <w:tc>
          <w:tcPr>
            <w:tcW w:type="dxa" w:w="5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3.0≤M&lt;4.0</w:t>
            </w:r>
          </w:p>
        </w:tc>
        <w:tc>
          <w:tcPr>
            <w:tcW w:type="dxa" w:w="4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四级</w:t>
            </w:r>
          </w:p>
        </w:tc>
      </w:tr>
    </w:tbl>
    <w:p/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上海属于长江流域大城市和人口密集地区。上级服务响应中的中深源降级条件按文件规定的深度大于70公里处理，不覆盖上海市预案规定的深度大于60公里制度响应条件。两个字段、计算规则和显示结果不得混用。</w:t>
      </w:r>
    </w:p>
    <w:p>
      <w:pPr>
        <w:pStyle w:val="Heading2"/>
      </w:pPr>
      <w:r>
        <w:t>4.3 人工触发与影响场方向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未进入EQIM但上海地震台网已正式测定的地震，由授权人员手工输入事件信息并启动完整评估。人工事件必须填写发震时刻、经度、纬度、震级、震源深度和数据来源，可选填事件编号、正式报编号和参考地名。人工事件与EQIM正式报使用同一套评估、制图、报告和任务规则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人工输入震中坐标后，自动匹配行政区、震中参考位置和距人民广场距离。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默认检索震中周边50公里范围内的活动断裂；检索半径可以在系统设置中调整。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有震源机制解时，优先采用震源机制解和地震影像场走向确定破裂方向。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没有震源机制解但有邻近断裂时，参考最近活动断裂的走向生成影响场长轴。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两者均缺失时生成不设定方向的圆形或椭圆形影响场，并明确标记“破裂方向待确认”。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手工触发界面、计算过程和最终图件保留统一事件编号，避免与同源EQIM事件重复建案。</w:t>
      </w:r>
    </w:p>
    <w:p>
      <w:pPr>
        <w:pStyle w:val="Heading2"/>
      </w:pPr>
      <w:r>
        <w:t>4.4 通知和值守衔接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平台以站内消息、待办任务和大屏告警作为主通知方式。事件进入、响应建议生成、正式成果完成、任务临期或超时、数据源异常时自动通知相关工作组。短信、企业微信、邮件和电话作为后续适配渠道预留统一通知接口，外部渠道不可用时自动回落到站内消息，不阻塞评估和制图主流程。</w:t>
      </w:r>
    </w:p>
    <w:p>
      <w:pPr>
        <w:pStyle w:val="Heading1"/>
      </w:pPr>
      <w:r>
        <w:t>5 数据体系与数据管理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28675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67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40" w:lineRule="auto"/>
        <w:jc w:val="center"/>
      </w:pPr>
      <w:r>
        <w:rPr>
          <w:rFonts w:ascii="Microsoft YaHei" w:hAnsi="Microsoft YaHei" w:eastAsia="Microsoft YaHei"/>
          <w:b w:val="0"/>
          <w:i/>
          <w:color w:val="5F6B76"/>
          <w:sz w:val="18"/>
        </w:rPr>
        <w:t>图2  数据到决策的评估链路</w:t>
      </w:r>
    </w:p>
    <w:p>
      <w:pPr>
        <w:pStyle w:val="Heading2"/>
      </w:pPr>
      <w:r>
        <w:t>5.1 数据组成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事件数据：EQIM自动速报、EQIM正式速报、修正报文、地震预警、人工事件、测试和演练事件。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基础地理数据：行政边界、交通、水系、桥梁、铁路、机场、港口和隧道等。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承灾体数据：人口、房屋建筑、GDP、学校、医院、重点目标、危险源和文物等。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构造与历史数据：断层、活动断层、历史地震、地壳和场地条件。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成果数据：模型结果、图件、报告、任务附件、操作记录和版本记录。</w:t>
      </w:r>
    </w:p>
    <w:p>
      <w:pPr>
        <w:pStyle w:val="Heading2"/>
      </w:pPr>
      <w:r>
        <w:t>5.2 数据现状与缺口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现有上海应急基础数据2022.mdb已提供区县、乡镇、建筑、人口、经济、断层、历史地震、危险源、学校、医院、重点目标和交通设施等基础内容。但高层建筑面积、重置单价、室内财产单价、独立地铁、疏散场地、救援队伍、文物单位和建筑公里格网等仍不完整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600"/>
        <w:gridCol w:w="3226"/>
      </w:tblGrid>
      <w:tr>
        <w:trPr>
          <w:tblHeader w:val="true"/>
        </w:trP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数据类别</w:t>
            </w:r>
          </w:p>
        </w:tc>
        <w:tc>
          <w:tcPr>
            <w:tcW w:type="dxa" w:w="3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现状判断</w:t>
            </w:r>
          </w:p>
        </w:tc>
        <w:tc>
          <w:tcPr>
            <w:tcW w:type="dxa" w:w="32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首期处理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A类：现有基础或EQIM可支撑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可自动生成大部分图表和评估输入</w:t>
            </w:r>
          </w:p>
        </w:tc>
        <w:tc>
          <w:tcPr>
            <w:tcW w:type="dxa" w:w="3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优先实现并用于验收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B类：需要公共数据补充</w:t>
            </w:r>
          </w:p>
        </w:tc>
        <w:tc>
          <w:tcPr>
            <w:tcW w:type="dxa" w:w="3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测绘院天地图、政府公开数据</w:t>
            </w:r>
          </w:p>
        </w:tc>
        <w:tc>
          <w:tcPr>
            <w:tcW w:type="dxa" w:w="3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补齐并标记待复核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C类：需要聚合或模型派生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建筑公里格网等</w:t>
            </w:r>
          </w:p>
        </w:tc>
        <w:tc>
          <w:tcPr>
            <w:tcW w:type="dxa" w:w="3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按质量等级单独标识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D类：正式数据尚未提供</w:t>
            </w:r>
          </w:p>
        </w:tc>
        <w:tc>
          <w:tcPr>
            <w:tcW w:type="dxa" w:w="3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水库、站点等部分专题</w:t>
            </w:r>
          </w:p>
        </w:tc>
        <w:tc>
          <w:tcPr>
            <w:tcW w:type="dxa" w:w="3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生成缺数说明，不伪造数值</w:t>
            </w:r>
          </w:p>
        </w:tc>
      </w:tr>
    </w:tbl>
    <w:p/>
    <w:p>
      <w:pPr>
        <w:pStyle w:val="Heading2"/>
      </w:pPr>
      <w:r>
        <w:t>5.3 数据管理平台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数据目录：记录来源、许可、坐标系、更新时间、责任单位和质量等级。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数据导入：支持Shapefile、GeoJSON、GeoPackage、CSV、XLSX、GeoTIFF，MDB提供迁移工具。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质量校验：坐标、几何、重复、空值、字段、范围、编码和模型必需字段。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版本流转：上传、校验、预览、候选版本、复核、发布和回滚。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影响分析：显示数据更新影响哪些模型、图件、报告和大屏图层。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事件快照：事件启动后锁定数据版本，后续更新不影响运行中事件。</w:t>
      </w:r>
    </w:p>
    <w:p>
      <w:pPr>
        <w:pStyle w:val="Heading1"/>
      </w:pPr>
      <w:r>
        <w:t>6 灾害评估模型</w:t>
      </w:r>
    </w:p>
    <w:p>
      <w:pPr>
        <w:pStyle w:val="Heading2"/>
      </w:pPr>
      <w:r>
        <w:t>6.1 三套烈度结果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模型烈度：由震级、深度、距离、场地和衰减关系生成。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仪器烈度：采用EQIM提供的仪器烈度产品，反映测站观测。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融合烈度：综合测站密度、距离、观测质量；无仪器区域使用模型烈度。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仪器烈度产品不可用时，系统仍生成模型烈度，融合结果降级为模型主导并记录质量说明。原始模型烈度和仪器烈度均保留，避免单一来源偏差。</w:t>
      </w:r>
    </w:p>
    <w:p>
      <w:pPr>
        <w:pStyle w:val="Heading2"/>
      </w:pPr>
      <w:r>
        <w:t>6.2 损失评估对象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在融合烈度上叠加人口、房屋建筑、重点目标、交通、生命线、GDP等承灾体，计算建筑破坏、人员死亡、人员受伤、人员压埋、经济损失和救援、医疗、防疫、帐篷、饮水、厕所、衣物、棉被、食品、毛毯、担架、病床等资源需求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800"/>
        <w:gridCol w:w="3426"/>
      </w:tblGrid>
      <w:tr>
        <w:trPr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结果类型</w:t>
            </w:r>
          </w:p>
        </w:tc>
        <w:tc>
          <w:tcPr>
            <w:tcW w:type="dxa" w:w="3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输出内容</w:t>
            </w:r>
          </w:p>
        </w:tc>
        <w:tc>
          <w:tcPr>
            <w:tcW w:type="dxa" w:w="34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必须携带的元数据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建筑破坏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不同建筑类型和破坏状态面积</w:t>
            </w:r>
          </w:p>
        </w:tc>
        <w:tc>
          <w:tcPr>
            <w:tcW w:type="dxa" w:w="3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烈度、建筑数据、矩阵版本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人员伤亡</w:t>
            </w:r>
          </w:p>
        </w:tc>
        <w:tc>
          <w:tcPr>
            <w:tcW w:type="dxa" w:w="3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死亡、受伤、压埋中心和区间</w:t>
            </w:r>
          </w:p>
        </w:tc>
        <w:tc>
          <w:tcPr>
            <w:tcW w:type="dxa" w:w="34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人口、建筑破坏、模型参数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经济损失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直接经济损失和构成</w:t>
            </w:r>
          </w:p>
        </w:tc>
        <w:tc>
          <w:tcPr>
            <w:tcW w:type="dxa" w:w="3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价格、重置单价、室内财产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资源需求</w:t>
            </w:r>
          </w:p>
        </w:tc>
        <w:tc>
          <w:tcPr>
            <w:tcW w:type="dxa" w:w="3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救援力量和主要生活物资</w:t>
            </w:r>
          </w:p>
        </w:tc>
        <w:tc>
          <w:tcPr>
            <w:tcW w:type="dxa" w:w="34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伤亡、安置、城市类型系数</w:t>
            </w:r>
          </w:p>
        </w:tc>
      </w:tr>
    </w:tbl>
    <w:p/>
    <w:p>
      <w:pPr>
        <w:pStyle w:val="Heading2"/>
      </w:pPr>
      <w:r>
        <w:t>6.3 初始模型框架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建筑破坏：高层、钢筋混凝土、砌体、单层和其他五类建筑面积，乘烈度易损性矩阵和破坏比例。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死亡：deathRate = a × exp(b × (I + c)) × 倒塌面积 / 总面积。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受伤与安置：按烈度档位和死亡人数或人口比例计算。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压埋：五类建筑破坏面积乘系数并除以城市类型系数。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经济损失：建筑面积×易损性比例×损失比×重置单价 + 室内财产损失。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影响场：长轴和短轴采用衰减公式，结合邻近断裂和震源机制确定方向。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6"/>
      </w:tblGrid>
      <w:tr>
        <w:tc>
          <w:tcPr>
            <w:tcW w:type="dxa" w:w="9026"/>
            <w:shd w:fill="#FFF8E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21"/>
              </w:rPr>
              <w:t xml:space="preserve">模型边界  </w:t>
            </w:r>
            <w:r>
              <w:rPr>
                <w:rFonts w:ascii="Microsoft YaHei" w:hAnsi="Microsoft YaHei" w:eastAsia="Microsoft YaHei"/>
                <w:color w:val="24313D"/>
                <w:sz w:val="21"/>
              </w:rPr>
              <w:t>旧系统实际易损性矩阵、价格和参数不完整，因此新系统不承诺数值复现。参数从标准、论文、上海本地数据和历史事件中重建，并支持版本管理和后续校准。</w:t>
            </w:r>
          </w:p>
        </w:tc>
      </w:tr>
    </w:tbl>
    <w:p/>
    <w:p>
      <w:pPr>
        <w:pStyle w:val="Heading1"/>
      </w:pPr>
      <w:r>
        <w:t>7 专业成果与报告体系</w:t>
      </w:r>
    </w:p>
    <w:p>
      <w:pPr>
        <w:pStyle w:val="Heading2"/>
      </w:pPr>
      <w:r>
        <w:t>7.1 27类图件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4500"/>
        <w:gridCol w:w="3876"/>
      </w:tblGrid>
      <w:tr>
        <w:trPr>
          <w:tblHeader w:val="true"/>
        </w:trPr>
        <w:tc>
          <w:tcPr>
            <w:tcW w:type="dxa" w:w="6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序号</w:t>
            </w:r>
          </w:p>
        </w:tc>
        <w:tc>
          <w:tcPr>
            <w:tcW w:type="dxa" w:w="4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图件名称</w:t>
            </w:r>
          </w:p>
        </w:tc>
        <w:tc>
          <w:tcPr>
            <w:tcW w:type="dxa" w:w="387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数据成熟度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城区疏散场地分布图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地震影响场分布图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A类，模型和EQIM自动生成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3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经济损失预估专题图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A类，损失模型生成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4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救援力量需求专题图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A类，资源需求模型生成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5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人员死亡预估分布图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A类，损失模型生成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6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人员受伤预估分布图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A类，损失模型生成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7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人员压埋预估分布图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A类，损失模型生成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8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物资需求预估专题图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A类，资源需求模型生成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9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震区GDP图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10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震区地震动峰值加速度区划图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11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震区交通图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A类，基础数据和本地底图生成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12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震区历史地震分布图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A类，历史地震目录生成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13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震区人口分布图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14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震区水库分布图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15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震区危险源分布图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16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震区学校分布图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17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震区医院分布图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18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震中附近地铁分布图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B类，测绘院或公开数据补齐，待复核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19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震中附近地震台站分布图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B类，权威数据补齐，待复核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20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震中附近活动断裂图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21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震中附近建筑物分布图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A类，行政区聚合展示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22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震中附近建筑物公里格网分布图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C类，模型聚合，按质量等级标识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23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震中附近救援队伍分布图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B类，公开或责任组数据补齐，待复核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24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震中附近文物单位分布图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25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震中附近重要目标分布图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26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震中位置分布图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A类，EQIM自动生成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27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震中与主要城市距离分布图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A类，基础数据和空间计算生成</w:t>
            </w:r>
          </w:p>
        </w:tc>
      </w:tr>
    </w:tbl>
    <w:p/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中国地震局模板中的遥感影像图和不同幅面版本作为报送格式映射，不增加第28类图件。旧系统只实现专业版，其他简化版本不纳入首期。</w:t>
      </w:r>
    </w:p>
    <w:p>
      <w:pPr>
        <w:pStyle w:val="Heading2"/>
      </w:pPr>
      <w:r>
        <w:t>7.2 文档和演示稿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513"/>
        <w:gridCol w:w="4513"/>
      </w:tblGrid>
      <w:tr>
        <w:trPr>
          <w:tblHeader w:val="true"/>
        </w:trPr>
        <w:tc>
          <w:tcPr>
            <w:tcW w:type="dxa" w:w="451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核心成果</w:t>
            </w:r>
          </w:p>
        </w:tc>
        <w:tc>
          <w:tcPr>
            <w:tcW w:type="dxa" w:w="451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背景成果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地震灾害快速评估简报 DOCX</w:t>
            </w:r>
          </w:p>
        </w:tc>
        <w:tc>
          <w:tcPr>
            <w:tcW w:type="dxa" w:w="4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地震背景信息、震区房屋统计、震区经济信息、震区人口信息</w:t>
            </w:r>
          </w:p>
        </w:tc>
      </w:tr>
      <w:tr>
        <w:trPr>
          <w:cantSplit/>
        </w:trPr>
        <w:tc>
          <w:tcPr>
            <w:tcW w:type="dxa" w:w="4513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地震灾害快速评估专报 DOCX</w:t>
            </w:r>
          </w:p>
        </w:tc>
        <w:tc>
          <w:tcPr>
            <w:tcW w:type="dxa" w:w="4513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重点目标信息、震中空间距离分布、震区基本情况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辅助决策报告 DOCX</w:t>
            </w:r>
          </w:p>
        </w:tc>
        <w:tc>
          <w:tcPr>
            <w:tcW w:type="dxa" w:w="4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历史地震和灾害地震目录</w:t>
            </w:r>
          </w:p>
        </w:tc>
      </w:tr>
      <w:tr>
        <w:trPr>
          <w:cantSplit/>
        </w:trPr>
        <w:tc>
          <w:tcPr>
            <w:tcW w:type="dxa" w:w="4513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辅助决策报告 PPTX</w:t>
            </w:r>
          </w:p>
        </w:tc>
        <w:tc>
          <w:tcPr>
            <w:tcW w:type="dxa" w:w="4513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按模板配置自动填充</w:t>
            </w:r>
          </w:p>
        </w:tc>
      </w:tr>
    </w:tbl>
    <w:p/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正式事件成果无前缀，测试和演练成果带不可移除的“测试”或“演练”前缀。命名规则为：震中参考位置+震级+地震_成果名称_V版本_生成时间.扩展名。图件输出JPG或PNG，文档输出DOCX，演示稿输出PPTX，首期不输出PDF。</w:t>
      </w:r>
    </w:p>
    <w:p>
      <w:pPr>
        <w:pStyle w:val="Heading1"/>
      </w:pPr>
      <w:r>
        <w:t>8 工作组任务协同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工作组</w:t>
            </w:r>
          </w:p>
        </w:tc>
        <w:tc>
          <w:tcPr>
            <w:tcW w:type="dxa" w:w="68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平台内主要任务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新闻信息值守组</w:t>
            </w:r>
          </w:p>
        </w:tc>
        <w:tc>
          <w:tcPr>
            <w:tcW w:type="dxa" w:w="6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新闻信息、舆情动态、发布素材和稿件流转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监测预报组</w:t>
            </w:r>
          </w:p>
        </w:tc>
        <w:tc>
          <w:tcPr>
            <w:tcW w:type="dxa" w:w="68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正式速报、仪器烈度、震源机制、余震序列和异常核实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综合协调组</w:t>
            </w:r>
          </w:p>
        </w:tc>
        <w:tc>
          <w:tcPr>
            <w:tcW w:type="dxa" w:w="6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响应建议、领导指令、各组状态、重大事项和外部协调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震害评估组</w:t>
            </w:r>
          </w:p>
        </w:tc>
        <w:tc>
          <w:tcPr>
            <w:tcW w:type="dxa" w:w="68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快速评估、烈度与损失复核、断层资料、现场准备和后续评估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应急技术组</w:t>
            </w:r>
          </w:p>
        </w:tc>
        <w:tc>
          <w:tcPr>
            <w:tcW w:type="dxa" w:w="6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系统启动、自动任务、图件报告生成、大厅运维、网络通信和技术保障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后勤保障组</w:t>
            </w:r>
          </w:p>
        </w:tc>
        <w:tc>
          <w:tcPr>
            <w:tcW w:type="dxa" w:w="68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人员、车辆、物资、场地、通信和生活保障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中心站组</w:t>
            </w:r>
          </w:p>
        </w:tc>
        <w:tc>
          <w:tcPr>
            <w:tcW w:type="dxa" w:w="6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按预案和模板承接日常与震时成果流转</w:t>
            </w:r>
          </w:p>
        </w:tc>
      </w:tr>
    </w:tbl>
    <w:p/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任务默认分派到工作组，不自动指定个人。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系统自动成果直接显示为系统自动版，人工成果经组长或代理副组长确认后发布。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任务状态包括待接收、处理中、待确认、已完成、超时、不再需要和失败。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修正成果生成新版本，原成果和操作过程继续保留。</w:t>
      </w:r>
    </w:p>
    <w:p>
      <w:pPr>
        <w:pStyle w:val="Heading1"/>
      </w:pPr>
      <w:r>
        <w:t>9 指挥大厅设计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应急指挥大厅面向局领导、综合协调和全部工作组，承担事件总览、任务协同和成果集中展示。整屏显示面积为29.16平方米，整屏分辨率为7680×2430。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事件态势：T0、T1、震中、震级、深度、影响范围和响应建议。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任务进度：7个工作组任务状态、时限、超时和成果数量。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评估成果：烈度、建筑破坏、人员伤亡、经济损失和资源需求。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地图联动：专题图、历史事件、断裂带、重点目标和空间查询。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消息通知：站内消息和系统告警，外部渠道预留接口。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6"/>
      </w:tblGrid>
      <w:tr>
        <w:tc>
          <w:tcPr>
            <w:tcW w:type="dxa" w:w="9026"/>
            <w:shd w:fill="#EE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21"/>
              </w:rPr>
              <w:t xml:space="preserve">界面边界  </w:t>
            </w:r>
            <w:r>
              <w:rPr>
                <w:rFonts w:ascii="Microsoft YaHei" w:hAnsi="Microsoft YaHei" w:eastAsia="Microsoft YaHei"/>
                <w:color w:val="24313D"/>
                <w:sz w:val="21"/>
              </w:rPr>
              <w:t>只支持桌面和大屏，不开发手机端。所有元素在7680×2430下不得重叠、溢出或遮挡关键信息。</w:t>
            </w:r>
          </w:p>
        </w:tc>
      </w:tr>
    </w:tbl>
    <w:p/>
    <w:p>
      <w:pPr>
        <w:pStyle w:val="Heading1"/>
      </w:pPr>
      <w:r>
        <w:t>10 信创系统总体架构与技术路线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28675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67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40" w:lineRule="auto"/>
        <w:jc w:val="center"/>
      </w:pPr>
      <w:r>
        <w:rPr>
          <w:rFonts w:ascii="Microsoft YaHei" w:hAnsi="Microsoft YaHei" w:eastAsia="Microsoft YaHei"/>
          <w:b w:val="0"/>
          <w:i/>
          <w:color w:val="5F6B76"/>
          <w:sz w:val="18"/>
        </w:rPr>
        <w:t>图3  信创环境系统总体逻辑架构</w:t>
      </w:r>
    </w:p>
    <w:p>
      <w:pPr>
        <w:pStyle w:val="Heading2"/>
      </w:pPr>
      <w:r>
        <w:t>10.1 架构选择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首期采用模块化单体、异步任务编排和双节点高可用部署。应用、数据库、网络和安全关键节点均保留冗余，AI推理独立部署。核心软硬件优先选用国产化产品，操作系统同时兼容银河麒麟和统信UOS，应用通过国产中间件发布，空间数据由国产数据库空间扩展和SuperMap iServer提供。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600"/>
        <w:gridCol w:w="3926"/>
      </w:tblGrid>
      <w:tr>
        <w:trPr>
          <w:tblHeader w:val="true"/>
        </w:trP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层级</w:t>
            </w:r>
          </w:p>
        </w:tc>
        <w:tc>
          <w:tcPr>
            <w:tcW w:type="dxa" w:w="3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组件</w:t>
            </w:r>
          </w:p>
        </w:tc>
        <w:tc>
          <w:tcPr>
            <w:tcW w:type="dxa" w:w="39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主要职责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操作系统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银河麒麟V10 SP3主选，统信UOS Server备用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服务器、数据库、浏览器和安全软件运行底座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前端</w:t>
            </w:r>
          </w:p>
        </w:tc>
        <w:tc>
          <w:tcPr>
            <w:tcW w:type="dxa" w:w="3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Vue 3、TypeScript、Vite、SuperMap iClient、ECharts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事件控制台、地图、任务和指挥大厅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后端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Java 17/21、Spring Boot 3、通软TongWeb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事件、数据、评估、任务、知识和接口服务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数据</w:t>
            </w:r>
          </w:p>
        </w:tc>
        <w:tc>
          <w:tcPr>
            <w:tcW w:type="dxa" w:w="3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人大金仓KingbaseES V9、KingbaseGIS、向量检索组件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事务、空间分析、全文和知识向量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编排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国产容器云、国产工作流调度平台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自动流程、并行任务、重试、超时和资源调度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存储</w:t>
            </w:r>
          </w:p>
        </w:tc>
        <w:tc>
          <w:tcPr>
            <w:tcW w:type="dxa" w:w="3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国产分布式对象存储和集中存储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原始报文、图件、报告、附件和底图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空间服务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SuperMap iServer、iDesktopX、PMTiles/MBTiles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空间服务、切图、专题图层和制图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AI推理</w:t>
            </w:r>
          </w:p>
        </w:tc>
        <w:tc>
          <w:tcPr>
            <w:tcW w:type="dxa" w:w="3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国产AI服务器、本地DeepSeek/Qwen、RAG平台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知识问答、引用和受控工具调用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制图文档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国产浏览器渲染、Apache POI、LibreOffice/WPS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27类图件、DOCX和PPTX成果生产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运行保障</w:t>
            </w:r>
          </w:p>
        </w:tc>
        <w:tc>
          <w:tcPr>
            <w:tcW w:type="dxa" w:w="3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国产统一监控、主机安全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运行监控、告警和主机防护；漏洞扫描复用行业网既有能力</w:t>
            </w:r>
          </w:p>
        </w:tc>
      </w:tr>
    </w:tbl>
    <w:p/>
    <w:p>
      <w:pPr>
        <w:pStyle w:val="Heading2"/>
      </w:pPr>
      <w:r>
        <w:t>10.2 关键设计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事件启动时锁定事件、烈度、数据、模型、模板和知识库快照。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真实事件优先级高于测试和演练任务，单个任务失败不阻塞其他成果。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底图、字体、模板、浏览器进程和空间索引预热，满足T1+5分钟硬约束。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底图统一使用上海市测绘院提供的天地图资源；正式出图使用本地缓存或行业网地图服务。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AI模型、知识库和向量检索全部部署在本地信创服务器，不依赖外部在线模型和网络检索。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应用与数据库双节点部署，主节点故障时由备用节点接管，存储和交换机不存在单点。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所有中间件、数据库、GIS和AI组件必须提供与所选CPU、Kylin/UOS版本的兼容性证明。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28675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67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40" w:lineRule="auto"/>
        <w:jc w:val="center"/>
      </w:pPr>
      <w:r>
        <w:rPr>
          <w:rFonts w:ascii="Microsoft YaHei" w:hAnsi="Microsoft YaHei" w:eastAsia="Microsoft YaHei"/>
          <w:b w:val="0"/>
          <w:i/>
          <w:color w:val="5F6B76"/>
          <w:sz w:val="18"/>
        </w:rPr>
        <w:t>图4  信创高可用部署边界</w:t>
      </w:r>
    </w:p>
    <w:p>
      <w:pPr>
        <w:pStyle w:val="Heading2"/>
      </w:pPr>
      <w:r>
        <w:t>10.3 公开资料与技术调研结论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方案调研了近年快速评估、损失评估和应急制图论文，国内外公开系统以及相关专利方向。调研结论是采用成熟方法组合和自主可控的数据链，不直接嵌入许可证不兼容的灾害计算引擎。USGS PAGER和ShakeMap用于产品组织、影响圈和烈度表达的方法借鉴；OpenQuake仅用于离线校核；上海本地模型、参数和制图模板独立建设。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200"/>
        <w:gridCol w:w="2726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调研方向</w:t>
            </w:r>
          </w:p>
        </w:tc>
        <w:tc>
          <w:tcPr>
            <w:tcW w:type="dxa" w:w="4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代表资料</w:t>
            </w:r>
          </w:p>
        </w:tc>
        <w:tc>
          <w:tcPr>
            <w:tcW w:type="dxa" w:w="27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本方案采纳方式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人员伤亡和损失评估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《地震人员伤亡评估方法及损失评估系统综述》（2021）；《Developing a rapid assessment framework for China earthquake》（2024）</w:t>
            </w:r>
          </w:p>
        </w:tc>
        <w:tc>
          <w:tcPr>
            <w:tcW w:type="dxa" w:w="2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采用可解释参数模型，输出中心值、区间和质量等级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快速评估和应急制图</w:t>
            </w:r>
          </w:p>
        </w:tc>
        <w:tc>
          <w:tcPr>
            <w:tcW w:type="dxa" w:w="4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离线式地震灾害快速评估与应急制图系统（2023）；基于ShakeMap的建筑物灾害快速评估系统（2024）</w:t>
            </w:r>
          </w:p>
        </w:tc>
        <w:tc>
          <w:tcPr>
            <w:tcW w:type="dxa" w:w="27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本地快照、并行计算、模板制图和断网降级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多源动态评估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定日6.8级地震多源信息动态评估（2025）；Tingri建筑损失快速评估（2025）</w:t>
            </w:r>
          </w:p>
        </w:tc>
        <w:tc>
          <w:tcPr>
            <w:tcW w:type="dxa" w:w="2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模型烈度与仪器烈度并行、融合并保留来源差异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专利技术方向</w:t>
            </w:r>
          </w:p>
        </w:tc>
        <w:tc>
          <w:tcPr>
            <w:tcW w:type="dxa" w:w="4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大震灾情快速评估、固定资本存量经济损失评估、生命线工程损失评估等专利方向</w:t>
            </w:r>
          </w:p>
        </w:tc>
        <w:tc>
          <w:tcPr>
            <w:tcW w:type="dxa" w:w="27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仅借鉴技术边界和评价思路，不假定可直接使用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GitHub开源项目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OpenQuake、USGS PAGER、ShakeMap、earthquake-impact-utils</w:t>
            </w:r>
          </w:p>
        </w:tc>
        <w:tc>
          <w:tcPr>
            <w:tcW w:type="dxa" w:w="2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用于离线校核、方法验证和接口研究，不把AGPL组件嵌入核心平台</w:t>
            </w:r>
          </w:p>
        </w:tc>
      </w:tr>
    </w:tbl>
    <w:p/>
    <w:p>
      <w:pPr>
        <w:pStyle w:val="Heading1"/>
      </w:pPr>
      <w:r>
        <w:t>11 AI知识问答与地图联动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AI定位为专业检索、确定性计算和地图联动工具，不作为决策责任主体。领导可以询问震中附近断裂、历史地震、人口、重点目标、响应条件和已有成果等问题。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200"/>
        <w:gridCol w:w="3226"/>
      </w:tblGrid>
      <w:tr>
        <w:trPr>
          <w:tblHeader w:val="true"/>
        </w:trPr>
        <w:tc>
          <w:tcPr>
            <w:tcW w:type="dxa" w:w="1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能力</w:t>
            </w:r>
          </w:p>
        </w:tc>
        <w:tc>
          <w:tcPr>
            <w:tcW w:type="dxa" w:w="4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首期范围</w:t>
            </w:r>
          </w:p>
        </w:tc>
        <w:tc>
          <w:tcPr>
            <w:tcW w:type="dxa" w:w="32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限制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文字问答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自然语言提问、表格和结论摘要</w:t>
            </w:r>
          </w:p>
        </w:tc>
        <w:tc>
          <w:tcPr>
            <w:tcW w:type="dxa" w:w="3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不做语音和图片识别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空间计算</w:t>
            </w:r>
          </w:p>
        </w:tc>
        <w:tc>
          <w:tcPr>
            <w:tcW w:type="dxa" w:w="4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距离、缓冲区、历史地震和行政区查询</w:t>
            </w:r>
          </w:p>
        </w:tc>
        <w:tc>
          <w:tcPr>
            <w:tcW w:type="dxa" w:w="3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由KingbaseGIS计算，不由模型编造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地图联动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高亮震中、断裂、历史事件和重点目标</w:t>
            </w:r>
          </w:p>
        </w:tc>
        <w:tc>
          <w:tcPr>
            <w:tcW w:type="dxa" w:w="3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不直接生成坐标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知识检索</w:t>
            </w:r>
          </w:p>
        </w:tc>
        <w:tc>
          <w:tcPr>
            <w:tcW w:type="dxa" w:w="4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预案、规章、历史成果和授权知识库</w:t>
            </w:r>
          </w:p>
        </w:tc>
        <w:tc>
          <w:tcPr>
            <w:tcW w:type="dxa" w:w="3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回答显示来源、时间和口径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知识更新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通过行业网知识库和规范文件更新</w:t>
            </w:r>
          </w:p>
        </w:tc>
        <w:tc>
          <w:tcPr>
            <w:tcW w:type="dxa" w:w="3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系统不访问互联网，更新前完成来源核验</w:t>
            </w:r>
          </w:p>
        </w:tc>
      </w:tr>
    </w:tbl>
    <w:p/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6"/>
      </w:tblGrid>
      <w:tr>
        <w:tc>
          <w:tcPr>
            <w:tcW w:type="dxa" w:w="9026"/>
            <w:shd w:fill="#FFF8E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21"/>
              </w:rPr>
              <w:t xml:space="preserve">AI边界  </w:t>
            </w:r>
            <w:r>
              <w:rPr>
                <w:rFonts w:ascii="Microsoft YaHei" w:hAnsi="Microsoft YaHei" w:eastAsia="Microsoft YaHei"/>
                <w:color w:val="24313D"/>
                <w:sz w:val="21"/>
              </w:rPr>
              <w:t>没有可靠依据时明确回答现有资料无法确认。AI不替代领导启动制度响应，不发布命令，不形成对外结论。</w:t>
            </w:r>
          </w:p>
        </w:tc>
      </w:tr>
    </w:tbl>
    <w:p/>
    <w:p>
      <w:pPr>
        <w:pStyle w:val="Heading1"/>
      </w:pPr>
      <w:r>
        <w:t>12 测试、演练与运行维护</w:t>
      </w:r>
    </w:p>
    <w:p>
      <w:pPr>
        <w:pStyle w:val="Heading2"/>
      </w:pPr>
      <w:r>
        <w:t>12.1 测试与演练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每天随机时间自动触发一次测试地震，同时支持人工触发。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上海市行政区域内5.0至5.9级测试事件完整生成全部27类图件和报告。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测试和演练成果带不可移除标识，真实事件到达时自动暂停测试任务。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测试事件和成果保留400天，演练事件和成果保留2年，正式事件长期保留。</w:t>
      </w:r>
    </w:p>
    <w:p>
      <w:pPr>
        <w:pStyle w:val="Heading2"/>
      </w:pPr>
      <w:r>
        <w:t>12.2 监控与异常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监控报文接入、任务队列、模型、制图、报告、数据库、对象存储、磁盘和服务器资源。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数据源或外部服务中断时重试并记录缺口，不生成虚构事件和结果。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单个模型、地图或报告失败时隔离并重试，通知应急技术组。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通知渠道异常时回落到站内消息，不阻塞评估和制图主流程。</w:t>
      </w:r>
    </w:p>
    <w:p>
      <w:pPr>
        <w:pStyle w:val="Heading1"/>
      </w:pPr>
      <w:r>
        <w:t>13 安全、备份与运行</w:t>
      </w:r>
    </w:p>
    <w:p>
      <w:pPr>
        <w:pStyle w:val="Heading2"/>
      </w:pPr>
      <w:r>
        <w:t>13.1 身份与权限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使用本地账号体系，按局领导、组长、代理副组长、组员、数据人员和超级管理员划分权限。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按用户要求不启用二次验证，高风险操作不进行密码复验，不强制填写原因。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超级管理员可以覆盖错误成果、直接重新发布，并彻底删除原始报文、报告和日志。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系统使用行业网既有的网络安全防护环境，平台侧只保留必要的角色权限和业务规则控制。</w:t>
      </w:r>
    </w:p>
    <w:p>
      <w:pPr>
        <w:pStyle w:val="Heading2"/>
      </w:pPr>
      <w:r>
        <w:t>13.2 部署和备份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226"/>
      </w:tblGrid>
      <w:tr>
        <w:trPr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72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方案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生产环境</w:t>
            </w:r>
          </w:p>
        </w:tc>
        <w:tc>
          <w:tcPr>
            <w:tcW w:type="dxa" w:w="7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部署在上海市地震局行业网生产区，直接接入EQIM和地震预警系统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应用节点</w:t>
            </w:r>
          </w:p>
        </w:tc>
        <w:tc>
          <w:tcPr>
            <w:tcW w:type="dxa" w:w="7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2台国产CPU服务器，部署Kylin/UOS、TongWeb和应用服务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数据库节点</w:t>
            </w:r>
          </w:p>
        </w:tc>
        <w:tc>
          <w:tcPr>
            <w:tcW w:type="dxa" w:w="7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2台国产CPU服务器，部署KingbaseES和KingbaseGIS主备集群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AI节点</w:t>
            </w:r>
          </w:p>
        </w:tc>
        <w:tc>
          <w:tcPr>
            <w:tcW w:type="dxa" w:w="7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1台国产AI推理服务器，承载本地大模型、知识库和向量检索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集中存储</w:t>
            </w:r>
          </w:p>
        </w:tc>
        <w:tc>
          <w:tcPr>
            <w:tcW w:type="dxa" w:w="7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1套国产集中存储，配置约96TB裸容量，保存数据、底图和成果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备份设备</w:t>
            </w:r>
          </w:p>
        </w:tc>
        <w:tc>
          <w:tcPr>
            <w:tcW w:type="dxa" w:w="7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1台国产备份一体机，容量不低于60TB可用空间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网络接入</w:t>
            </w:r>
          </w:p>
        </w:tc>
        <w:tc>
          <w:tcPr>
            <w:tcW w:type="dxa" w:w="7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2台万兆交换机，关键链路双上联；网络安全使用行业网既有防护环境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平台防护</w:t>
            </w:r>
          </w:p>
        </w:tc>
        <w:tc>
          <w:tcPr>
            <w:tcW w:type="dxa" w:w="7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主机安全和应用权限控制；漏洞扫描复用行业网既有能力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高可用</w:t>
            </w:r>
          </w:p>
        </w:tc>
        <w:tc>
          <w:tcPr>
            <w:tcW w:type="dxa" w:w="7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应用和数据库支持故障切换，单节点维护不影响业务运行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每日备份</w:t>
            </w:r>
          </w:p>
        </w:tc>
        <w:tc>
          <w:tcPr>
            <w:tcW w:type="dxa" w:w="7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增量保留30天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每月备份</w:t>
            </w:r>
          </w:p>
        </w:tc>
        <w:tc>
          <w:tcPr>
            <w:tcW w:type="dxa" w:w="7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完整恢复点保留12个月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恢复验证</w:t>
            </w:r>
          </w:p>
        </w:tc>
        <w:tc>
          <w:tcPr>
            <w:tcW w:type="dxa" w:w="7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每月执行一次真实恢复验证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容量保护</w:t>
            </w:r>
          </w:p>
        </w:tc>
        <w:tc>
          <w:tcPr>
            <w:tcW w:type="dxa" w:w="7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主存储和备份空间设置阈值告警，备份空间保留至少15%空闲空间</w:t>
            </w:r>
          </w:p>
        </w:tc>
      </w:tr>
    </w:tbl>
    <w:p/>
    <w:p>
      <w:pPr>
        <w:pStyle w:val="Heading1"/>
      </w:pPr>
      <w:r>
        <w:t>14 实施阶段与任务拆分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设计规格覆盖多个可以独立测试的子系统，不能用一个实施计划一次性完成。实施按“先主链路、再数据、再模型、再成果、再协同、最后智能化和运维”的顺序推进，每个阶段都形成可运行、可测试的成果。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2600"/>
        <w:gridCol w:w="5326"/>
      </w:tblGrid>
      <w:tr>
        <w:trPr>
          <w:tblHeader w:val="true"/>
        </w:trPr>
        <w:tc>
          <w:tcPr>
            <w:tcW w:type="dxa" w:w="1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2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子系统</w:t>
            </w:r>
          </w:p>
        </w:tc>
        <w:tc>
          <w:tcPr>
            <w:tcW w:type="dxa" w:w="53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主要交付物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阶段0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信创环境建设</w:t>
            </w:r>
          </w:p>
        </w:tc>
        <w:tc>
          <w:tcPr>
            <w:tcW w:type="dxa" w:w="5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硬件采购、操作系统、数据库、中间件、GIS、AI和兼容性验证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阶段1</w:t>
            </w:r>
          </w:p>
        </w:tc>
        <w:tc>
          <w:tcPr>
            <w:tcW w:type="dxa" w:w="2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事件接入基础</w:t>
            </w:r>
          </w:p>
        </w:tc>
        <w:tc>
          <w:tcPr>
            <w:tcW w:type="dxa" w:w="53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EQIM事件、地震预警、修订、两级响应和事件控制台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阶段2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数据资产管理</w:t>
            </w:r>
          </w:p>
        </w:tc>
        <w:tc>
          <w:tcPr>
            <w:tcW w:type="dxa" w:w="5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数据目录、导入校验、版本发布、回滚和快照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阶段3</w:t>
            </w:r>
          </w:p>
        </w:tc>
        <w:tc>
          <w:tcPr>
            <w:tcW w:type="dxa" w:w="2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灾害评估引擎</w:t>
            </w:r>
          </w:p>
        </w:tc>
        <w:tc>
          <w:tcPr>
            <w:tcW w:type="dxa" w:w="53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烈度融合、建筑破坏、伤亡、经济和资源需求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阶段4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制图和报告</w:t>
            </w:r>
          </w:p>
        </w:tc>
        <w:tc>
          <w:tcPr>
            <w:tcW w:type="dxa" w:w="5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27类图件、4类核心文档、8类背景文档和5分钟基准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阶段5</w:t>
            </w:r>
          </w:p>
        </w:tc>
        <w:tc>
          <w:tcPr>
            <w:tcW w:type="dxa" w:w="2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任务协同和指挥大厅</w:t>
            </w:r>
          </w:p>
        </w:tc>
        <w:tc>
          <w:tcPr>
            <w:tcW w:type="dxa" w:w="53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7组任务、时限、上传确认、大屏和通知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阶段6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AI知识问答</w:t>
            </w:r>
          </w:p>
        </w:tc>
        <w:tc>
          <w:tcPr>
            <w:tcW w:type="dxa" w:w="5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知识库、引用、空间工具、地图联动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阶段7</w:t>
            </w:r>
          </w:p>
        </w:tc>
        <w:tc>
          <w:tcPr>
            <w:tcW w:type="dxa" w:w="2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测试运维</w:t>
            </w:r>
          </w:p>
        </w:tc>
        <w:tc>
          <w:tcPr>
            <w:tcW w:type="dxa" w:w="53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每日测试、演练、监控、备份和恢复验证</w:t>
            </w:r>
          </w:p>
        </w:tc>
      </w:tr>
    </w:tbl>
    <w:p/>
    <w:p>
      <w:pPr>
        <w:pStyle w:val="Heading2"/>
      </w:pPr>
      <w:r>
        <w:t>14.1 首期实施优先顺序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先完成信创产品兼容性验证和硬件到货，形成数据库、中间件、GIS、AI和操作系统的稳定基线。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先建立事件、报文、修订和响应规则，使真实事件能够稳定进入平台。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再建立数据资产和快照，确保模型和制图有稳定输入。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随后并行开发评估引擎和制图报告，尽早验证T1+5分钟性能。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评估主链路稳定后接入7组任务和指挥大厅。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最后接入AI问答、通知适配和完整运维测试。</w:t>
      </w:r>
    </w:p>
    <w:p>
      <w:pPr>
        <w:pStyle w:val="Heading1"/>
      </w:pPr>
      <w:r>
        <w:t>15 首期验收标准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自动速报建立待定事件，正式速报触发评估，手工、测试和演练事件独立运行。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上海市行政区域内一次5.0至5.9级测试地震，从T1到全部27类图件、4类核心成果和8类背景文档完成，不超过5分钟。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自动、正式和修正报文乱序或重复到达时能够去重、合并和生成修订版。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升级补任务，降级取消未开始任务，历史成果和过程记录不丢失。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数据源、模型、地图、存储、通知和单任务失败时能够隔离、告警并继续完成其他成果。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7个工作组完成任务接收、成果上传、组长或代理副组长确认、版本查看和大屏展示。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数据导入、校验、候选版本、发布、回滚、更新提醒和事件快照正常工作。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AI能够完成断层距离、历史地震、人口、行政区和成果统计问题并联动地图，无依据时不编造。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真实事件与测试或演练并发时，真实事件优先。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每日随机测试、手工测试、成果保留、超级管理员覆盖和删除规则符合要求。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每日增量、每月完整备份和恢复验证正常，不影响正式事件。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大屏在7680×2430下无重叠、溢出和关键内容遮挡。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全部生产组件能够在选定国产CPU和Kylin/UOS环境稳定运行，并提供兼容性证明。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应用和数据库完成主备切换验证，存储和交换机无单点故障。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在行业网内，EQIM事件、预警信息、天地图资源、AI问答和5分钟成果能够正常运行。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操作系统、数据库、地图、模型和知识库能够通过行业网更新渠道完成升级和回滚。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所有硬件、基础软件、开发实施和运行保障费用均已完成列支并纳入采购计划。</w:t>
      </w:r>
    </w:p>
    <w:p>
      <w:pPr>
        <w:pStyle w:val="Heading1"/>
      </w:pPr>
      <w:r>
        <w:t>16 风险、依赖与应对措施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800"/>
        <w:gridCol w:w="3926"/>
      </w:tblGrid>
      <w:tr>
        <w:trPr>
          <w:tblHeader w:val="true"/>
        </w:trPr>
        <w:tc>
          <w:tcPr>
            <w:tcW w:type="dxa" w:w="2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风险或依赖</w:t>
            </w:r>
          </w:p>
        </w:tc>
        <w:tc>
          <w:tcPr>
            <w:tcW w:type="dxa" w:w="2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影响</w:t>
            </w:r>
          </w:p>
        </w:tc>
        <w:tc>
          <w:tcPr>
            <w:tcW w:type="dxa" w:w="39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应对措施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旧系统参数缺失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无法完全复现旧结果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重建参数库，按标准、论文和本地数据校准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基础数据缺口</w:t>
            </w:r>
          </w:p>
        </w:tc>
        <w:tc>
          <w:tcPr>
            <w:tcW w:type="dxa" w:w="2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部分图层不能达到正式精度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公开数据补充并标记待复核，正式数据到位后替换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外部接口中断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短时缺少上游事件或地图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使用离线包导入、缺口记录、本地缓存和人工触发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离线更新滞后</w:t>
            </w:r>
          </w:p>
        </w:tc>
        <w:tc>
          <w:tcPr>
            <w:tcW w:type="dxa" w:w="2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补丁、模型和地图不能及时更新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固定月度和紧急离线更新流程，保留双版本回滚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5分钟出图压力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并行任务和渲染可能超时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预热的底图、模板、浏览器和任务优先级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模型不确定性</w:t>
            </w:r>
          </w:p>
        </w:tc>
        <w:tc>
          <w:tcPr>
            <w:tcW w:type="dxa" w:w="2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伤亡和经济损失存在误差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输出区间、质量等级、版本和复核状态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AI幻觉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错误空间或统计结论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空间计算工具化，知识回答必须给来源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备份空间不足</w:t>
            </w:r>
          </w:p>
        </w:tc>
        <w:tc>
          <w:tcPr>
            <w:tcW w:type="dxa" w:w="2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无法保留完整恢复点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容量阈值、压缩去重、停止覆盖并告警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信创兼容性不足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组件无法在国产CPU或操作系统运行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立项前完成兼容性验证，并要求厂商出具互认证明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国产GPU供应波动</w:t>
            </w:r>
          </w:p>
        </w:tc>
        <w:tc>
          <w:tcPr>
            <w:tcW w:type="dxa" w:w="2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AI推理节点交付延期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预留替代型号和接口适配层，避免绑定单一卡型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产品授权口径变化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预算出现偏差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按CPU、节点和用户数明确授权口径，写入采购合同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未来多地区部署</w:t>
            </w:r>
          </w:p>
        </w:tc>
        <w:tc>
          <w:tcPr>
            <w:tcW w:type="dxa" w:w="2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区域和组织耦合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区域、组织、模板、数据和来源全部配置化</w:t>
            </w:r>
          </w:p>
        </w:tc>
      </w:tr>
    </w:tbl>
    <w:p/>
    <w:p>
      <w:pPr>
        <w:pStyle w:val="Heading1"/>
      </w:pPr>
      <w:r>
        <w:t>17 信创环境设计与国产化选型</w:t>
      </w:r>
    </w:p>
    <w:p>
      <w:pPr>
        <w:pStyle w:val="Heading2"/>
      </w:pPr>
      <w:r>
        <w:t>17.1 设计目标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生产系统不再依赖现有Z440和Windows环境，而是新建一套符合国产化信创要求的独立运行环境。设计重点不是简单替换操作系统，而是让CPU、服务器、存储、网络、安全、操作系统、数据库、中间件、GIS、AI推理、浏览器、办公和备份软件形成经过兼容性验证的完整技术栈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生产系统整体部署在上海市地震局行业网，使用行业网既有的网络安全防护、网络管理和运维管理环境。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核心业务服务器优先采用海光或鲲鹏等国产CPU，操作系统采用银河麒麟V10 SP3，兼容统信UOS Server。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数据库主选人大金仓KingbaseES V9和KingbaseGIS，利用其PostgreSQL兼容能力降低空间应用迁移风险。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应用中间件采用国产TongWeb集群，后端使用Java和Spring Boot，避免生产环境依赖非信创运行时。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GIS采用SuperMap iServer和iDesktopX，前端采用SuperMap iClient，底图使用上海市测绘院提供的天地图资源。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AI采用国产AI服务器和本地DeepSeek或Qwen模型，知识库、向量检索和问答推理全部在本地区域运行。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EQIM提供自动速报、正式速报、修正报文、仪器烈度及相关事件数据，地震预警系统提供预警信息。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只采购平台运行所需服务器、存储、备份、交换机和配套软硬件，不重复采购行业网已有的网络安全基础设施。</w:t>
      </w:r>
    </w:p>
    <w:p>
      <w:pPr>
        <w:pStyle w:val="Heading2"/>
      </w:pPr>
      <w:r>
        <w:t>17.2 行业网部署拓扑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400"/>
        <w:gridCol w:w="4126"/>
      </w:tblGrid>
      <w:tr>
        <w:trPr>
          <w:tblHeader w:val="true"/>
        </w:trP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部署区域</w:t>
            </w:r>
          </w:p>
        </w:tc>
        <w:tc>
          <w:tcPr>
            <w:tcW w:type="dxa" w:w="34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节点和设备</w:t>
            </w:r>
          </w:p>
        </w:tc>
        <w:tc>
          <w:tcPr>
            <w:tcW w:type="dxa" w:w="41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高可用与边界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数据接入区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EQIM接口、地震预警接口、数据格式转换服务</w:t>
            </w:r>
          </w:p>
        </w:tc>
        <w:tc>
          <w:tcPr>
            <w:tcW w:type="dxa" w:w="41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经行业网既有安全边界接入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应用服务区</w:t>
            </w:r>
          </w:p>
        </w:tc>
        <w:tc>
          <w:tcPr>
            <w:tcW w:type="dxa" w:w="34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2台信创应用服务器、国产容器云、TongWeb</w:t>
            </w:r>
          </w:p>
        </w:tc>
        <w:tc>
          <w:tcPr>
            <w:tcW w:type="dxa" w:w="41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双节点负载均衡，支持滚动升级和单节点维护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数据空间区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2台信创数据库服务器、KingbaseGIS、SuperMap iServer、集中存储</w:t>
            </w:r>
          </w:p>
        </w:tc>
        <w:tc>
          <w:tcPr>
            <w:tcW w:type="dxa" w:w="41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主备切换，空间数据、对象数据和成果集中保存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AI知识区</w:t>
            </w:r>
          </w:p>
        </w:tc>
        <w:tc>
          <w:tcPr>
            <w:tcW w:type="dxa" w:w="34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1台国产AI推理服务器、本地模型、知识库、向量检索</w:t>
            </w:r>
          </w:p>
        </w:tc>
        <w:tc>
          <w:tcPr>
            <w:tcW w:type="dxa" w:w="41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本地运行，AI故障不阻塞核心评估和制图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运行保障区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统一监控和主机安全</w:t>
            </w:r>
          </w:p>
        </w:tc>
        <w:tc>
          <w:tcPr>
            <w:tcW w:type="dxa" w:w="41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漏洞扫描复用行业网既有能力，网络和数据边界防护使用行业网既有环境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备份恢复区</w:t>
            </w:r>
          </w:p>
        </w:tc>
        <w:tc>
          <w:tcPr>
            <w:tcW w:type="dxa" w:w="34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1台国产备份一体机</w:t>
            </w:r>
          </w:p>
        </w:tc>
        <w:tc>
          <w:tcPr>
            <w:tcW w:type="dxa" w:w="41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每日增量、每月完整恢复点，按月执行恢复验证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生产网络区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2台万兆交换机</w:t>
            </w:r>
          </w:p>
        </w:tc>
        <w:tc>
          <w:tcPr>
            <w:tcW w:type="dxa" w:w="41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服务器双上联，网络关键路径冗余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28675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rane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67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40" w:lineRule="auto"/>
        <w:jc w:val="center"/>
      </w:pPr>
      <w:r>
        <w:rPr>
          <w:rFonts w:ascii="Microsoft YaHei" w:hAnsi="Microsoft YaHei" w:eastAsia="Microsoft YaHei"/>
          <w:b w:val="0"/>
          <w:i/>
          <w:color w:val="5F6B76"/>
          <w:sz w:val="18"/>
        </w:rPr>
        <w:t>图5  行业网部署与数据接入边界</w:t>
      </w:r>
    </w:p>
    <w:p>
      <w:pPr>
        <w:pStyle w:val="Heading2"/>
      </w:pPr>
      <w:r>
        <w:t>17.3 行业网数据接入与地图资源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平台通过行业网接口直接接入EQIM，获取自动速报、正式速报、修正报文、仪器烈度及其他可用事件数据。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平台通过行业网接口接入地震预警系统，接收预警信息、预警状态和必要的空间信息，用于事件记录、态势展示和值班提醒。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EQIM和预警系统接口应提供事件唯一标识、状态、发布时间和修订关系，平台完成去重、合并和版本更新。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仪器烈度、震源机制、余震目录和台站数据在EQIM或行业网其他授权系统提供接口时接入；暂未提供的数据不伪造。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地图底图统一使用上海市测绘院提供的天地图资源，优先采用行业网地图服务，并按制图性能要求建立本地缓存。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天地图资源更新按照测绘院发布周期执行，更新后验证行政区、道路、水系、注记和空间索引，不影响运行中事件快照。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操作系统、数据库、中间件、GIS和AI平台的补丁或升级包通过行业网既有软件分发和变更流程实施。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系统不访问互联网，不启用自动联网检索；法律法规、预案、标准、论文和历史成果通过行业网知识库更新。</w:t>
      </w:r>
    </w:p>
    <w:p>
      <w:pPr>
        <w:pStyle w:val="Heading2"/>
      </w:pPr>
      <w:r>
        <w:t>17.4 行业网运行与故障降级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系统通知以站内消息、待办任务和大屏告警为主；短信、企业微信、邮件或电话仅通过主管部门批准的行业网通知平台或专线平台接入。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AI推理节点故障时，知识问答自动降级为结构化检索或暂停使用，事件评估、损失计算、27类图件和报告继续生成。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EQIM或预警接口中断时，平台保留最近一次事件和数据快照，支持经授权人员手工触发和补录，不使用未经核验的数据替代。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软件和模型升级采用测试区验证、生产备份、灰度发布、回归测试和版本回滚五步流程，禁止在生产区直接覆盖运行文件。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运行维护遵循行业网现有安全管理和网络访问制度。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存储容量按事件成果、地图缓存、模型、备份副本和400天测试数据统一测算，容量达到80%时预警，达到90%时不得继续执行覆盖式更新。</w:t>
      </w:r>
    </w:p>
    <w:p>
      <w:pPr>
        <w:pStyle w:val="Heading2"/>
      </w:pPr>
      <w:r>
        <w:t>17.5 行业网部署实施与验收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按照行业网现有管理制度完成地址规划、网络接入和安全策略申请，不新增平台专用安全域和审计设施。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安装国产服务器、存储、备份和交换机，完成上架、供电、网络和双机验证。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部署Kylin/UOS、数据库、中间件、容器云、GIS、对象存储、监控和AI平台，完成国产CPU和操作系统兼容性适配。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接入测绘院天地图资源，导入基础数据、模型参数、模板、知识库和历史事件，建立首个可回滚生产基线。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完成EQIM和地震预警系统接口联调，验证自动速报、正式速报、修正报文、预警信息和人工触发流程。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使用行业网既有漏洞扫描能力开展应用检查，并完成主机加固、访问控制和弱口令整改。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在正式投产前完成全链路演练，包括EQIM正式速报触发、预警接入、5分钟成果、AI问答、天地图联动和故障切换。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完成应用与数据库主备切换、备份恢复、模型回滚、EQIM接口中断、预警接口中断和存储告警等异常场景测试。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验收通过后进入试运行，试运行期间保持新旧版本双基线，确认稳定后再关闭回退窗口。</w:t>
      </w:r>
    </w:p>
    <w:p>
      <w:pPr>
        <w:pStyle w:val="Heading2"/>
      </w:pPr>
      <w:r>
        <w:t>17.6 兼容性和验收要求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投标产品应提供有效的信创产品目录、兼容性互认证明、软件著作权或销售许可。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数据库、中间件、GIS、浏览器和AI推理软件必须明确支持的CPU型号、Kylin/UOS版本和JDK版本。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在采购合同签订前完成最小兼容性验证，包括启动、空间计算、文件生成、大屏访问和故障切换。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交付环境不得依赖Windows、ArcGIS、SQL Server、Oracle或其他未列入预算的商业组件。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项目验收前完成信创适配测试、性能测试、应用安全测试、备份恢复测试和行业网运行测试。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对无法提供适配证明的产品，应使用同等级国产替代品，不降低平台功能和5分钟成果时限。</w:t>
      </w:r>
    </w:p>
    <w:p>
      <w:pPr>
        <w:pStyle w:val="Heading1"/>
      </w:pPr>
      <w:r>
        <w:t>18 采购预算与实施包</w:t>
      </w:r>
    </w:p>
    <w:p>
      <w:pPr>
        <w:pStyle w:val="Heading2"/>
      </w:pPr>
      <w:r>
        <w:t>18.1 预算口径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本预算是2026年9月编制的采购控制预算，价格为含税参考价，包含三年基础软件订阅、首年硬件质保、平台开发、信创适配、数据治理、集成部署、测试、安全测评、培训和验收文档。最终价格以政府采购成交价为准。硬件和软件采购明细均列明数量、参考单价和预算金额，可直接用于采购需求编制和分项询价。预算不包含机房土建装修、市电增容、指挥大厅已有大屏本体和上海市地震局现有网络专线费用，也不包含行业网已有的下一代防火墙、日志审计、数据库审计、UPS及电池、漏洞扫描软件；高德、天地图等底图服务由上海市测绘院提供的行业网资源替代，不列入采购预算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5600"/>
        <w:gridCol w:w="1226"/>
      </w:tblGrid>
      <w:tr>
        <w:trPr>
          <w:tblHeader w:val="true"/>
        </w:trP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采购包</w:t>
            </w:r>
          </w:p>
        </w:tc>
        <w:tc>
          <w:tcPr>
            <w:tcW w:type="dxa" w:w="5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主要内容</w:t>
            </w:r>
          </w:p>
        </w:tc>
        <w:tc>
          <w:tcPr>
            <w:tcW w:type="dxa" w:w="12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预算（万元）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采购包1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信创服务器、存储、备份、交换机和配套硬件</w:t>
            </w:r>
          </w:p>
        </w:tc>
        <w:tc>
          <w:tcPr>
            <w:tcW w:type="dxa" w:w="1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201.00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采购包2</w:t>
            </w:r>
          </w:p>
        </w:tc>
        <w:tc>
          <w:tcPr>
            <w:tcW w:type="dxa" w:w="5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操作系统、数据库、中间件、GIS、AI、备份、主机防护和办公软件</w:t>
            </w:r>
          </w:p>
        </w:tc>
        <w:tc>
          <w:tcPr>
            <w:tcW w:type="dxa" w:w="1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219.50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采购包3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平台开发、信创适配、数据治理、集成部署、测试和培训</w:t>
            </w:r>
          </w:p>
        </w:tc>
        <w:tc>
          <w:tcPr>
            <w:tcW w:type="dxa" w:w="1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670.00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预备费</w:t>
            </w:r>
          </w:p>
        </w:tc>
        <w:tc>
          <w:tcPr>
            <w:tcW w:type="dxa" w:w="5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按一次性建设费用约5%计提，用于价格波动和兼容性替代</w:t>
            </w:r>
          </w:p>
        </w:tc>
        <w:tc>
          <w:tcPr>
            <w:tcW w:type="dxa" w:w="1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54.50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总投资控制预算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一次性建设和采购预算</w:t>
            </w:r>
          </w:p>
        </w:tc>
        <w:tc>
          <w:tcPr>
            <w:tcW w:type="dxa" w:w="1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1145.00</w:t>
            </w:r>
          </w:p>
        </w:tc>
      </w:tr>
    </w:tbl>
    <w:p/>
    <w:p>
      <w:pPr>
        <w:pStyle w:val="Heading2"/>
      </w:pPr>
      <w:r>
        <w:t>18.2 硬件采购明细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500"/>
        <w:gridCol w:w="650"/>
        <w:gridCol w:w="950"/>
        <w:gridCol w:w="1026"/>
      </w:tblGrid>
      <w:tr>
        <w:trPr>
          <w:tblHeader w:val="true"/>
        </w:trP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设备</w:t>
            </w:r>
          </w:p>
        </w:tc>
        <w:tc>
          <w:tcPr>
            <w:tcW w:type="dxa" w:w="4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主要配置</w:t>
            </w:r>
          </w:p>
        </w:tc>
        <w:tc>
          <w:tcPr>
            <w:tcW w:type="dxa" w:w="6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数量</w:t>
            </w:r>
          </w:p>
        </w:tc>
        <w:tc>
          <w:tcPr>
            <w:tcW w:type="dxa" w:w="9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参考单价（万元）</w:t>
            </w:r>
          </w:p>
        </w:tc>
        <w:tc>
          <w:tcPr>
            <w:tcW w:type="dxa" w:w="10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预算（万元）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应用与并行制图服务器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国产CPU 2×32核、256GB内存、2×960GB NVMe、4×3.84TB NVMe、双10GE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2台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16.50</w:t>
            </w:r>
          </w:p>
        </w:tc>
        <w:tc>
          <w:tcPr>
            <w:tcW w:type="dxa" w:w="1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33.00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数据库与空间计算服务器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国产CPU 2×32核、512GB内存、2×960GB NVMe、4×7.68TB NVMe、双25GE</w:t>
            </w:r>
          </w:p>
        </w:tc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2台</w:t>
            </w:r>
          </w:p>
        </w:tc>
        <w:tc>
          <w:tcPr>
            <w:tcW w:type="dxa" w:w="9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24.50</w:t>
            </w:r>
          </w:p>
        </w:tc>
        <w:tc>
          <w:tcPr>
            <w:tcW w:type="dxa" w:w="1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49.00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AI推理服务器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国产AI服务器、256GB内存、2块国产AI加速卡（合计显存不低于192GB）、2×3.84TB NVMe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1台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42.00</w:t>
            </w:r>
          </w:p>
        </w:tc>
        <w:tc>
          <w:tcPr>
            <w:tcW w:type="dxa" w:w="1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42.00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国产集中存储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96TB裸容量、2×3.84TB元数据盘、双25GE、对象存储和共享服务</w:t>
            </w:r>
          </w:p>
        </w:tc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1套</w:t>
            </w:r>
          </w:p>
        </w:tc>
        <w:tc>
          <w:tcPr>
            <w:tcW w:type="dxa" w:w="9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28.00</w:t>
            </w:r>
          </w:p>
        </w:tc>
        <w:tc>
          <w:tcPr>
            <w:tcW w:type="dxa" w:w="1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28.00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国产备份一体机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不低于60TB可用容量、压缩去重、数据库和文件代理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1台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22.00</w:t>
            </w:r>
          </w:p>
        </w:tc>
        <w:tc>
          <w:tcPr>
            <w:tcW w:type="dxa" w:w="1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22.00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万兆交换机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48口万兆、冗余电源、堆叠和链路聚合</w:t>
            </w:r>
          </w:p>
        </w:tc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2台</w:t>
            </w:r>
          </w:p>
        </w:tc>
        <w:tc>
          <w:tcPr>
            <w:tcW w:type="dxa" w:w="9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5.50</w:t>
            </w:r>
          </w:p>
        </w:tc>
        <w:tc>
          <w:tcPr>
            <w:tcW w:type="dxa" w:w="1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11.00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机柜及配套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42U机柜、PDU、KVM、理线、光模块和线缆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2套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3.50</w:t>
            </w:r>
          </w:p>
        </w:tc>
        <w:tc>
          <w:tcPr>
            <w:tcW w:type="dxa" w:w="1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7.00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信创管理工作站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国产CPU、16GB内存、512GB SSD、信创桌面系统</w:t>
            </w:r>
          </w:p>
        </w:tc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2台</w:t>
            </w:r>
          </w:p>
        </w:tc>
        <w:tc>
          <w:tcPr>
            <w:tcW w:type="dxa" w:w="9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1.50</w:t>
            </w:r>
          </w:p>
        </w:tc>
        <w:tc>
          <w:tcPr>
            <w:tcW w:type="dxa" w:w="1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3.00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大屏信号接入终端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4K发送、矩阵适配和运维控制终端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1套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6.00</w:t>
            </w:r>
          </w:p>
        </w:tc>
        <w:tc>
          <w:tcPr>
            <w:tcW w:type="dxa" w:w="1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6.00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小计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硬件及基础配套</w:t>
            </w:r>
          </w:p>
        </w:tc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</w:r>
          </w:p>
        </w:tc>
        <w:tc>
          <w:tcPr>
            <w:tcW w:type="dxa" w:w="9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</w:r>
          </w:p>
        </w:tc>
        <w:tc>
          <w:tcPr>
            <w:tcW w:type="dxa" w:w="1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201.00</w:t>
            </w:r>
          </w:p>
        </w:tc>
      </w:tr>
    </w:tbl>
    <w:p/>
    <w:p>
      <w:pPr>
        <w:pStyle w:val="Heading2"/>
      </w:pPr>
      <w:r>
        <w:t>18.3 软件采购明细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4100"/>
        <w:gridCol w:w="850"/>
        <w:gridCol w:w="980"/>
        <w:gridCol w:w="1096"/>
      </w:tblGrid>
      <w:tr>
        <w:trPr>
          <w:tblHeader w:val="true"/>
        </w:trPr>
        <w:tc>
          <w:tcPr>
            <w:tcW w:type="dxa" w:w="2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软件或服务</w:t>
            </w:r>
          </w:p>
        </w:tc>
        <w:tc>
          <w:tcPr>
            <w:tcW w:type="dxa" w:w="4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授权口径和内容</w:t>
            </w:r>
          </w:p>
        </w:tc>
        <w:tc>
          <w:tcPr>
            <w:tcW w:type="dxa" w:w="8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数量</w:t>
            </w:r>
          </w:p>
        </w:tc>
        <w:tc>
          <w:tcPr>
            <w:tcW w:type="dxa" w:w="9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参考单价（万元）</w:t>
            </w:r>
          </w:p>
        </w:tc>
        <w:tc>
          <w:tcPr>
            <w:tcW w:type="dxa" w:w="109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预算（万元）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国产服务器操作系统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Kylin/UOS Server授权、三年离线更新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8套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0.80</w:t>
            </w:r>
          </w:p>
        </w:tc>
        <w:tc>
          <w:tcPr>
            <w:tcW w:type="dxa" w:w="1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6.40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国产桌面操作系统</w:t>
            </w:r>
          </w:p>
        </w:tc>
        <w:tc>
          <w:tcPr>
            <w:tcW w:type="dxa" w:w="4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Kylin/UOS Desktop授权</w:t>
            </w:r>
          </w:p>
        </w:tc>
        <w:tc>
          <w:tcPr>
            <w:tcW w:type="dxa" w:w="8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4套</w:t>
            </w:r>
          </w:p>
        </w:tc>
        <w:tc>
          <w:tcPr>
            <w:tcW w:type="dxa" w:w="98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0.15</w:t>
            </w:r>
          </w:p>
        </w:tc>
        <w:tc>
          <w:tcPr>
            <w:tcW w:type="dxa" w:w="109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0.60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国产容器云平台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国产CPU适配、应用发布和监控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2节点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13.00</w:t>
            </w:r>
          </w:p>
        </w:tc>
        <w:tc>
          <w:tcPr>
            <w:tcW w:type="dxa" w:w="1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26.00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国产数据库</w:t>
            </w:r>
          </w:p>
        </w:tc>
        <w:tc>
          <w:tcPr>
            <w:tcW w:type="dxa" w:w="4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KingbaseES V9企业版、主备集群和迁移工具</w:t>
            </w:r>
          </w:p>
        </w:tc>
        <w:tc>
          <w:tcPr>
            <w:tcW w:type="dxa" w:w="8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2节点</w:t>
            </w:r>
          </w:p>
        </w:tc>
        <w:tc>
          <w:tcPr>
            <w:tcW w:type="dxa" w:w="98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13.00</w:t>
            </w:r>
          </w:p>
        </w:tc>
        <w:tc>
          <w:tcPr>
            <w:tcW w:type="dxa" w:w="109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26.00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空间数据库扩展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KingbaseGIS及空间计算组件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2节点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7.00</w:t>
            </w:r>
          </w:p>
        </w:tc>
        <w:tc>
          <w:tcPr>
            <w:tcW w:type="dxa" w:w="1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14.00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国产应用中间件</w:t>
            </w:r>
          </w:p>
        </w:tc>
        <w:tc>
          <w:tcPr>
            <w:tcW w:type="dxa" w:w="4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TongWeb企业版、集群部署</w:t>
            </w:r>
          </w:p>
        </w:tc>
        <w:tc>
          <w:tcPr>
            <w:tcW w:type="dxa" w:w="8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2节点</w:t>
            </w:r>
          </w:p>
        </w:tc>
        <w:tc>
          <w:tcPr>
            <w:tcW w:type="dxa" w:w="98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8.00</w:t>
            </w:r>
          </w:p>
        </w:tc>
        <w:tc>
          <w:tcPr>
            <w:tcW w:type="dxa" w:w="109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16.00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SuperMap iServer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企业级空间服务、二维制图和集群授权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2CPU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16.00</w:t>
            </w:r>
          </w:p>
        </w:tc>
        <w:tc>
          <w:tcPr>
            <w:tcW w:type="dxa" w:w="1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32.00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SuperMap iDesktopX</w:t>
            </w:r>
          </w:p>
        </w:tc>
        <w:tc>
          <w:tcPr>
            <w:tcW w:type="dxa" w:w="4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专业桌面GIS、空间数据处理</w:t>
            </w:r>
          </w:p>
        </w:tc>
        <w:tc>
          <w:tcPr>
            <w:tcW w:type="dxa" w:w="8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3用户</w:t>
            </w:r>
          </w:p>
        </w:tc>
        <w:tc>
          <w:tcPr>
            <w:tcW w:type="dxa" w:w="98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4.00</w:t>
            </w:r>
          </w:p>
        </w:tc>
        <w:tc>
          <w:tcPr>
            <w:tcW w:type="dxa" w:w="109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12.00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国产对象存储软件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S3兼容、分布式对象存储、快照和容量扩展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1套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12.00</w:t>
            </w:r>
          </w:p>
        </w:tc>
        <w:tc>
          <w:tcPr>
            <w:tcW w:type="dxa" w:w="1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12.00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国产备份软件</w:t>
            </w:r>
          </w:p>
        </w:tc>
        <w:tc>
          <w:tcPr>
            <w:tcW w:type="dxa" w:w="4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集中备份、压缩去重、数据库和文件代理</w:t>
            </w:r>
          </w:p>
        </w:tc>
        <w:tc>
          <w:tcPr>
            <w:tcW w:type="dxa" w:w="8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1套</w:t>
            </w:r>
          </w:p>
        </w:tc>
        <w:tc>
          <w:tcPr>
            <w:tcW w:type="dxa" w:w="98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8.00</w:t>
            </w:r>
          </w:p>
        </w:tc>
        <w:tc>
          <w:tcPr>
            <w:tcW w:type="dxa" w:w="109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8.00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国产工作流调度平台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任务编排、重试、超时、资源调度和三年服务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1套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6.00</w:t>
            </w:r>
          </w:p>
        </w:tc>
        <w:tc>
          <w:tcPr>
            <w:tcW w:type="dxa" w:w="1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6.00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AI推理及RAG平台</w:t>
            </w:r>
          </w:p>
        </w:tc>
        <w:tc>
          <w:tcPr>
            <w:tcW w:type="dxa" w:w="4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模型管理、知识库、引用、受控工具调用和运维</w:t>
            </w:r>
          </w:p>
        </w:tc>
        <w:tc>
          <w:tcPr>
            <w:tcW w:type="dxa" w:w="8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1套</w:t>
            </w:r>
          </w:p>
        </w:tc>
        <w:tc>
          <w:tcPr>
            <w:tcW w:type="dxa" w:w="98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18.00</w:t>
            </w:r>
          </w:p>
        </w:tc>
        <w:tc>
          <w:tcPr>
            <w:tcW w:type="dxa" w:w="109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18.00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向量检索组件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国产化适配、双节点或高可用部署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2节点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6.00</w:t>
            </w:r>
          </w:p>
        </w:tc>
        <w:tc>
          <w:tcPr>
            <w:tcW w:type="dxa" w:w="1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12.00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WPS Office信创版</w:t>
            </w:r>
          </w:p>
        </w:tc>
        <w:tc>
          <w:tcPr>
            <w:tcW w:type="dxa" w:w="4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DOCX、XLSX、PPTX办公和模板编辑</w:t>
            </w:r>
          </w:p>
        </w:tc>
        <w:tc>
          <w:tcPr>
            <w:tcW w:type="dxa" w:w="8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30用户</w:t>
            </w:r>
          </w:p>
        </w:tc>
        <w:tc>
          <w:tcPr>
            <w:tcW w:type="dxa" w:w="98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0.15</w:t>
            </w:r>
          </w:p>
        </w:tc>
        <w:tc>
          <w:tcPr>
            <w:tcW w:type="dxa" w:w="109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4.50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安全可信浏览器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国产网页浏览、证书和安全策略管理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50用户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0.06</w:t>
            </w:r>
          </w:p>
        </w:tc>
        <w:tc>
          <w:tcPr>
            <w:tcW w:type="dxa" w:w="1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3.00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统一监控平台</w:t>
            </w:r>
          </w:p>
        </w:tc>
        <w:tc>
          <w:tcPr>
            <w:tcW w:type="dxa" w:w="4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主机、数据库、中间件、任务和大屏监控</w:t>
            </w:r>
          </w:p>
        </w:tc>
        <w:tc>
          <w:tcPr>
            <w:tcW w:type="dxa" w:w="8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1套</w:t>
            </w:r>
          </w:p>
        </w:tc>
        <w:tc>
          <w:tcPr>
            <w:tcW w:type="dxa" w:w="98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7.00</w:t>
            </w:r>
          </w:p>
        </w:tc>
        <w:tc>
          <w:tcPr>
            <w:tcW w:type="dxa" w:w="109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7.00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主机安全软件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终端检测、漏洞防护和集中管理，三年授权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80节点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0.10</w:t>
            </w:r>
          </w:p>
        </w:tc>
        <w:tc>
          <w:tcPr>
            <w:tcW w:type="dxa" w:w="1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8.00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行业网通知平台适配</w:t>
            </w:r>
          </w:p>
        </w:tc>
        <w:tc>
          <w:tcPr>
            <w:tcW w:type="dxa" w:w="4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与主管部门批准的行业网通知平台对接，不直接连接互联网</w:t>
            </w:r>
          </w:p>
        </w:tc>
        <w:tc>
          <w:tcPr>
            <w:tcW w:type="dxa" w:w="8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1套</w:t>
            </w:r>
          </w:p>
        </w:tc>
        <w:tc>
          <w:tcPr>
            <w:tcW w:type="dxa" w:w="98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6.00</w:t>
            </w:r>
          </w:p>
        </w:tc>
        <w:tc>
          <w:tcPr>
            <w:tcW w:type="dxa" w:w="109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6.00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证书和安全介质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国密证书、服务证书、离线包签名和安全介质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1套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2.00</w:t>
            </w:r>
          </w:p>
        </w:tc>
        <w:tc>
          <w:tcPr>
            <w:tcW w:type="dxa" w:w="1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小计</w:t>
            </w:r>
          </w:p>
        </w:tc>
        <w:tc>
          <w:tcPr>
            <w:tcW w:type="dxa" w:w="4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基础软件和订阅服务</w:t>
            </w:r>
          </w:p>
        </w:tc>
        <w:tc>
          <w:tcPr>
            <w:tcW w:type="dxa" w:w="8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</w:r>
          </w:p>
        </w:tc>
        <w:tc>
          <w:tcPr>
            <w:tcW w:type="dxa" w:w="98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</w:r>
          </w:p>
        </w:tc>
        <w:tc>
          <w:tcPr>
            <w:tcW w:type="dxa" w:w="109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219.50</w:t>
            </w:r>
          </w:p>
        </w:tc>
      </w:tr>
    </w:tbl>
    <w:p/>
    <w:p>
      <w:pPr>
        <w:pStyle w:val="Heading2"/>
      </w:pPr>
      <w:r>
        <w:t>18.4 建设与服务明细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5700"/>
        <w:gridCol w:w="1226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服务项目</w:t>
            </w:r>
          </w:p>
        </w:tc>
        <w:tc>
          <w:tcPr>
            <w:tcW w:type="dxa" w:w="5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主要工作内容</w:t>
            </w:r>
          </w:p>
        </w:tc>
        <w:tc>
          <w:tcPr>
            <w:tcW w:type="dxa" w:w="12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预算（万元）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平台软件开发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事件接入、数据管理、评估引擎、制图报告、任务协同、大屏和用户权限</w:t>
            </w:r>
          </w:p>
        </w:tc>
        <w:tc>
          <w:tcPr>
            <w:tcW w:type="dxa" w:w="1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360.00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信创和行业网适配</w:t>
            </w:r>
          </w:p>
        </w:tc>
        <w:tc>
          <w:tcPr>
            <w:tcW w:type="dxa" w:w="57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CPU、操作系统、数据库、中间件、GIS、浏览器、AI和EQIM接口适配</w:t>
            </w:r>
          </w:p>
        </w:tc>
        <w:tc>
          <w:tcPr>
            <w:tcW w:type="dxa" w:w="1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50.00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GIS和专题图实施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27类图件、专业版模板、本地底图、切片和制图性能优化</w:t>
            </w:r>
          </w:p>
        </w:tc>
        <w:tc>
          <w:tcPr>
            <w:tcW w:type="dxa" w:w="1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45.00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AI知识和问答实施</w:t>
            </w:r>
          </w:p>
        </w:tc>
        <w:tc>
          <w:tcPr>
            <w:tcW w:type="dxa" w:w="57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知识库整理、RAG、空间工具、引用控制和地图联动</w:t>
            </w:r>
          </w:p>
        </w:tc>
        <w:tc>
          <w:tcPr>
            <w:tcW w:type="dxa" w:w="1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45.00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数据治理与迁移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基础数据清洗、质量校验、MDB迁移、空间索引和版本发布</w:t>
            </w:r>
          </w:p>
        </w:tc>
        <w:tc>
          <w:tcPr>
            <w:tcW w:type="dxa" w:w="1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50.00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集成部署和高可用</w:t>
            </w:r>
          </w:p>
        </w:tc>
        <w:tc>
          <w:tcPr>
            <w:tcW w:type="dxa" w:w="57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硬件安装、行业网接入、系统集成、双机切换、网络策略和灾备演练</w:t>
            </w:r>
          </w:p>
        </w:tc>
        <w:tc>
          <w:tcPr>
            <w:tcW w:type="dxa" w:w="1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40.00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测试与应用安全测评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性能、5分钟成果、EQIM和预警接口、故障注入、信创适配、应用安全测评和整改</w:t>
            </w:r>
          </w:p>
        </w:tc>
        <w:tc>
          <w:tcPr>
            <w:tcW w:type="dxa" w:w="1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35.00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培训和验收文档</w:t>
            </w:r>
          </w:p>
        </w:tc>
        <w:tc>
          <w:tcPr>
            <w:tcW w:type="dxa" w:w="57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管理员、应急技术组、工作组培训，行业网操作和运维文档</w:t>
            </w:r>
          </w:p>
        </w:tc>
        <w:tc>
          <w:tcPr>
            <w:tcW w:type="dxa" w:w="1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15.00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项目管理和质量控制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需求、进度、质量、风险、变更、监理配合和验收组织</w:t>
            </w:r>
          </w:p>
        </w:tc>
        <w:tc>
          <w:tcPr>
            <w:tcW w:type="dxa" w:w="1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30.00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小计</w:t>
            </w:r>
          </w:p>
        </w:tc>
        <w:tc>
          <w:tcPr>
            <w:tcW w:type="dxa" w:w="57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建设、实施和服务</w:t>
            </w:r>
          </w:p>
        </w:tc>
        <w:tc>
          <w:tcPr>
            <w:tcW w:type="dxa" w:w="1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670.00</w:t>
            </w:r>
          </w:p>
        </w:tc>
      </w:tr>
    </w:tbl>
    <w:p/>
    <w:p>
      <w:pPr>
        <w:pStyle w:val="Heading2"/>
      </w:pPr>
      <w:r>
        <w:t>18.5 后续三年运行保障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1700"/>
        <w:gridCol w:w="4526"/>
      </w:tblGrid>
      <w:tr>
        <w:trPr>
          <w:tblHeader w:val="true"/>
        </w:trPr>
        <w:tc>
          <w:tcPr>
            <w:tcW w:type="dxa" w:w="2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1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金额（万元）</w:t>
            </w:r>
          </w:p>
        </w:tc>
        <w:tc>
          <w:tcPr>
            <w:tcW w:type="dxa" w:w="45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一次性建设预算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1145.00</w:t>
            </w:r>
          </w:p>
        </w:tc>
        <w:tc>
          <w:tcPr>
            <w:tcW w:type="dxa" w:w="4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硬件、软件、平台建设和预备费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硬件延保及备件</w:t>
            </w:r>
          </w:p>
        </w:tc>
        <w:tc>
          <w:tcPr>
            <w:tcW w:type="dxa" w:w="17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42.00</w:t>
            </w:r>
          </w:p>
        </w:tc>
        <w:tc>
          <w:tcPr>
            <w:tcW w:type="dxa" w:w="45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第二至三年硬件维保、故障件更换和技术支持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软件订阅和升级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57.00</w:t>
            </w:r>
          </w:p>
        </w:tc>
        <w:tc>
          <w:tcPr>
            <w:tcW w:type="dxa" w:w="4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第二至三年数据库、中间件、GIS、备份和AI平台服务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平台运维和模型校准</w:t>
            </w:r>
          </w:p>
        </w:tc>
        <w:tc>
          <w:tcPr>
            <w:tcW w:type="dxa" w:w="17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195.00</w:t>
            </w:r>
          </w:p>
        </w:tc>
        <w:tc>
          <w:tcPr>
            <w:tcW w:type="dxa" w:w="45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系统巡检、故障处置、模型参数、知识库和专题图维护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三年总拥有成本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1439.00</w:t>
            </w:r>
          </w:p>
        </w:tc>
        <w:tc>
          <w:tcPr>
            <w:tcW w:type="dxa" w:w="4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一次性建设加第二至三年运行保障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三年以后年度预算</w:t>
            </w:r>
          </w:p>
        </w:tc>
        <w:tc>
          <w:tcPr>
            <w:tcW w:type="dxa" w:w="17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160.00</w:t>
            </w:r>
          </w:p>
        </w:tc>
        <w:tc>
          <w:tcPr>
            <w:tcW w:type="dxa" w:w="45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按年度采购硬件维保、软件订阅和平台运维，不含行业网共享设施和测绘院底图</w:t>
            </w:r>
          </w:p>
        </w:tc>
      </w:tr>
    </w:tbl>
    <w:p/>
    <w:p>
      <w:pPr>
        <w:pStyle w:val="Heading2"/>
      </w:pPr>
      <w:r>
        <w:t>18.6 采购包划分建议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采购包1采购通用信创硬件，按清单数量报价，要求原厂三年质保、关键部件备件和本地化服务，综合单价与总价不得缺项。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采购包2采购基础软件，按套、节点、CPU或用户数量明确授权口径，要求投标联合体提供数据库、中间件、GIS、AI和操作系统的完整兼容性证明。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采购包3采购业务平台开发与实施服务，按事件接入、数据、模型、图件、协同、AI和运维分期验收。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预备费不单独采购，由建设单位按变更程序控制，优先用于信创产品替代和市场价格波动。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硬件到货前完成兼容性验证，软件和业务系统在信创测试环境完成全链路测试后再迁移生产环境。</w:t>
      </w:r>
    </w:p>
    <w:p>
      <w:pPr>
        <w:pStyle w:val="Heading1"/>
      </w:pPr>
      <w:r>
        <w:t>19 结论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本方案将上海市地震局震后应急评估和辅助决策拆分为事件接入、数据管理、评估模型、制图报告、任务协同、指挥大厅、AI问答和运维测试几个可独立验收的子系统，先完成真实事件到专业成果的主链路，再逐步扩展区级和多省份部署能力。方案既满足正式速报后快速出成果的要求，也为后续数据、模型和业务规模增长保留清晰边界。行业网信创版建设标准为总投资控制预算1145万元，三年总拥有成本1439万元，全部硬件、软件、开发实施和运行保障均纳入预算，可直接作为立项和采购包编制依据。</w:t>
      </w:r>
    </w:p>
    <w:p>
      <w:pPr>
        <w:pStyle w:val="Heading2"/>
      </w:pPr>
      <w:r>
        <w:t>19.1 后续演进路线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接入行业网EQIM、正式仪器烈度系统以及正式发布的震源机制、余震目录和台站数据。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接入现场灾情、遥感解译、无人机和现场工作队成果，形成快速评估后的动态复核能力。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以真实事件和历史演练积累校准易损性矩阵、人员伤亡系数、价格和资源需求参数。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在主管部门批准的行业网通知平台条件下接入企业微信、邮件、电话等通知渠道，并保留渠道降级机制。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把区域边界、组织机构、数据来源、模型参数、报告模板和通知渠道全部配置化，支持区级和兄弟省份独立部署。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持续在行业网内运行，直接使用EQIM、地震预警和测绘院天地图资源更新业务数据。</w:t>
      </w:r>
    </w:p>
    <w:p>
      <w:pPr>
        <w:pStyle w:val="Heading1"/>
      </w:pPr>
      <w:r>
        <w:t>附录A  27类图件清单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4500"/>
        <w:gridCol w:w="3876"/>
      </w:tblGrid>
      <w:tr>
        <w:trPr>
          <w:tblHeader w:val="true"/>
        </w:trPr>
        <w:tc>
          <w:tcPr>
            <w:tcW w:type="dxa" w:w="6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序号</w:t>
            </w:r>
          </w:p>
        </w:tc>
        <w:tc>
          <w:tcPr>
            <w:tcW w:type="dxa" w:w="4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图件名称</w:t>
            </w:r>
          </w:p>
        </w:tc>
        <w:tc>
          <w:tcPr>
            <w:tcW w:type="dxa" w:w="387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首期处理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城区疏散场地分布图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地震影响场分布图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A类，模型和EQIM自动生成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3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经济损失预估专题图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A类，损失模型生成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4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救援力量需求专题图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A类，资源需求模型生成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5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人员死亡预估分布图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A类，损失模型生成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6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人员受伤预估分布图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A类，损失模型生成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7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人员压埋预估分布图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A类，损失模型生成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8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物资需求预估专题图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A类，资源需求模型生成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9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震区GDP图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10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震区地震动峰值加速度区划图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11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震区交通图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A类，基础数据和本地底图生成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12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震区历史地震分布图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A类，历史地震目录生成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13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震区人口分布图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14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震区水库分布图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15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震区危险源分布图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16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震区学校分布图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17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震区医院分布图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18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震中附近地铁分布图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B类，测绘院或公开数据补齐，待复核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19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震中附近地震台站分布图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B类，权威数据补齐，待复核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20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震中附近活动断裂图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21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震中附近建筑物分布图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A类，行政区聚合展示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22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震中附近建筑物公里格网分布图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C类，模型聚合，按质量等级标识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23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震中附近救援队伍分布图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B类，公开或责任组数据补齐，待复核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24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震中附近文物单位分布图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25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震中附近重要目标分布图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26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震中位置分布图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A类，EQIM自动生成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27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震中与主要城市距离分布图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A类，基础数据和空间计算生成</w:t>
            </w:r>
          </w:p>
        </w:tc>
      </w:tr>
    </w:tbl>
    <w:p/>
    <w:p>
      <w:pPr>
        <w:pStyle w:val="Heading1"/>
      </w:pPr>
      <w:r>
        <w:t>附录B  7个工作组任务边界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工作组</w:t>
            </w:r>
          </w:p>
        </w:tc>
        <w:tc>
          <w:tcPr>
            <w:tcW w:type="dxa" w:w="68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任务边界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新闻信息值守组</w:t>
            </w:r>
          </w:p>
        </w:tc>
        <w:tc>
          <w:tcPr>
            <w:tcW w:type="dxa" w:w="6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新闻信息收集、舆情动态、发布素材和稿件流转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监测预报组</w:t>
            </w:r>
          </w:p>
        </w:tc>
        <w:tc>
          <w:tcPr>
            <w:tcW w:type="dxa" w:w="68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正式速报、仪器烈度、震源机制、余震序列和异常核实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综合协调组</w:t>
            </w:r>
          </w:p>
        </w:tc>
        <w:tc>
          <w:tcPr>
            <w:tcW w:type="dxa" w:w="6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响应建议、领导指令、各组状态、重大事项和外部协调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震害评估组</w:t>
            </w:r>
          </w:p>
        </w:tc>
        <w:tc>
          <w:tcPr>
            <w:tcW w:type="dxa" w:w="68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快速评估、烈度与损失复核、断层资料和现场准备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应急技术组</w:t>
            </w:r>
          </w:p>
        </w:tc>
        <w:tc>
          <w:tcPr>
            <w:tcW w:type="dxa" w:w="6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系统、自动任务、图件报告、大厅运维、网络通信和技术保障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后勤保障组</w:t>
            </w:r>
          </w:p>
        </w:tc>
        <w:tc>
          <w:tcPr>
            <w:tcW w:type="dxa" w:w="68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人员、车辆、物资、场地、通信和生活保障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中心站组</w:t>
            </w:r>
          </w:p>
        </w:tc>
        <w:tc>
          <w:tcPr>
            <w:tcW w:type="dxa" w:w="6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预案赋予中心站的任务和日常、震时成果流转</w:t>
            </w:r>
          </w:p>
        </w:tc>
      </w:tr>
    </w:tbl>
    <w:p/>
    <w:p>
      <w:pPr>
        <w:pStyle w:val="Heading1"/>
      </w:pPr>
      <w:r>
        <w:t>附录C  主要依据与参考材料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上海市地震局地震应急预案（2026年版）。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中国地震局地震应急服务响应等级（暂行）。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GB/T 17742-2020 中国地震烈度表。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GB/T 18208.4-2011 地震现场工作第4部分：灾害直接损失评估。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旧系统专业版文档和图件模板。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国家信息技术应用创新相关产品目录、兼容性互认和安全审查要求。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银河麒麟、统信UOS、人大金仓、SuperMap、TongWeb等产品的信创版本技术资料。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USGS PAGER、ShakeMap和公开地震快速评估研究。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GitHub开源项目仅用于方法借鉴和离线校核，不嵌入不兼容许可证组件。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6"/>
      </w:tblGrid>
      <w:tr>
        <w:tc>
          <w:tcPr>
            <w:tcW w:type="dxa" w:w="9026"/>
            <w:shd w:fill="#EE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21"/>
              </w:rPr>
              <w:t xml:space="preserve">文档结束  </w:t>
            </w:r>
            <w:r>
              <w:rPr>
                <w:rFonts w:ascii="Microsoft YaHei" w:hAnsi="Microsoft YaHei" w:eastAsia="Microsoft YaHei"/>
                <w:color w:val="24313D"/>
                <w:sz w:val="21"/>
              </w:rPr>
              <w:t>本方案用于内部需求确认和后续实施计划编制，不替代正式制度响应、应急预案和对外报送文件。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F6B7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5F6B76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5F6B76"/>
        <w:sz w:val="17"/>
      </w:rPr>
      <w:t>上海市地震应急评估与辅助决策系统  |  行业网信创版详细方案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Microsoft YaHei" w:hAnsi="Microsoft YaHei" w:eastAsia="Microsoft YaHei"/>
      <w:b w:val="0"/>
      <w:color w:val="2431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90" w:lineRule="auto"/>
      <w:contextualSpacing/>
    </w:pPr>
    <w:rPr>
      <w:rFonts w:ascii="Microsoft YaHei" w:hAnsi="Microsoft YaHei" w:eastAsia="Microsoft YaHei"/>
      <w:b w:val="0"/>
      <w:color w:val="24313D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90" w:lineRule="auto"/>
      <w:contextualSpacing/>
    </w:pPr>
    <w:rPr>
      <w:rFonts w:ascii="Microsoft YaHei" w:hAnsi="Microsoft YaHei" w:eastAsia="Microsoft YaHei"/>
      <w:b w:val="0"/>
      <w:color w:val="24313D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