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详细方案（行业网信创版）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行业网运行 · 国产化信创环境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版本：V3.4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形成总体需求、技术路线、模块、数据、模型和成果体系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重构国产化信创架构，增加高可用部署和采购预算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确定行业网部署边界，补充地图、模型和更新方案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V3.1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按行业网重构部署，接入EQIM、预警和天地图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剔除共用设备和测绘院底图采购，重算预算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V3.3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重绘图2至图4，补充灾害评估模型公式和参数体系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公式改为Word原生OMML对象，校正公式排版和数学表达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 建设背景与总体目标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2 业务范围与用户角色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3 震时事件主流程与时限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4 响应等级建议规则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5 数据体系与数据管理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6 灾害评估模型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7 专业成果与报告体系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8 工作组任务协同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9 指挥大厅设计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10 信创系统总体架构与技术路线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11 AI知识问答与地图联动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12 测试、演练与运行维护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13 安全、备份与运行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14 实施阶段与任务拆分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15 首期验收标准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16 风险、依赖与应对措施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17 信创环境设计与国产化选型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18 采购预算与实施包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19 结论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附录A 27类图件清单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附录B 7个工作组任务边界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采用双节点高可用部署，并整体运行在上海市地震局行业网环境，直接接入EQIM和地震预警系统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管理固化为一套可追溯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行业网运行：接入EQIM、地震预警和测绘院天地图资源，使用行业网既有网络安全防护环境。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高可用：应用和数据库双节点，存储、备份和交换机独立配置。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未进入EQIM但上海地震台网已正式测定的地震，由授权人员手工输入事件信息并启动完整评估。人工事件必须填写发震时刻、经度、纬度、震级、震源深度和数据来源，可选填事件编号、正式报编号和参考地名。人工事件与EQIM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手工触发界面、计算过程和最终图件保留统一事件编号，避免与同源EQIM事件重复建案。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事件数据：EQIM自动速报、EQIM正式速报、修正报文、地震预警、人工事件、测试和演练事件。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A类：现有基础或EQIM可支撑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测绘院天地图、政府公开数据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仪器烈度：采用EQIM提供的仪器烈度产品，反映测站观测。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核心模型公式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模型采用“可解释参数模型＋事件快照＋版本化管理”。下表给出首期必须实现的模型结构和计算公式。公式中的系数不预设固定值，初始参数从国家标准、公开衰减关系、旧系统可用数据、上海历史震例和专家评审中形成，并在系统内按版本保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576"/>
      </w:tblGrid>
      <w:tr>
        <w:trPr>
          <w:tblHeader w:val="true"/>
        </w:trPr>
        <w:tc>
          <w:tcPr>
            <w:tcW w:type="dxa" w:w="1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模型环节</w:t>
            </w:r>
          </w:p>
        </w:tc>
        <w:tc>
          <w:tcPr>
            <w:tcW w:type="dxa" w:w="75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计算公式与变量说明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模型烈度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M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=a+bM-cln(R+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R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0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)-dR+Δ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S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M为震级，R为场点到破裂面的距离，R0为近场饱和项，a、b、c、d为区域衰减系数，ΔI_S为场地调整量。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场地调整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r>
                <m:t>Δ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S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m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sSub>
                    <m:e>
                      <m:r>
                        <m:t>s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m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e>
              </m:nary>
              <m:sSub>
                <m:e>
                  <m:r>
                    <m:t>χ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m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s_m为不同场地类别的烈度调整值，χ_m为场地类别指示变量，用于体现软土、填土和基岩差异。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椭圆影响场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r>
                <m:t>r(θ)=</m:t>
                <w:rPr>
                  <w:rFonts w:ascii="Cambria Math" w:hAnsi="Cambria Math" w:eastAsia="Cambria Math"/>
                  <w:sz w:val="18"/>
                  <w:szCs w:val="18"/>
                </w:rPr>
              </m:r>
              <m:f>
                <m:fPr>
                  <m:type m:val="bar"/>
                </m:fPr>
                <m:num>
                  <m:r>
                    <m:t>ab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b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p>
                          <m:r>
                            <m:t>2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cos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p>
                          <m:r>
                            <m:t>2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p>
                      </m:sSup>
                      <m:r>
                        <m:t>θ+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  <m:sSup>
                        <m:e>
                          <m:r>
                            <m:t>a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p>
                          <m:r>
                            <m:t>2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p>
                          <m:r>
                            <m:t>2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p>
                      </m:sSup>
                      <m:r>
                        <m:t>θ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</m:rad>
                </m:den>
              </m:f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a、b分别为长半轴和短半轴，θ相对破裂长轴方向度量；方向优先取震源机制解，其次取邻近活动断裂走向。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仪器烈度权重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  <m:sup/>
                    <m:e>
                      <m:sSub>
                        <m:e>
                          <m:r>
                            <m:t>w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i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e>
                  </m:nary>
                  <m:sSub>
                    <m:e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  <m:sup/>
                    <m:e>
                      <m:sSub>
                        <m:e>
                          <m:r>
                            <m:t>w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i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e>
                  </m:nary>
                </m:den>
              </m:f>
              <m:r>
                <m:t>,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w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q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rPr>
                  <m:sty m:val="p"/>
                </m:rPr>
                <m:t>exp</m:t>
                <w:rPr>
                  <w:rFonts w:ascii="Cambria Math" w:hAnsi="Cambria Math" w:eastAsia="Cambria Math"/>
                  <w:sz w:val="18"/>
                  <w:szCs w:val="18"/>
                </w:rPr>
              </m:r>
              <m:r>
                <m:t>[-</m:t>
                <w:rPr>
                  <w:rFonts w:ascii="Cambria Math" w:hAnsi="Cambria Math" w:eastAsia="Cambria Math"/>
                  <w:sz w:val="18"/>
                  <w:szCs w:val="18"/>
                </w:rPr>
              </m:r>
              <m:f>
                <m:fPr>
                  <m:type m:val="bar"/>
                </m:fPr>
                <m:num>
                  <m:sSubSup>
                    <m:e>
                      <m:r>
                        <m:t>d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  <m:sup>
                      <m:r>
                        <m:t>2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p>
                  </m:sSubSup>
                </m:num>
                <m:den>
                  <m:r>
                    <m:t>2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p>
                    <m:e>
                      <m:r>
                        <m:t>σ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p>
                      <m:r>
                        <m:t>2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p>
                  </m:sSup>
                </m:den>
              </m:f>
              <m:r>
                <m:t>]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I_i为测站或格网仪器烈度，q_i为观测质量，d_i为距场点距离，σ控制观测空间影响范围。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融合烈度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F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M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sSub>
                    <m:e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M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+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w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sSub>
                    <m:e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num>
                <m:den>
                  <m:sSub>
                    <m:e>
                      <m:r>
                        <m:t>w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M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+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w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den>
              </m:f>
              <m:r>
                <m:t>+Δ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w_M和w_I分别为模型、仪器权重；w_M + w_I = 1；ΔI_C为专家复核修正量，默认值为0并保留调整依据。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建筑破坏概率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j,k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(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F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)=Φ</m:t>
                <w:rPr>
                  <w:rFonts w:ascii="Cambria Math" w:hAnsi="Cambria Math" w:eastAsia="Cambria Math"/>
                  <w:sz w:val="18"/>
                  <w:szCs w:val="18"/>
                </w:rPr>
              </m:r>
              <m:d>
                <m:dPr>
                  <m:sepChr m:val=""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F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r>
                        <m:t>-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  <m:sSub>
                        <m:e>
                          <m:r>
                            <m:t>μ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j,k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j,k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den>
                  </m:f>
                </m:e>
              </m:d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j为建筑类型，k为轻微、中等、严重、倒塌等破坏状态，Φ为标准正态累计分布函数，μ和σ为易损性参数。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破坏面积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j,k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P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j,k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(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F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)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r>
                    <m:t>-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P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j,k-1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(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I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F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  <m:r>
                    <m:t>)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</m:d>
              <m:r>
                <m:t>,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j,0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=0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A_j为第j类建筑总面积；各破坏状态面积用于制图、经济损失和伤亡计算，并检查各状态面积之和不超过总面积。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倒塌面积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(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F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)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C表示倒塌状态；倒塌面积是人员死亡、受伤和压埋模型的主要输入。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死亡人数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D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sSub>
                    <m:e>
                      <m:r>
                        <m:t>A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j,C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e>
              </m:nary>
              <m:sSub>
                <m:e>
                  <m:r>
                    <m:t>ρ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η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D|C,j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ρ_j为建筑内人口密度，η_j为时段在室率，p_D|C,j为倒塌条件下的死亡率，按建筑类型和烈度档位取值。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受伤人数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d>
                    <m:dPr>
                      <m:begChr m:val="["/>
                      <m:sepChr m:val="+"/>
                      <m:endChr m:val="]"/>
                    </m:dPr>
                    <m:e>
                      <m:sSub>
                        <m:e>
                          <m:r>
                            <m:t>A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j,C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ρ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η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p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I|C,j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j,S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ρ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η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  <m:sSub>
                        <m:e>
                          <m:r>
                            <m:t>p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I|S,j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e>
                  </m:d>
                </m:e>
              </m:nary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S表示严重破坏状态；分别计算倒塌和严重破坏造成的受伤人数，避免只按死亡人数的固定倍数估算。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压埋人数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T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sSub>
                    <m:e>
                      <m:r>
                        <m:t>A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j,C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e>
              </m:nary>
              <m:sSub>
                <m:e>
                  <m:r>
                    <m:t>ρ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η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T|C,j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p_T|C,j为倒塌后的被困比例；压埋人数用于救援力量、担架、搜救设备和现场队伍需求计算。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直接经济损失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L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E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n"/>
                    </m:naryPr>
                    <m:sub>
                      <m:r>
                        <m:t>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  <m:sup/>
                    <m:e>
                      <m:sSub>
                        <m:e>
                          <m:r>
                            <m:t>A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e>
                        <m:sub>
                          <m:r>
                            <m:t>j,k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V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R,j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λ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j,k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+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L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+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L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L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V_R,j为建筑重置单价，λ_j,k为破坏状态损失比，L_C为室内财产损失，L_L为生命线工程直接损失。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需安置人口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sSub>
                    <m:e>
                      <m:r>
                        <m:t>P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t>c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e>
              </m:nary>
              <m:sSub>
                <m:e>
                  <m:r>
                    <m:t>h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c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(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F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)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P_c为人口格网或行政区人口，h_c为需要紧急安置的人口比例，用于帐篷、饮水、食品、厕所等物资需求。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救援力量需求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rPr>
                      <m:sty m:val="p"/>
                    </m:rPr>
                    <m:t>rescue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r>
                <m:rPr>
                  <m:sty m:val="p"/>
                </m:rPr>
                <m:t>max</m:t>
                <w:rPr>
                  <w:rFonts w:ascii="Cambria Math" w:hAnsi="Cambria Math" w:eastAsia="Cambria Math"/>
                  <w:sz w:val="18"/>
                  <w:szCs w:val="18"/>
                </w:rPr>
              </m:r>
              <m:d>
                <m:dPr>
                  <m:sepChr m:val=""/>
                </m:dPr>
                <m:e>
                  <m:r>
                    <m:t>0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r>
                    <m:t>,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d>
                    <m:dPr>
                      <m:begChr m:val="⌈"/>
                      <m:sepChr m:val=""/>
                      <m:endChr m:val="⌉"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β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e>
                            <m:sub>
                              <m:r>
                                <m:t>T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  <m:sSub>
                            <m:e>
                              <m:r>
                                <m:t>N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e>
                            <m:sub>
                              <m:r>
                                <m:t>T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C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team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</m:den>
                      </m:f>
                    </m:e>
                  </m:d>
                  <m:r>
                    <m:t>-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  <m:sSub>
                    <m:e>
                      <m:r>
                        <m:t>C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  <m:sub>
                      <m:r>
                        <m:rPr>
                          <m:sty m:val="p"/>
                        </m:rPr>
                        <m:t>local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sub>
                  </m:sSub>
                </m:e>
              </m:d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β_T为救援任务强度系数，C_team为单支队伍日处置能力，C_local为本地可立即投入的队伍数量。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医疗和物资需求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rPr>
                      <m:sty m:val="p"/>
                    </m:rPr>
                    <m:t>bed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=⌈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β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+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β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D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D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⌉,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Q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s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=⌈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β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s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A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sSub>
                <m:e>
                  <m:r>
                    <m:t>T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s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⌉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N_bed为医疗床位需求；Q_s为第s类生活物资需求，β_s为单位人口需求系数，T_s为保障天数。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不确定性与区间</w:t>
            </w:r>
          </w:p>
        </w:tc>
        <w:tc>
          <w:tcPr>
            <w:tcW w:type="dxa" w:w="75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sSup>
                <m:e>
                  <m:r>
                    <m:t>θ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p>
                  <m:d>
                    <m:dPr>
                      <m:sepChr m:val=""/>
                    </m:dPr>
                    <m:e>
                      <m:r>
                        <m:t>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</m:d>
                </m:sup>
              </m:sSup>
              <m:r>
                <m:t>~π(θ),</m:t>
                <w:rPr>
                  <w:rFonts w:ascii="Cambria Math" w:hAnsi="Cambria Math" w:eastAsia="Cambria Math"/>
                  <w:sz w:val="18"/>
                  <w:szCs w:val="18"/>
                </w:rPr>
              </m:r>
              <m:sSup>
                <m:e>
                  <m:r>
                    <m:t>Y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p>
                  <m:d>
                    <m:dPr>
                      <m:sepChr m:val=""/>
                    </m:dPr>
                    <m:e>
                      <m:r>
                        <m:t>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</m:d>
                </m:sup>
              </m:sSup>
              <m:r>
                <m:t>=f(</m:t>
                <w:rPr>
                  <w:rFonts w:ascii="Cambria Math" w:hAnsi="Cambria Math" w:eastAsia="Cambria Math"/>
                  <w:sz w:val="18"/>
                  <w:szCs w:val="18"/>
                </w:rPr>
              </m:r>
              <m:sSup>
                <m:e>
                  <m:r>
                    <m:t>θ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p>
                  <m:d>
                    <m:dPr>
                      <m:sepChr m:val=""/>
                    </m:dPr>
                    <m:e>
                      <m:r>
                        <m:t>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</m:d>
                </m:sup>
              </m:sSup>
              <m:r>
                <m:t>,X),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t>Y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sSub>
                <m:e>
                  <m:r>
                    <m:rPr>
                      <m:sty m:val="p"/>
                    </m:rPr>
                    <m:t>Quantile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b>
                  <m:r>
                    <m:t>p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</m:sSub>
              <m:r>
                <m:t>({</m:t>
                <w:rPr>
                  <w:rFonts w:ascii="Cambria Math" w:hAnsi="Cambria Math" w:eastAsia="Cambria Math"/>
                  <w:sz w:val="18"/>
                  <w:szCs w:val="18"/>
                </w:rPr>
              </m:r>
              <m:sSup>
                <m:e>
                  <m:r>
                    <m:t>Y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e>
                <m:sup>
                  <m:d>
                    <m:dPr>
                      <m:sepChr m:val=""/>
                    </m:dPr>
                    <m:e>
                      <m:r>
                        <m:t>k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e>
                  </m:d>
                </m:sup>
              </m:sSup>
              <m:r>
                <m:t>})</m:t>
                <w:rPr>
                  <w:rFonts w:ascii="Cambria Math" w:hAnsi="Cambria Math" w:eastAsia="Cambria Math"/>
                  <w:sz w:val="18"/>
                  <w:szCs w:val="18"/>
                </w:rPr>
              </m:r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对易损性、人口密度、价格和资源系数进行蒙特卡洛抽样，默认输出中心值及10%至90%区间，并记录抽样次数。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4313D"/>
                <w:sz w:val="18"/>
              </w:rPr>
              <w:t>模型验证</w:t>
            </w:r>
          </w:p>
        </w:tc>
        <w:tc>
          <w:tcPr>
            <w:tcW w:type="dxa" w:w="7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40" w:after="40" w:line="252" w:lineRule="auto"/>
              <w:jc w:val="center"/>
            </w:pPr>
            <m:oMath>
              <m:r>
                <m:rPr>
                  <m:sty m:val="p"/>
                </m:rPr>
                <m:t>RMSE</m:t>
                <w:rPr>
                  <w:rFonts w:ascii="Cambria Math" w:hAnsi="Cambria Math" w:eastAsia="Cambria Math"/>
                  <w:sz w:val="18"/>
                  <w:szCs w:val="18"/>
                </w:rPr>
              </m:r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grow m:val="1"/>
                          <m:subHide m:val="off"/>
                          <m:supHide m:val="on"/>
                        </m:naryPr>
                        <m:sub>
                          <m:r>
                            <m:t>i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</m:sub>
                        <m:sup/>
                        <m:e>
                          <m:sSup>
                            <m:e>
                              <m:d>
                                <m:dPr>
                                  <m:sepChr m:val="-"/>
                                </m:dPr>
                                <m:e>
                                  <m:sSub>
                                    <m:e>
                                      <m:r>
                                        <m:t>y</m:t>
                                        <w:rPr>
                                          <w:rFonts w:ascii="Cambria Math" w:hAnsi="Cambria Math" w:eastAsia="Cambria Math"/>
                                          <w:sz w:val="18"/>
                                          <w:szCs w:val="18"/>
                                        </w:rPr>
                                      </m:r>
                                    </m:e>
                                    <m:sub>
                                      <m:r>
                                        <m:t>i</m:t>
                                        <w:rPr>
                                          <w:rFonts w:ascii="Cambria Math" w:hAnsi="Cambria Math" w:eastAsia="Cambria Math"/>
                                          <w:sz w:val="18"/>
                                          <w:szCs w:val="18"/>
                                        </w:rPr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y</m:t>
                                            <w:rPr>
                                              <w:rFonts w:ascii="Cambria Math" w:hAnsi="Cambria Math" w:eastAsia="Cambria Math"/>
                                              <w:sz w:val="18"/>
                                              <w:szCs w:val="18"/>
                                            </w:rPr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  <w:rPr>
                                          <w:rFonts w:ascii="Cambria Math" w:hAnsi="Cambria Math" w:eastAsia="Cambria Math"/>
                                          <w:sz w:val="18"/>
                                          <w:szCs w:val="18"/>
                                        </w:rPr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2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m:t>n</m:t>
                        <w:rPr>
                          <w:rFonts w:ascii="Cambria Math" w:hAnsi="Cambria Math" w:eastAsia="Cambria Math"/>
                          <w:sz w:val="18"/>
                          <w:szCs w:val="18"/>
                        </w:rPr>
                      </m:r>
                    </m:den>
                  </m:f>
                </m:e>
              </m:rad>
              <m:r>
                <m:t>,</m:t>
                <w:rPr>
                  <w:rFonts w:ascii="Cambria Math" w:hAnsi="Cambria Math" w:eastAsia="Cambria Math"/>
                  <w:sz w:val="18"/>
                  <w:szCs w:val="18"/>
                </w:rPr>
              </m:r>
              <m:r>
                <m:rPr>
                  <m:sty m:val="p"/>
                </m:rPr>
                <m:t>MAPE</m:t>
                <w:rPr>
                  <w:rFonts w:ascii="Cambria Math" w:hAnsi="Cambria Math" w:eastAsia="Cambria Math"/>
                  <w:sz w:val="18"/>
                  <w:szCs w:val="18"/>
                </w:rPr>
              </m:r>
              <m:r>
                <m:t>=</m:t>
                <w:rPr>
                  <w:rFonts w:ascii="Cambria Math" w:hAnsi="Cambria Math" w:eastAsia="Cambria Math"/>
                  <w:sz w:val="18"/>
                  <w:szCs w:val="18"/>
                </w:rPr>
              </m:r>
              <m:f>
                <m:fPr>
                  <m:type m:val="bar"/>
                </m:fPr>
                <m:num>
                  <m:r>
                    <m:t>100%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num>
                <m:den>
                  <m:r>
                    <m:t>n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m:t>i</m:t>
                    <w:rPr>
                      <w:rFonts w:ascii="Cambria Math" w:hAnsi="Cambria Math" w:eastAsia="Cambria Math"/>
                      <w:sz w:val="18"/>
                      <w:szCs w:val="18"/>
                    </w:rPr>
                  </m:r>
                </m:sub>
                <m:sup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e>
                            <m:sub>
                              <m:r>
                                <m:t>i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  <m:r>
                            <m:t>-</m:t>
                            <w:rPr>
                              <w:rFonts w:ascii="Cambria Math" w:hAnsi="Cambria Math" w:eastAsia="Cambria Math"/>
                              <w:sz w:val="18"/>
                              <w:szCs w:val="18"/>
                            </w:rPr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  <w:rPr>
                                      <w:rFonts w:ascii="Cambria Math" w:hAnsi="Cambria Math" w:eastAsia="Cambria Math"/>
                                      <w:sz w:val="18"/>
                                      <w:szCs w:val="18"/>
                                    </w:rPr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e>
                            <m:sub>
                              <m:r>
                                <m:t>i</m:t>
                                <w:rPr>
                                  <w:rFonts w:ascii="Cambria Math" w:hAnsi="Cambria Math" w:eastAsia="Cambria Math"/>
                                  <w:sz w:val="18"/>
                                  <w:szCs w:val="18"/>
                                </w:rPr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</w:p>
          <w:p>
            <w:pPr>
              <w:keepNext w:val="0"/>
              <w:spacing w:before="0" w:after="20" w:line="26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用历史震例和演练数据检验烈度、破坏面积、伤亡、经济损失和资源需求的偏差，验收指标按样本规模另行确定。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公式约定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所有公式均在事件快照上计算，输入数据、模型代码、参数版本、专家修正和输出结果同时归档。任何系数调整必须形成新的参数版本，不得覆盖历史事件已经使用的版本。</w:t>
            </w:r>
          </w:p>
        </w:tc>
      </w:tr>
    </w:tbl>
    <w:p/>
    <w:p>
      <w:pPr>
        <w:pStyle w:val="Heading2"/>
      </w:pPr>
      <w:r>
        <w:t>6.4 参数取值与来源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烈度衰减参数：以中国东部地区公开衰减研究、国家标准和上海历史震例为初始依据，按上海及周边资料重新回归和评审。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场地调整参数：结合上海软土、填土和基岩场地条件，按场地类别建立调整值，并保留原始分区依据。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易损性矩阵：按高层、钢筋混凝土、砌体、单层和其他五类建筑设置破坏状态概率参数，来源包括规范、论文、震害调查和专家评审。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人员参数：人口密度、时段在室率、倒塌死亡率、受伤率和被困率分别建库，不把死亡人数简单换算为受伤人数。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经济参数：建筑重置单价、室内财产单价、生命线损失比和价格基准年单独管理，经济结果必须标注价格基准年。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资源参数：救援队伍能力、医疗床位、帐篷、饮水、食品、厕所等系数来自应急预案、行业标准和主管部门审核意见。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参数治理：每个参数包含来源、适用区域、适用建筑、置信等级、生效时间、审核人和版本号；未审核参数只能用于测试。</w:t>
      </w:r>
    </w:p>
    <w:p>
      <w:pPr>
        <w:pStyle w:val="Heading2"/>
      </w:pPr>
      <w:r>
        <w:t>6.5 计算顺序与质量控制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先锁定事件、基础数据和参数版本，再计算模型烈度和读取仪器烈度，禁止在后续步骤中替换运行中事件快照。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完成融合烈度后先执行空间连续性和异常值检查，再进入建筑破坏和人员经济损失计算。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建筑破坏面积按状态检查总量守恒；伤亡人数不超过对应区域在室人口；资源需求不得出现负值。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采用同一随机种子保证测试可复现，正式事件至少执行1000次参数抽样，输出中心值、10%至90%区间和敏感性排序。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模型结果与专家复核结果分别保存；专家修正只生成新版本，不删除自动计算值，并在报告中显示两版差异。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行业网信创系统总体逻辑架构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国产统一监控、主机安全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运行监控、告警和主机防护；漏洞扫描复用行业网既有能力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底图统一使用上海市测绘院提供的天地图资源；正式出图使用本地缓存或行业网地图服务。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AI模型、知识库和向量检索全部部署在本地信创服务器，不依赖外部在线模型和网络检索。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应用与数据库双节点部署，主节点故障时由备用节点接管，存储和交换机不存在单点。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行业网高可用部署与数据接入边界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知识更新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通过行业网知识库和规范文件更新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系统不访问互联网，更新前完成来源核验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安全、备份与运行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系统使用行业网既有的网络安全防护环境，平台侧只保留必要的角色权限和业务规则控制。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部署在上海市地震局行业网生产区，直接接入EQIM和地震预警系统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网络接入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2台万兆交换机，关键链路双上联；网络安全使用行业网既有防护环境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平台防护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主机安全和应用权限控制；漏洞扫描复用行业网既有能力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EQIM事件、地震预警、修订、两级响应和事件控制台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应用和数据库完成主备切换验证，存储和交换机无单点故障。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在行业网内，EQIM事件、预警信息、天地图资源、AI问答和5分钟成果能够正常运行。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操作系统、数据库、地图、模型和知识库能够通过行业网更新渠道完成升级和回滚。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使用离线包导入、缺口记录、本地缓存和人工触发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离线更新滞后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补丁、模型和地图不能及时更新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固定月度和紧急离线更新流程，保留双版本回滚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生产系统整体部署在上海市地震局行业网，使用行业网既有的网络安全防护、网络管理和运维管理环境。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iClient，底图使用上海市测绘院提供的天地图资源。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EQIM提供自动速报、正式速报、修正报文、仪器烈度及相关事件数据，地震预警系统提供预警信息。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只采购平台运行所需服务器、存储、备份、交换机和配套软硬件，不重复采购行业网已有的网络安全基础设施。</w:t>
      </w:r>
    </w:p>
    <w:p>
      <w:pPr>
        <w:pStyle w:val="Heading2"/>
      </w:pPr>
      <w:r>
        <w:t>17.2 行业网部署拓扑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数据接入区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EQIM接口、地震预警接口、数据格式转换服务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经行业网既有安全边界接入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应用服务区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2台信创应用服务器、国产容器云、TongWeb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数据空间区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2台信创数据库服务器、KingbaseGIS、SuperMap iServer、集中存储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1台国产AI推理服务器、本地模型、知识库、向量检索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本地运行，AI故障不阻塞核心评估和制图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统一监控和主机安全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漏洞扫描复用行业网既有能力，网络和数据边界防护使用行业网既有环境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备份恢复区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每日增量、每月完整恢复点，按月执行恢复验证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生产网络区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服务器双上联，网络关键路径冗余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图5  行业网部署与数据接入边界</w:t>
      </w:r>
    </w:p>
    <w:p>
      <w:pPr>
        <w:pStyle w:val="Heading2"/>
      </w:pPr>
      <w:r>
        <w:t>17.3 行业网数据接入与地图资源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平台通过行业网接口直接接入EQIM，获取自动速报、正式速报、修正报文、仪器烈度及其他可用事件数据。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平台通过行业网接口接入地震预警系统，接收预警信息、预警状态和必要的空间信息，用于事件记录、态势展示和值班提醒。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EQIM和预警系统接口应提供事件唯一标识、状态、发布时间和修订关系，平台完成去重、合并和版本更新。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仪器烈度、震源机制、余震目录和台站数据在EQIM或行业网其他授权系统提供接口时接入；暂未提供的数据不伪造。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地图底图统一使用上海市测绘院提供的天地图资源，优先采用行业网地图服务，并按制图性能要求建立本地缓存。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天地图资源更新按照测绘院发布周期执行，更新后验证行政区、道路、水系、注记和空间索引，不影响运行中事件快照。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操作系统、数据库、中间件、GIS和AI平台的补丁或升级包通过行业网既有软件分发和变更流程实施。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系统不访问互联网，不启用自动联网检索；法律法规、预案、标准、论文和历史成果通过行业网知识库更新。</w:t>
      </w:r>
    </w:p>
    <w:p>
      <w:pPr>
        <w:pStyle w:val="Heading2"/>
      </w:pPr>
      <w:r>
        <w:t>17.4 行业网运行与故障降级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系统通知以站内消息、待办任务和大屏告警为主；短信、企业微信、邮件或电话仅通过主管部门批准的行业网通知平台或专线平台接入。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AI推理节点故障时，知识问答自动降级为结构化检索或暂停使用，事件评估、损失计算、27类图件和报告继续生成。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EQIM或预警接口中断时，平台保留最近一次事件和数据快照，支持经授权人员手工触发和补录，不使用未经核验的数据替代。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软件和模型升级采用测试区验证、生产备份、灰度发布、回归测试和版本回滚五步流程，禁止在生产区直接覆盖运行文件。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运行维护遵循行业网现有安全管理和网络访问制度。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存储容量按事件成果、地图缓存、模型、备份副本和400天测试数据统一测算，容量达到80%时预警，达到90%时不得继续执行覆盖式更新。</w:t>
      </w:r>
    </w:p>
    <w:p>
      <w:pPr>
        <w:pStyle w:val="Heading2"/>
      </w:pPr>
      <w:r>
        <w:t>17.5 行业网部署实施与验收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按照行业网现有管理制度完成地址规划、网络接入和安全策略申请，不新增平台专用安全域和审计设施。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安装国产服务器、存储、备份和交换机，完成上架、供电、网络和双机验证。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部署Kylin/UOS、数据库、中间件、容器云、GIS、对象存储、监控和AI平台，完成国产CPU和操作系统兼容性适配。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接入测绘院天地图资源，导入基础数据、模型参数、模板、知识库和历史事件，建立首个可回滚生产基线。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完成EQIM和地震预警系统接口联调，验证自动速报、正式速报、修正报文、预警信息和人工触发流程。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使用行业网既有漏洞扫描能力开展应用检查，并完成主机加固、访问控制和弱口令整改。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在正式投产前完成全链路演练，包括EQIM正式速报触发、预警接入、5分钟成果、AI问答、天地图联动和故障切换。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完成应用与数据库主备切换、备份恢复、模型回滚、EQIM接口中断、预警接口中断和存储告警等异常场景测试。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验收通过后进入试运行，试运行期间保持新旧版本双基线，确认稳定后再关闭回退窗口。</w:t>
      </w:r>
    </w:p>
    <w:p>
      <w:pPr>
        <w:pStyle w:val="Heading2"/>
      </w:pPr>
      <w:r>
        <w:t>17.6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项目验收前完成信创适配测试、性能测试、应用安全测试、备份恢复测试和行业网运行测试。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硬件和软件采购明细均列明数量、参考单价和预算金额，可直接用于采购需求编制和分项询价。预算不包含机房土建装修、市电增容、指挥大厅已有大屏本体和上海市地震局现有网络专线费用，也不包含行业网已有的下一代防火墙、日志审计、数据库审计、UPS及电池、漏洞扫描软件；高德、天地图等底图服务由上海市测绘院提供的行业网资源替代，不列入采购预算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信创服务器、存储、备份、交换机和配套硬件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201.00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操作系统、数据库、中间件、GIS、AI、备份、主机防护和办公软件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219.50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54.50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650"/>
        <w:gridCol w:w="950"/>
        <w:gridCol w:w="1026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设备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主要配置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应用与并行制图服务器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2×32核、256GB内存、2×960GB NVMe、4×3.84TB NVMe、双10GE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数据库与空间计算服务器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2×32核、512GB内存、2×960GB NVMe、4×7.68TB NVMe、双25GE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国产AI服务器、256GB内存、2块国产AI加速卡（合计显存不低于192GB）、2×3.84TB NVMe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国产集中存储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96TB裸容量、2×3.84TB元数据盘、双25GE、对象存储和共享服务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国产备份一体机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不低于60TB可用容量、压缩去重、数据库和文件代理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万兆交换机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48口万兆、冗余电源、堆叠和链路聚合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11.00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机柜及配套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42U机柜、PDU、KVM、理线、光模块和线缆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信创管理工作站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国产CPU、16GB内存、512GB SSD、信创桌面系统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大屏信号接入终端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4K发送、矩阵适配和运维控制终端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硬件及基础配套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201.00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850"/>
        <w:gridCol w:w="980"/>
        <w:gridCol w:w="1096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软件或服务</w:t>
            </w:r>
          </w:p>
        </w:tc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授权口径和内容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国产服务器操作系统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Server授权、三年离线更新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0.80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6.40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国产桌面操作系统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Desktop授权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0.60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国产容器云平台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国产CPU适配、应用发布和监控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国产数据库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KingbaseES V9企业版、主备集群和迁移工具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空间数据库扩展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KingbaseGIS及空间计算组件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国产应用中间件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TongWeb企业版、集群部署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iServer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企业级空间服务、二维制图和集群授权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2CPU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iDesktopX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专业桌面GIS、空间数据处理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国产对象存储软件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S3兼容、分布式对象存储、快照和容量扩展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集中备份、压缩去重、数据库和文件代理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国产工作流调度平台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任务编排、重试、超时、资源调度和三年服务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AI推理及RAG平台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模型管理、知识库、引用、受控工具调用和运维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向量检索组件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国产化适配、双节点或高可用部署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WPS Office信创版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DOCX、XLSX、PPTX办公和模板编辑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30用户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4.50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安全可信浏览器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国产网页浏览、证书和安全策略管理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50用户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0.06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统一监控平台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主机、数据库、中间件、任务和大屏监控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主机安全软件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终端检测、漏洞防护和集中管理，三年授权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80节点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行业网通知平台适配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与主管部门批准的行业网通知平台对接，不直接连接互联网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证书和安全介质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国密证书、服务证书、离线包签名和安全介质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基础软件和订阅服务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219.50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信创和行业网适配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CPU、操作系统、数据库、中间件、GIS、浏览器、AI和EQIM接口适配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硬件安装、行业网接入、系统集成、双机切换、网络策略和灾备演练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测试与应用安全测评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性能、5分钟成果、EQIM和预警接口、故障注入、信创适配、应用安全测评和整改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管理员、应急技术组、工作组培训，行业网操作和运维文档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57.00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第二至三年数据库、中间件、GIS、备份和AI平台服务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1439.00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按年度采购硬件维保、软件订阅和平台运维，不含行业网共享设施和测绘院底图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采购包1采购通用信创硬件，按清单数量报价，要求原厂三年质保、关键部件备件和本地化服务，综合单价与总价不得缺项。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采购包2采购基础软件，按套、节点、CPU或用户数量明确授权口径，要求投标联合体提供数据库、中间件、GIS、AI和操作系统的完整兼容性证明。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行业网信创版建设标准为总投资控制预算1145万元，三年总拥有成本1439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接入行业网EQIM、正式仪器烈度系统以及正式发布的震源机制、余震目录和台站数据。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在主管部门批准的行业网通知平台条件下接入企业微信、邮件、电话等通知渠道，并保留渠道降级机制。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持续在行业网内运行，直接使用EQIM、地震预警和测绘院天地图资源更新业务数据。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p>
      <w:pPr>
        <w:pageBreakBefore w:val="0"/>
        <w:spacing w:before="0" w:after="0" w:line="20" w:lineRule="exact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行业网信创版详细方案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