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keepNext w:val="0"/>
        <w:spacing w:before="0" w:after="160" w:line="240" w:lineRule="auto"/>
        <w:jc w:val="center"/>
      </w:pPr>
      <w:r>
        <w:rPr>
          <w:rFonts w:ascii="Microsoft YaHei" w:hAnsi="Microsoft YaHei" w:eastAsia="Microsoft YaHei"/>
          <w:b/>
          <w:color w:val="0F6B72"/>
          <w:sz w:val="32"/>
        </w:rPr>
        <w:t>上海市</w:t>
      </w:r>
    </w:p>
    <w:p>
      <w:pPr>
        <w:keepNext w:val="0"/>
        <w:spacing w:before="0" w:after="160" w:line="240" w:lineRule="auto"/>
        <w:jc w:val="center"/>
      </w:pPr>
      <w:r>
        <w:rPr>
          <w:rFonts w:ascii="Microsoft YaHei" w:hAnsi="Microsoft YaHei" w:eastAsia="Microsoft YaHei"/>
          <w:b/>
          <w:color w:val="173B57"/>
          <w:sz w:val="50"/>
        </w:rPr>
        <w:t>地震应急评估与辅助决策系统</w:t>
      </w:r>
    </w:p>
    <w:p>
      <w:pPr>
        <w:keepNext w:val="0"/>
        <w:spacing w:before="0" w:after="440" w:line="240" w:lineRule="auto"/>
        <w:jc w:val="center"/>
      </w:pPr>
      <w:r>
        <w:rPr>
          <w:rFonts w:ascii="Microsoft YaHei" w:hAnsi="Microsoft YaHei" w:eastAsia="Microsoft YaHei"/>
          <w:b/>
          <w:color w:val="2E74B5"/>
          <w:sz w:val="58"/>
        </w:rPr>
        <w:t>详细方案</w:t>
      </w:r>
    </w:p>
    <w:p>
      <w:pPr>
        <w:keepNext w:val="0"/>
        <w:spacing w:before="0" w:after="120" w:line="288" w:lineRule="auto"/>
        <w:jc w:val="center"/>
      </w:pPr>
      <w:r>
        <w:rPr>
          <w:rFonts w:ascii="Microsoft YaHei" w:hAnsi="Microsoft YaHei" w:eastAsia="Microsoft YaHei"/>
          <w:color w:val="5F6B76"/>
          <w:sz w:val="26"/>
        </w:rPr>
        <w:t>面向省级地震局本级、未来区级和兄弟省份部署需求</w:t>
      </w:r>
    </w:p>
    <w:p>
      <w:pPr>
        <w:keepNext w:val="0"/>
        <w:spacing w:before="0" w:after="1440" w:line="288" w:lineRule="auto"/>
        <w:jc w:val="center"/>
      </w:pPr>
      <w:r>
        <w:rPr>
          <w:rFonts w:ascii="Microsoft YaHei" w:hAnsi="Microsoft YaHei" w:eastAsia="Microsoft YaHei"/>
          <w:b/>
          <w:color w:val="9A6A1F"/>
          <w:sz w:val="21"/>
        </w:rPr>
        <w:t>自动评估 · 专业制图 · 任务协同 · 指挥决策 · 知识问答</w:t>
      </w:r>
    </w:p>
    <w:p>
      <w:pPr>
        <w:keepNext w:val="0"/>
        <w:spacing w:before="0" w:after="80" w:line="240" w:lineRule="auto"/>
        <w:jc w:val="center"/>
      </w:pPr>
      <w:r>
        <w:rPr>
          <w:rFonts w:ascii="Microsoft YaHei" w:hAnsi="Microsoft YaHei" w:eastAsia="Microsoft YaHei"/>
          <w:color w:val="24313D"/>
          <w:sz w:val="22"/>
        </w:rPr>
        <w:t>编制单位：上海市地震局信息中心（应急技术组）</w:t>
      </w:r>
    </w:p>
    <w:p>
      <w:pPr>
        <w:keepNext w:val="0"/>
        <w:spacing w:before="0" w:after="80" w:line="240" w:lineRule="auto"/>
        <w:jc w:val="center"/>
      </w:pPr>
      <w:r>
        <w:rPr>
          <w:rFonts w:ascii="Microsoft YaHei" w:hAnsi="Microsoft YaHei" w:eastAsia="Microsoft YaHei"/>
          <w:color w:val="5F6B76"/>
          <w:sz w:val="21"/>
        </w:rPr>
        <w:t>版本：V1.0    日期：2026年9月17日</w:t>
      </w:r>
    </w:p>
    <w:p>
      <w:pPr>
        <w:keepNext w:val="0"/>
        <w:spacing w:before="2400" w:after="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内部设计资料</w:t>
      </w:r>
    </w:p>
    <w:p>
      <w:r>
        <w:br w:type="page"/>
      </w:r>
    </w:p>
    <w:p>
      <w:pPr>
        <w:pStyle w:val="Heading1"/>
      </w:pPr>
      <w:r>
        <w:t>编制说明与版本记录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本方案依据上海市地震局地震应急预案（2026年版）、中国地震局地震应急服务响应相关文件、旧系统成果模板、现有基础数据以及公开论文、专利和开源项目资料编制。方案不把旧系统作为数值复现基准，而是重建可配置、可追溯、可校准的评估和制图体系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600"/>
        <w:gridCol w:w="5000"/>
        <w:gridCol w:w="1426"/>
      </w:tblGrid>
      <w:tr>
        <w:trPr>
          <w:tblHeader w:val="true"/>
        </w:trPr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版本</w:t>
            </w:r>
          </w:p>
        </w:tc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日期</w:t>
            </w:r>
          </w:p>
        </w:tc>
        <w:tc>
          <w:tcPr>
            <w:tcW w:type="dxa" w:w="5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内容</w:t>
            </w:r>
          </w:p>
        </w:tc>
        <w:tc>
          <w:tcPr>
            <w:tcW w:type="dxa" w:w="14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V1.0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2026-09-17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完成总体需求、技术路线、模块、数据、模型、输出和验收方案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待审</w:t>
            </w:r>
          </w:p>
        </w:tc>
      </w:tr>
    </w:tbl>
    <w:p/>
    <w:p>
      <w:pPr>
        <w:pStyle w:val="Heading1"/>
      </w:pPr>
      <w:r>
        <w:t>目录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1 建设背景与总体目标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2 业务范围与用户角色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3 震时事件主流程与时限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4 响应等级建议规则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5 数据体系与数据管理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6 灾害评估模型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7 专业成果与报告体系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8 工作组任务协同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9 指挥大厅设计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10 系统总体架构与技术路线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11 AI知识问答与地图联动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12 测试、演练与运行维护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13 安全、备份与审计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14 实施阶段与任务拆分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15 首期验收标准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16 风险、依赖与应对措施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附录A 27类图件清单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附录B 7个工作组任务边界</w:t>
      </w:r>
    </w:p>
    <w:p>
      <w:pPr>
        <w:keepNext w:val="0"/>
        <w:spacing w:before="0" w:after="20" w:line="240" w:lineRule="auto"/>
      </w:pPr>
      <w:r>
        <w:rPr>
          <w:rFonts w:ascii="Microsoft YaHei" w:hAnsi="Microsoft YaHei" w:eastAsia="Microsoft YaHei"/>
          <w:color w:val="24313D"/>
          <w:sz w:val="18"/>
        </w:rPr>
        <w:t>附录C 主要依据与参考材料</w:t>
      </w:r>
    </w:p>
    <w:p>
      <w:r>
        <w:br w:type="page"/>
      </w:r>
    </w:p>
    <w:p>
      <w:pPr>
        <w:pStyle w:val="Heading1"/>
      </w:pPr>
      <w:r>
        <w:t>管理摘要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EE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方案定位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以正式速报入库为评估触发点，在5分钟内并行生成灾害评估、27类专业图件、核心报告和背景资料，同时将任务、时限、成果和版本集中到指挥大厅，为领导决策和各工作组协同提供统一工作底图。</w:t>
            </w:r>
          </w:p>
        </w:tc>
      </w:tr>
    </w:tbl>
    <w:p/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平台首期面向上海市地震局本级和上海市行政区域，强调震后快速评估、辅助决策、成果标准化和指挥大厅协同。系统不自动替代制度响应和对外报送，而是把模型评估、预案任务、成果生产和版本留痕固化为一套可审计的流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数据可信：来源可追溯、版本可回滚、事件启动后使用固定快照。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时间可控：T0、T1和预案时限统一计时，自动成果按T1+5分钟验收。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专业可解释：模型结果带区间、质量等级和计算依据，不伪造缺失数据。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协同可用：7个工作组任务、成果、确认和状态集中呈现。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扩展可行：当前单机部署，未来支持区级和兄弟省份独立部署。</w:t>
      </w:r>
    </w:p>
    <w:p>
      <w:pPr>
        <w:pStyle w:val="Heading1"/>
      </w:pPr>
      <w:r>
        <w:t>1 建设背景与总体目标</w:t>
      </w:r>
    </w:p>
    <w:p>
      <w:pPr>
        <w:pStyle w:val="Heading2"/>
      </w:pPr>
      <w:r>
        <w:t>1.1 建设背景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震后短时间内，值班、监测预报、震害评估、应急技术、综合协调和后勤保障等任务同时展开。传统方式依赖人工收集、人工制图和分散文档流转，存在事件版本不一致、成果难以汇总、预案时限不易跟踪、评估依据难以追溯等问题。平台建设的核心是把正式速报后的评估和协同流程自动化、标准化。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现有基础数据、旧系统源码和成果模板为方案提供了业务结构、界面和数据基础，但旧系统模型参数和价格体系并未完整保留。本方案据此采用“旧系统作参照、模型重新建设、参数本地校准”的路线。</w:t>
      </w:r>
    </w:p>
    <w:p>
      <w:pPr>
        <w:pStyle w:val="Heading2"/>
      </w:pPr>
      <w:r>
        <w:t>1.2 总体目标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在正式速报入库后自动完成事件建档、响应建议、评估计算、制图、报告和任务建立。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在T1+5分钟内形成全部27类图件、4类核心文档或演示稿、8类背景文档。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为指挥大厅提供事件态势、预案任务、工作组进度、成果版本和数据质量的总览。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建设可配置的数据资产和模型中心，支撑未来区级和兄弟省份独立部署。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把AI用于知识检索、确定性空间计算和地图联动，不替代领导和业务专业判断。</w:t>
      </w:r>
    </w:p>
    <w:p>
      <w:pPr>
        <w:pStyle w:val="Heading2"/>
      </w:pPr>
      <w:r>
        <w:t>1.3 建设原则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先真实闭环，后功能扩张：首期先打通事件到成果的主链路，再扩展现场、遥感和更多通知渠道。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本地优先，外部可替换：正式出图依赖本地数据和底图，外部接口只作为上游来源。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版本优先，不覆盖历史：事件、数据、模型、模板、成果和知识库统一版本化。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缺数不造假：核心输入缺失时不生成虚假数值，非核心图层缺失时明确标注待复核。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模块化单体优先：首期控制部署复杂度，模块间接口清晰，保留服务化演进空间。</w:t>
      </w:r>
    </w:p>
    <w:p>
      <w:pPr>
        <w:pStyle w:val="Heading1"/>
      </w:pPr>
      <w:r>
        <w:t>2 业务范围与用户角色</w:t>
      </w:r>
    </w:p>
    <w:p>
      <w:pPr>
        <w:pStyle w:val="Heading2"/>
      </w:pPr>
      <w:r>
        <w:t>2.1 服务范围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首期服务上海市地震局本级，覆盖上海市行政区域及边界海域。自动评估范围包括本市行政区域及边界海域事件、外省波及上海事件、距上海边界20公里以内事件，以及预测最大烈度达到2度以上的事件。不满足评估条件的地震只记录和通知，不建立完整评估任务。</w:t>
      </w:r>
    </w:p>
    <w:p>
      <w:pPr>
        <w:pStyle w:val="Heading2"/>
      </w:pPr>
      <w:r>
        <w:t>2.2 用户角色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300"/>
        <w:gridCol w:w="3176"/>
      </w:tblGrid>
      <w:tr>
        <w:trPr>
          <w:tblHeader w:val="true"/>
        </w:trPr>
        <w:tc>
          <w:tcPr>
            <w:tcW w:type="dxa" w:w="15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4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主要职责</w:t>
            </w:r>
          </w:p>
        </w:tc>
        <w:tc>
          <w:tcPr>
            <w:tcW w:type="dxa" w:w="31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关键权限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局领导/管理者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查看态势、响应建议、评估成果和大屏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决策查看、成果审阅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工作组组长</w:t>
            </w:r>
          </w:p>
        </w:tc>
        <w:tc>
          <w:tcPr>
            <w:tcW w:type="dxa" w:w="4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管理本组任务和成果</w:t>
            </w:r>
          </w:p>
        </w:tc>
        <w:tc>
          <w:tcPr>
            <w:tcW w:type="dxa" w:w="31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确认、发布、查看本组过程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代理副组长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组长不在时代理职责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按名单顺序代理组长权限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普通组员</w:t>
            </w:r>
          </w:p>
        </w:tc>
        <w:tc>
          <w:tcPr>
            <w:tcW w:type="dxa" w:w="4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接收任务、上传过程和成果</w:t>
            </w:r>
          </w:p>
        </w:tc>
        <w:tc>
          <w:tcPr>
            <w:tcW w:type="dxa" w:w="31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授权范围内编辑和上传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数据维护人员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导入、校验和提交候选数据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数据暂存和候选版本维护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数据复核人员</w:t>
            </w:r>
          </w:p>
        </w:tc>
        <w:tc>
          <w:tcPr>
            <w:tcW w:type="dxa" w:w="4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审核、发布和回滚数据版本</w:t>
            </w:r>
          </w:p>
        </w:tc>
        <w:tc>
          <w:tcPr>
            <w:tcW w:type="dxa" w:w="31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数据发布和版本管理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超级管理员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系统管理、错误覆盖和强制处置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覆盖、重发、彻底删除</w:t>
            </w:r>
          </w:p>
        </w:tc>
      </w:tr>
    </w:tbl>
    <w:p/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权限约定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领导层不介入日常成果编辑；任务默认分派到工作组；组长在岗时由组长负责确认，组长不在时由代理副组长按名单顺序履职。</w:t>
            </w:r>
          </w:p>
        </w:tc>
      </w:tr>
    </w:tbl>
    <w:p/>
    <w:p>
      <w:pPr>
        <w:pStyle w:val="Heading1"/>
      </w:pPr>
      <w:r>
        <w:t>3 震时事件主流程与时限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系统使用T0和T1两套时钟。T0是发震时刻，用于预案任务计时；T1是首次正式速报入库时刻，用于平台评估和自动成果计时。这样既能保持预案时限，又能让评估和制图以正式数据为起点。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图1  T0/T1震时自动处理时间线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000"/>
        <w:gridCol w:w="2426"/>
      </w:tblGrid>
      <w:tr>
        <w:trPr>
          <w:tblHeader w:val="true"/>
        </w:trPr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时刻</w:t>
            </w:r>
          </w:p>
        </w:tc>
        <w:tc>
          <w:tcPr>
            <w:tcW w:type="dxa" w:w="5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系统行为</w:t>
            </w:r>
          </w:p>
        </w:tc>
        <w:tc>
          <w:tcPr>
            <w:tcW w:type="dxa" w:w="24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完成条件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建立待定事件和震情记录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保留发震时刻和来源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T0+3分钟以内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显示自动速报、震中、震级和深度</w:t>
            </w:r>
          </w:p>
        </w:tc>
        <w:tc>
          <w:tcPr>
            <w:tcW w:type="dxa" w:w="2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不启动损失评估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T0+5分钟以内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接收首次正式速报，记录T1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正式报入库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T1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启动评估、响应建议、任务和快照</w:t>
            </w:r>
          </w:p>
        </w:tc>
        <w:tc>
          <w:tcPr>
            <w:tcW w:type="dxa" w:w="2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自动触发平台流程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T1+5分钟以内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完成27类图件和12类文档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硬验收线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T0+30分钟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应急技术组进入大厅并产简报</w:t>
            </w:r>
          </w:p>
        </w:tc>
        <w:tc>
          <w:tcPr>
            <w:tcW w:type="dxa" w:w="2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预案任务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T0+30至60分钟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产出快速评估专报相关成果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阶段成果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T0+60分钟以后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持续产出专业图件和动态更新</w:t>
            </w:r>
          </w:p>
        </w:tc>
        <w:tc>
          <w:tcPr>
            <w:tcW w:type="dxa" w:w="2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运行期持续任务</w:t>
            </w:r>
          </w:p>
        </w:tc>
      </w:tr>
    </w:tbl>
    <w:p/>
    <w:p>
      <w:pPr>
        <w:pStyle w:val="Heading2"/>
      </w:pPr>
      <w:r>
        <w:t>3.1 正式报修正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首次正式报入库时刻固定为T1，后续修正不重置原始T1。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每次修正自动生成修订版评估任务，从修正报入库起5分钟内完成新版成果。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震中、震级或深度变化时，烈度、损失、伤亡和资源需求全部重算。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新旧版本同时保留，大屏显示最新有效版本，并提供差异对比和修订说明。</w:t>
      </w:r>
    </w:p>
    <w:p>
      <w:pPr>
        <w:pStyle w:val="Heading2"/>
      </w:pPr>
      <w:r>
        <w:t>3.2 响应升级与降级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升级时自动追加新任务，不删除已经产生的工作和成果。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降级时未开始任务标记为不再需要，进行中和已完成任务继续保留。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等级变更记录建议依据、操作人、时间和关联报文版本。</w:t>
      </w:r>
    </w:p>
    <w:p>
      <w:pPr>
        <w:pStyle w:val="Heading1"/>
      </w:pPr>
      <w:r>
        <w:t>4 响应等级建议规则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平台建议等级与制度响应等级分离。平台负责根据事件条件提出建议和说明依据，局领导依据预案和经验决定是否启动制度响应。中国地震局应急服务响应等级也独立计算，单独展示。</w:t>
      </w:r>
    </w:p>
    <w:p>
      <w:pPr>
        <w:pStyle w:val="Heading2"/>
      </w:pPr>
      <w:r>
        <w:t>4.1 上海市制度响应建议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0"/>
        <w:gridCol w:w="3026"/>
      </w:tblGrid>
      <w:tr>
        <w:trPr>
          <w:tblHeader w:val="true"/>
        </w:trPr>
        <w:tc>
          <w:tcPr>
            <w:tcW w:type="dxa" w:w="6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事件条件</w:t>
            </w:r>
          </w:p>
        </w:tc>
        <w:tc>
          <w:tcPr>
            <w:tcW w:type="dxa" w:w="30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建议等级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上海行政区域含边界50公里海域发生3.0至3.9级</w:t>
            </w:r>
          </w:p>
        </w:tc>
        <w:tc>
          <w:tcPr>
            <w:tcW w:type="dxa" w:w="3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一般响应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上海行政区域含边界50公里海域发生4.0至4.9级</w:t>
            </w:r>
          </w:p>
        </w:tc>
        <w:tc>
          <w:tcPr>
            <w:tcW w:type="dxa" w:w="3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较大响应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上海行政区域含边界50公里海域发生5.0至5.9级</w:t>
            </w:r>
          </w:p>
        </w:tc>
        <w:tc>
          <w:tcPr>
            <w:tcW w:type="dxa" w:w="3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重大响应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上海行政区域含边界50公里海域发生6.0级及以上</w:t>
            </w:r>
          </w:p>
        </w:tc>
        <w:tc>
          <w:tcPr>
            <w:tcW w:type="dxa" w:w="3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特别重大响应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外省波及上海且无直接死亡</w:t>
            </w:r>
          </w:p>
        </w:tc>
        <w:tc>
          <w:tcPr>
            <w:tcW w:type="dxa" w:w="3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一般响应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外省波及上海且死亡少于10人</w:t>
            </w:r>
          </w:p>
        </w:tc>
        <w:tc>
          <w:tcPr>
            <w:tcW w:type="dxa" w:w="3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较大响应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外省波及上海且死亡10人至不足100人</w:t>
            </w:r>
          </w:p>
        </w:tc>
        <w:tc>
          <w:tcPr>
            <w:tcW w:type="dxa" w:w="3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重大响应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外省波及上海且死亡100人及以上</w:t>
            </w:r>
          </w:p>
        </w:tc>
        <w:tc>
          <w:tcPr>
            <w:tcW w:type="dxa" w:w="3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特别重大响应</w:t>
            </w:r>
          </w:p>
        </w:tc>
      </w:tr>
    </w:tbl>
    <w:p/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震源深度大于60公里时，制度响应建议降低一级。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外省震中距上海边界20至100公里时，制度响应建议降低一级。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预测烈度达到2度但没有达到正式响应条件时，可以建立专项评估，不建议启动制度响应。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大屏显示建议等级、触发原因、使用震级或死亡人数、降级条件和数据来源。</w:t>
      </w:r>
    </w:p>
    <w:p>
      <w:pPr>
        <w:pStyle w:val="Heading2"/>
      </w:pPr>
      <w:r>
        <w:t>4.2 中国地震局应急服务响应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0"/>
        <w:gridCol w:w="4026"/>
      </w:tblGrid>
      <w:tr>
        <w:trPr>
          <w:tblHeader w:val="true"/>
        </w:trPr>
        <w:tc>
          <w:tcPr>
            <w:tcW w:type="dxa" w:w="5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震级条件</w:t>
            </w:r>
          </w:p>
        </w:tc>
        <w:tc>
          <w:tcPr>
            <w:tcW w:type="dxa" w:w="40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服务响应等级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M≥6.0</w:t>
            </w:r>
          </w:p>
        </w:tc>
        <w:tc>
          <w:tcPr>
            <w:tcW w:type="dxa" w:w="4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一级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5.0≤M&lt;6.0</w:t>
            </w:r>
          </w:p>
        </w:tc>
        <w:tc>
          <w:tcPr>
            <w:tcW w:type="dxa" w:w="4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二级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4.0≤M&lt;5.0</w:t>
            </w:r>
          </w:p>
        </w:tc>
        <w:tc>
          <w:tcPr>
            <w:tcW w:type="dxa" w:w="4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三级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3.0≤M&lt;4.0</w:t>
            </w:r>
          </w:p>
        </w:tc>
        <w:tc>
          <w:tcPr>
            <w:tcW w:type="dxa" w:w="4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四级</w:t>
            </w:r>
          </w:p>
        </w:tc>
      </w:tr>
    </w:tbl>
    <w:p/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上海属于长江流域大城市和人口密集地区。上级服务响应中的中深源降级条件按文件规定的深度大于70公里处理，不覆盖上海市预案规定的深度大于60公里制度响应条件。两个字段、计算规则和显示结果不得混用。</w:t>
      </w:r>
    </w:p>
    <w:p>
      <w:pPr>
        <w:pStyle w:val="Heading2"/>
      </w:pPr>
      <w:r>
        <w:t>4.3 人工触发与影响场方向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CENC未发布但上海地震台网已正式测定的地震，由授权人员手工输入事件信息并启动完整评估。人工事件必须填写发震时刻、经度、纬度、震级、震源深度和数据来源，可选填事件编号、正式报编号和参考地名。系统保存操作人、触发参数、关联报文和成果版本，并与CENC正式报使用同一套评估、制图、报告和任务规则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人工输入震中坐标后，自动匹配行政区、震中参考位置和距人民广场距离。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默认检索震中周边50公里范围内的活动断裂；检索半径可以在系统设置中调整。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有震源机制解时，优先采用震源机制解和地震影像场走向确定破裂方向。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没有震源机制解但有邻近断裂时，参考最近活动断裂的走向生成影响场长轴。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两者均缺失时生成不设定方向的圆形或椭圆形影响场，并明确标记“破裂方向待确认”。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手工触发界面、计算过程和最终图件保留统一事件编号，避免与同源CENC事件重复建案。</w:t>
      </w:r>
    </w:p>
    <w:p>
      <w:pPr>
        <w:pStyle w:val="Heading2"/>
      </w:pPr>
      <w:r>
        <w:t>4.4 通知和值守衔接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平台以站内消息、待办任务和大屏告警作为主通知方式。事件进入、响应建议生成、正式成果完成、任务临期或超时、数据源异常时自动通知相关工作组。短信、企业微信、邮件和电话作为后续适配渠道预留统一通知接口，外部渠道不可用时自动回落到站内消息，不阻塞评估和制图主流程。</w:t>
      </w:r>
    </w:p>
    <w:p>
      <w:pPr>
        <w:pStyle w:val="Heading1"/>
      </w:pPr>
      <w:r>
        <w:t>5 数据体系与数据管理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图2  数据到决策的评估链路</w:t>
      </w:r>
    </w:p>
    <w:p>
      <w:pPr>
        <w:pStyle w:val="Heading2"/>
      </w:pPr>
      <w:r>
        <w:t>5.1 数据组成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事件数据：自动速报、正式速报、修正报文、人工事件、测试和演练事件。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基础地理数据：行政边界、交通、水系、桥梁、铁路、机场、港口和隧道等。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承灾体数据：人口、房屋建筑、GDP、学校、医院、重点目标、危险源和文物等。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构造与历史数据：断层、活动断层、历史地震、地壳和场地条件。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成果数据：模型结果、图件、报告、任务附件、操作记录和版本记录。</w:t>
      </w:r>
    </w:p>
    <w:p>
      <w:pPr>
        <w:pStyle w:val="Heading2"/>
      </w:pPr>
      <w:r>
        <w:t>5.2 数据现状与缺口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现有上海应急基础数据2022.mdb已提供区县、乡镇、建筑、人口、经济、断层、历史地震、危险源、学校、医院、重点目标和交通设施等基础内容。但高层建筑面积、重置单价、室内财产单价、独立地铁、疏散场地、救援队伍、文物单位和建筑公里格网等仍不完整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600"/>
        <w:gridCol w:w="3226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数据类别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现状判断</w:t>
            </w:r>
          </w:p>
        </w:tc>
        <w:tc>
          <w:tcPr>
            <w:tcW w:type="dxa" w:w="3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首期处理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A类：现有基础或CENC可支撑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可自动生成大部分图表和评估输入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优先实现并用于验收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B类：需要公共数据补充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高德、天地图、政府公开数据</w:t>
            </w:r>
          </w:p>
        </w:tc>
        <w:tc>
          <w:tcPr>
            <w:tcW w:type="dxa" w:w="3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补齐并标记待复核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C类：需要聚合或模型派生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建筑公里格网等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按质量等级单独标识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D类：正式数据尚未提供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水库、站点等部分专题</w:t>
            </w:r>
          </w:p>
        </w:tc>
        <w:tc>
          <w:tcPr>
            <w:tcW w:type="dxa" w:w="3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生成缺数说明，不伪造数值</w:t>
            </w:r>
          </w:p>
        </w:tc>
      </w:tr>
    </w:tbl>
    <w:p/>
    <w:p>
      <w:pPr>
        <w:pStyle w:val="Heading2"/>
      </w:pPr>
      <w:r>
        <w:t>5.3 数据管理平台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数据目录：记录来源、许可、坐标系、更新时间、责任单位和质量等级。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数据导入：支持Shapefile、GeoJSON、GeoPackage、CSV、XLSX、GeoTIFF，MDB提供迁移工具。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质量校验：坐标、几何、重复、空值、字段、范围、编码和模型必需字段。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版本流转：上传、校验、预览、候选版本、复核、发布和回滚。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影响分析：显示数据更新影响哪些模型、图件、报告和大屏图层。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事件快照：事件启动后锁定数据版本，后续更新不影响运行中事件。</w:t>
      </w:r>
    </w:p>
    <w:p>
      <w:pPr>
        <w:pStyle w:val="Heading1"/>
      </w:pPr>
      <w:r>
        <w:t>6 灾害评估模型</w:t>
      </w:r>
    </w:p>
    <w:p>
      <w:pPr>
        <w:pStyle w:val="Heading2"/>
      </w:pPr>
      <w:r>
        <w:t>6.1 三套烈度结果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模型烈度：由震级、深度、距离、场地和衰减关系生成。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CENC仪器烈度：采用公开仪器烈度产品，反映测站观测。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融合烈度：综合测站密度、距离、观测质量；无仪器区域使用模型烈度。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仪器烈度产品不可用时，系统仍生成模型烈度，融合结果降级为模型主导并记录质量说明。原始模型烈度和仪器烈度均保留，避免单一来源偏差。</w:t>
      </w:r>
    </w:p>
    <w:p>
      <w:pPr>
        <w:pStyle w:val="Heading2"/>
      </w:pPr>
      <w:r>
        <w:t>6.2 损失评估对象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在融合烈度上叠加人口、房屋建筑、重点目标、交通、生命线、GDP等承灾体，计算建筑破坏、人员死亡、人员受伤、人员压埋、经济损失和救援、医疗、防疫、帐篷、饮水、厕所、衣物、棉被、食品、毛毯、担架、病床等资源需求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00"/>
        <w:gridCol w:w="3426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结果类型</w:t>
            </w:r>
          </w:p>
        </w:tc>
        <w:tc>
          <w:tcPr>
            <w:tcW w:type="dxa" w:w="3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输出内容</w:t>
            </w:r>
          </w:p>
        </w:tc>
        <w:tc>
          <w:tcPr>
            <w:tcW w:type="dxa" w:w="34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必须携带的元数据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建筑破坏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不同建筑类型和破坏状态面积</w:t>
            </w:r>
          </w:p>
        </w:tc>
        <w:tc>
          <w:tcPr>
            <w:tcW w:type="dxa" w:w="3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烈度、建筑数据、矩阵版本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人员伤亡</w:t>
            </w:r>
          </w:p>
        </w:tc>
        <w:tc>
          <w:tcPr>
            <w:tcW w:type="dxa" w:w="3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死亡、受伤、压埋中心和区间</w:t>
            </w:r>
          </w:p>
        </w:tc>
        <w:tc>
          <w:tcPr>
            <w:tcW w:type="dxa" w:w="3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人口、建筑破坏、模型参数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经济损失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直接经济损失和构成</w:t>
            </w:r>
          </w:p>
        </w:tc>
        <w:tc>
          <w:tcPr>
            <w:tcW w:type="dxa" w:w="3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价格、重置单价、室内财产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资源需求</w:t>
            </w:r>
          </w:p>
        </w:tc>
        <w:tc>
          <w:tcPr>
            <w:tcW w:type="dxa" w:w="3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救援力量和主要生活物资</w:t>
            </w:r>
          </w:p>
        </w:tc>
        <w:tc>
          <w:tcPr>
            <w:tcW w:type="dxa" w:w="3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伤亡、安置、城市类型系数</w:t>
            </w:r>
          </w:p>
        </w:tc>
      </w:tr>
    </w:tbl>
    <w:p/>
    <w:p>
      <w:pPr>
        <w:pStyle w:val="Heading2"/>
      </w:pPr>
      <w:r>
        <w:t>6.3 初始模型框架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建筑破坏：高层、钢筋混凝土、砌体、单层和其他五类建筑面积，乘烈度易损性矩阵和破坏比例。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死亡：deathRate = a × exp(b × (I + c)) × 倒塌面积 / 总面积。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受伤与安置：按烈度档位和死亡人数或人口比例计算。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压埋：五类建筑破坏面积乘系数并除以城市类型系数。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经济损失：建筑面积×易损性比例×损失比×重置单价 + 室内财产损失。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影响场：长轴和短轴采用衰减公式，结合邻近断裂和震源机制确定方向。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FFF8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模型边界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旧系统实际易损性矩阵、价格和参数不完整，因此新系统不承诺数值复现。参数从标准、论文、上海本地数据和历史事件中重建，并支持版本管理和后续校准。</w:t>
            </w:r>
          </w:p>
        </w:tc>
      </w:tr>
    </w:tbl>
    <w:p/>
    <w:p>
      <w:pPr>
        <w:pStyle w:val="Heading1"/>
      </w:pPr>
      <w:r>
        <w:t>7 专业成果与报告体系</w:t>
      </w:r>
    </w:p>
    <w:p>
      <w:pPr>
        <w:pStyle w:val="Heading2"/>
      </w:pPr>
      <w:r>
        <w:t>7.1 27类图件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4500"/>
        <w:gridCol w:w="3876"/>
      </w:tblGrid>
      <w:tr>
        <w:trPr>
          <w:tblHeader w:val="true"/>
        </w:trPr>
        <w:tc>
          <w:tcPr>
            <w:tcW w:type="dxa" w:w="6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序号</w:t>
            </w:r>
          </w:p>
        </w:tc>
        <w:tc>
          <w:tcPr>
            <w:tcW w:type="dxa" w:w="4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图件名称</w:t>
            </w:r>
          </w:p>
        </w:tc>
        <w:tc>
          <w:tcPr>
            <w:tcW w:type="dxa" w:w="38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数据成熟度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城区疏散场地分布图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地震影响场分布图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A类，模型和CENC自动生成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经济损失预估专题图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救援力量需求专题图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A类，资源需求模型生成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人员死亡预估分布图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人员受伤预估分布图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人员压埋预估分布图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8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物资需求预估专题图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A类，资源需求模型生成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震区GDP图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10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震区地震动峰值加速度区划图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震区交通图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A类，基础数据和本地底图生成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震区历史地震分布图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A类，历史地震目录生成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震区人口分布图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震区水库分布图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震区危险源分布图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震区学校分布图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震区医院分布图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18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震中附近地铁分布图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B类，高德或公开数据补齐，待复核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震中附近地震台站分布图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B类，权威数据补齐，待复核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20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震中附近活动断裂图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震中附近建筑物分布图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A类，行政区聚合展示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震中附近建筑物公里格网分布图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C类，模型聚合，按质量等级标识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震中附近救援队伍分布图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B类，公开或责任组数据补齐，待复核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震中附近文物单位分布图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震中附近重要目标分布图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震中位置分布图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A类，CENC自动生成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震中与主要城市距离分布图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A类，基础数据和空间计算生成</w:t>
            </w:r>
          </w:p>
        </w:tc>
      </w:tr>
    </w:tbl>
    <w:p/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中国地震局模板中的遥感影像图和不同幅面版本作为报送格式映射，不增加第28类图件。旧系统只实现专业版，其他简化版本不纳入首期。</w:t>
      </w:r>
    </w:p>
    <w:p>
      <w:pPr>
        <w:pStyle w:val="Heading2"/>
      </w:pPr>
      <w:r>
        <w:t>7.2 文档和演示稿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13"/>
        <w:gridCol w:w="4513"/>
      </w:tblGrid>
      <w:tr>
        <w:trPr>
          <w:tblHeader w:val="true"/>
        </w:trPr>
        <w:tc>
          <w:tcPr>
            <w:tcW w:type="dxa" w:w="451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核心成果</w:t>
            </w:r>
          </w:p>
        </w:tc>
        <w:tc>
          <w:tcPr>
            <w:tcW w:type="dxa" w:w="451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背景成果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地震灾害快速评估简报 DOCX</w:t>
            </w:r>
          </w:p>
        </w:tc>
        <w:tc>
          <w:tcPr>
            <w:tcW w:type="dxa" w:w="4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地震背景信息、震区房屋统计、震区经济信息、震区人口信息</w:t>
            </w:r>
          </w:p>
        </w:tc>
      </w:tr>
      <w:tr>
        <w:trPr>
          <w:cantSplit/>
        </w:trPr>
        <w:tc>
          <w:tcPr>
            <w:tcW w:type="dxa" w:w="4513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地震灾害快速评估专报 DOCX</w:t>
            </w:r>
          </w:p>
        </w:tc>
        <w:tc>
          <w:tcPr>
            <w:tcW w:type="dxa" w:w="4513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重点目标信息、震中空间距离分布、震区基本情况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辅助决策报告 DOCX</w:t>
            </w:r>
          </w:p>
        </w:tc>
        <w:tc>
          <w:tcPr>
            <w:tcW w:type="dxa" w:w="4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历史地震和灾害地震目录</w:t>
            </w:r>
          </w:p>
        </w:tc>
      </w:tr>
      <w:tr>
        <w:trPr>
          <w:cantSplit/>
        </w:trPr>
        <w:tc>
          <w:tcPr>
            <w:tcW w:type="dxa" w:w="4513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辅助决策报告 PPTX</w:t>
            </w:r>
          </w:p>
        </w:tc>
        <w:tc>
          <w:tcPr>
            <w:tcW w:type="dxa" w:w="4513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按模板配置自动填充</w:t>
            </w:r>
          </w:p>
        </w:tc>
      </w:tr>
    </w:tbl>
    <w:p/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正式事件成果无前缀，测试和演练成果带不可移除的“测试”或“演练”前缀。命名规则为：震中参考位置+震级+地震_成果名称_V版本_生成时间.扩展名。图件输出JPG或PNG，文档输出DOCX，演示稿输出PPTX，首期不输出PDF。</w:t>
      </w:r>
    </w:p>
    <w:p>
      <w:pPr>
        <w:pStyle w:val="Heading1"/>
      </w:pPr>
      <w:r>
        <w:t>8 工作组任务协同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工作组</w:t>
            </w:r>
          </w:p>
        </w:tc>
        <w:tc>
          <w:tcPr>
            <w:tcW w:type="dxa" w:w="68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平台内主要任务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新闻信息值守组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新闻信息、舆情动态、发布素材和稿件流转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监测预报组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正式速报、仪器烈度、震源机制、余震序列和异常核实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综合协调组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响应建议、领导指令、各组状态、重大事项和外部协调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震害评估组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快速评估、烈度与损失复核、断层资料、现场准备和后续评估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应急技术组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系统启动、自动任务、图件报告生成、大厅运维、网络通信和技术保障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后勤保障组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人员、车辆、物资、场地、通信和生活保障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中心站组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按预案和模板承接日常与震时成果流转</w:t>
            </w:r>
          </w:p>
        </w:tc>
      </w:tr>
    </w:tbl>
    <w:p/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任务默认分派到工作组，不自动指定个人。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系统自动成果直接显示为系统自动版，人工成果经组长或代理副组长确认后发布。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任务状态包括待接收、处理中、待确认、已完成、超时、不再需要和失败。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修正成果生成新版本，原成果和操作过程继续保留。</w:t>
      </w:r>
    </w:p>
    <w:p>
      <w:pPr>
        <w:pStyle w:val="Heading1"/>
      </w:pPr>
      <w:r>
        <w:t>9 指挥大厅设计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应急指挥大厅面向局领导、综合协调和全部工作组，承担事件总览、任务协同和成果集中展示。整屏显示面积为29.16平方米，整屏分辨率为7680×2430。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事件态势：T0、T1、震中、震级、深度、影响范围和响应建议。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任务进度：7个工作组任务状态、时限、超时和成果数量。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评估成果：烈度、建筑破坏、人员伤亡、经济损失和资源需求。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地图联动：专题图、历史事件、断裂带、重点目标和空间查询。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消息通知：站内消息和系统告警，外部渠道预留接口。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EE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界面边界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只支持桌面和大屏，不开发手机端。所有元素在7680×2430下不得重叠、溢出或遮挡关键信息。</w:t>
            </w:r>
          </w:p>
        </w:tc>
      </w:tr>
    </w:tbl>
    <w:p/>
    <w:p>
      <w:pPr>
        <w:pStyle w:val="Heading1"/>
      </w:pPr>
      <w:r>
        <w:t>10 系统总体架构与技术路线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图3  系统总体逻辑架构</w:t>
      </w:r>
    </w:p>
    <w:p>
      <w:pPr>
        <w:pStyle w:val="Heading2"/>
      </w:pPr>
      <w:r>
        <w:t>10.1 架构选择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首期采用模块化单体和异步任务编排，模块间通过明确接口通信。这样可以在单机上降低部署和运维复杂度，同时保留将事件、评估、制图、报告和任务模块拆分为独立服务的可能。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00"/>
        <w:gridCol w:w="3826"/>
      </w:tblGrid>
      <w:tr>
        <w:trPr>
          <w:tblHeader w:val="true"/>
        </w:trPr>
        <w:tc>
          <w:tcPr>
            <w:tcW w:type="dxa" w:w="1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层级</w:t>
            </w:r>
          </w:p>
        </w:tc>
        <w:tc>
          <w:tcPr>
            <w:tcW w:type="dxa" w:w="3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组件</w:t>
            </w:r>
          </w:p>
        </w:tc>
        <w:tc>
          <w:tcPr>
            <w:tcW w:type="dxa" w:w="38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主要职责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前端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React、TypeScript、Vite、MapLibre、ECharts</w:t>
            </w:r>
          </w:p>
        </w:tc>
        <w:tc>
          <w:tcPr>
            <w:tcW w:type="dxa" w:w="3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事件控制台、地图、任务和大屏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后端</w:t>
            </w:r>
          </w:p>
        </w:tc>
        <w:tc>
          <w:tcPr>
            <w:tcW w:type="dxa" w:w="3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FastAPI</w:t>
            </w:r>
          </w:p>
        </w:tc>
        <w:tc>
          <w:tcPr>
            <w:tcW w:type="dxa" w:w="3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事件、数据、评估、任务、知识和接口服务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数据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PostgreSQL、PostGIS、pgvector</w:t>
            </w:r>
          </w:p>
        </w:tc>
        <w:tc>
          <w:tcPr>
            <w:tcW w:type="dxa" w:w="3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事务、空间分析和知识向量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编排</w:t>
            </w:r>
          </w:p>
        </w:tc>
        <w:tc>
          <w:tcPr>
            <w:tcW w:type="dxa" w:w="3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Temporal</w:t>
            </w:r>
          </w:p>
        </w:tc>
        <w:tc>
          <w:tcPr>
            <w:tcW w:type="dxa" w:w="3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自动流程、并行任务、重试和超时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存储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SeaweedFS</w:t>
            </w:r>
          </w:p>
        </w:tc>
        <w:tc>
          <w:tcPr>
            <w:tcW w:type="dxa" w:w="3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原始报文、图件、报告和附件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空间服务</w:t>
            </w:r>
          </w:p>
        </w:tc>
        <w:tc>
          <w:tcPr>
            <w:tcW w:type="dxa" w:w="3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Martin、PMTiles/MBTiles</w:t>
            </w:r>
          </w:p>
        </w:tc>
        <w:tc>
          <w:tcPr>
            <w:tcW w:type="dxa" w:w="3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本地矢量切片和专题图层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制图文档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Playwright、python-docx、python-pptx、Matplotlib</w:t>
            </w:r>
          </w:p>
        </w:tc>
        <w:tc>
          <w:tcPr>
            <w:tcW w:type="dxa" w:w="3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图件和报告生产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运维</w:t>
            </w:r>
          </w:p>
        </w:tc>
        <w:tc>
          <w:tcPr>
            <w:tcW w:type="dxa" w:w="3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Prometheus、Grafana、Loki</w:t>
            </w:r>
          </w:p>
        </w:tc>
        <w:tc>
          <w:tcPr>
            <w:tcW w:type="dxa" w:w="3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监控、日志和告警</w:t>
            </w:r>
          </w:p>
        </w:tc>
      </w:tr>
    </w:tbl>
    <w:p/>
    <w:p>
      <w:pPr>
        <w:pStyle w:val="Heading2"/>
      </w:pPr>
      <w:r>
        <w:t>10.2 关键设计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事件启动时锁定事件、烈度、数据、模型、模板和知识库快照。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真实事件优先级高于测试和演练任务，单个任务失败不阻塞其他成果。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底图、字体、模板、浏览器进程和空间索引预热，满足T1+5分钟硬约束。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高德地图为主、天地图备用；正式出图使用本地底图缓存。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外部在线模型只用于知识问答，内网阶段可切换到本地Ollama。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图4  模块化单体与部署边界</w:t>
      </w:r>
    </w:p>
    <w:p>
      <w:pPr>
        <w:pStyle w:val="Heading2"/>
      </w:pPr>
      <w:r>
        <w:t>10.3 公开资料与技术调研结论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方案调研了近年快速评估、损失评估和应急制图论文，国内外公开系统以及相关专利方向。调研结论是采用成熟方法组合和自主可控的数据链，不直接嵌入许可证不兼容的灾害计算引擎。USGS PAGER和ShakeMap用于产品组织、影响圈和烈度表达的方法借鉴；OpenQuake仅用于离线校核；上海本地模型、参数和制图模板独立建设。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200"/>
        <w:gridCol w:w="2726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调研方向</w:t>
            </w:r>
          </w:p>
        </w:tc>
        <w:tc>
          <w:tcPr>
            <w:tcW w:type="dxa" w:w="4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代表资料</w:t>
            </w:r>
          </w:p>
        </w:tc>
        <w:tc>
          <w:tcPr>
            <w:tcW w:type="dxa" w:w="27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本方案采纳方式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人员伤亡和损失评估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《地震人员伤亡评估方法及损失评估系统综述》（2021）；《Developing a rapid assessment framework for China earthquake》（2024）</w:t>
            </w:r>
          </w:p>
        </w:tc>
        <w:tc>
          <w:tcPr>
            <w:tcW w:type="dxa" w:w="2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采用可解释参数模型，输出中心值、区间和质量等级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快速评估和应急制图</w:t>
            </w:r>
          </w:p>
        </w:tc>
        <w:tc>
          <w:tcPr>
            <w:tcW w:type="dxa" w:w="4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离线式地震灾害快速评估与应急制图系统（2023）；基于ShakeMap的建筑物灾害快速评估系统（2024）</w:t>
            </w:r>
          </w:p>
        </w:tc>
        <w:tc>
          <w:tcPr>
            <w:tcW w:type="dxa" w:w="27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本地快照、并行计算、模板制图和断网降级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多源动态评估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定日6.8级地震多源信息动态评估（2025）；Tingri建筑损失快速评估（2025）</w:t>
            </w:r>
          </w:p>
        </w:tc>
        <w:tc>
          <w:tcPr>
            <w:tcW w:type="dxa" w:w="2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模型烈度与仪器烈度并行、融合并保留来源差异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专利技术方向</w:t>
            </w:r>
          </w:p>
        </w:tc>
        <w:tc>
          <w:tcPr>
            <w:tcW w:type="dxa" w:w="4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大震灾情快速评估、固定资本存量经济损失评估、生命线工程损失评估等专利方向</w:t>
            </w:r>
          </w:p>
        </w:tc>
        <w:tc>
          <w:tcPr>
            <w:tcW w:type="dxa" w:w="27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仅借鉴技术边界和评价思路，不假定可直接使用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GitHub开源项目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OpenQuake、USGS PAGER、ShakeMap、earthquake-impact-utils</w:t>
            </w:r>
          </w:p>
        </w:tc>
        <w:tc>
          <w:tcPr>
            <w:tcW w:type="dxa" w:w="2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用于离线校核、方法验证和接口研究，不把AGPL组件嵌入核心平台</w:t>
            </w:r>
          </w:p>
        </w:tc>
      </w:tr>
    </w:tbl>
    <w:p/>
    <w:p>
      <w:pPr>
        <w:pStyle w:val="Heading1"/>
      </w:pPr>
      <w:r>
        <w:t>11 AI知识问答与地图联动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AI定位为专业检索、确定性计算和地图联动工具，不作为决策责任主体。领导可以询问震中附近断裂、历史地震、人口、重点目标、响应条件和已有成果等问题。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200"/>
        <w:gridCol w:w="3226"/>
      </w:tblGrid>
      <w:tr>
        <w:trPr>
          <w:tblHeader w:val="true"/>
        </w:trPr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4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首期范围</w:t>
            </w:r>
          </w:p>
        </w:tc>
        <w:tc>
          <w:tcPr>
            <w:tcW w:type="dxa" w:w="3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限制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文字问答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自然语言提问、表格和结论摘要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不做语音和图片识别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空间计算</w:t>
            </w:r>
          </w:p>
        </w:tc>
        <w:tc>
          <w:tcPr>
            <w:tcW w:type="dxa" w:w="4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距离、缓冲区、历史地震和行政区查询</w:t>
            </w:r>
          </w:p>
        </w:tc>
        <w:tc>
          <w:tcPr>
            <w:tcW w:type="dxa" w:w="3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由PostGIS计算，不由模型编造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地图联动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高亮震中、断裂、历史事件和重点目标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不直接生成坐标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知识检索</w:t>
            </w:r>
          </w:p>
        </w:tc>
        <w:tc>
          <w:tcPr>
            <w:tcW w:type="dxa" w:w="4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预案、规章、历史成果和授权知识库</w:t>
            </w:r>
          </w:p>
        </w:tc>
        <w:tc>
          <w:tcPr>
            <w:tcW w:type="dxa" w:w="3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回答显示来源、时间和口径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外网检索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自动检索可验证的官方来源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非官方资料入候选库，审核后使用</w:t>
            </w:r>
          </w:p>
        </w:tc>
      </w:tr>
    </w:tbl>
    <w:p/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FFF8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AI边界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没有可靠依据时明确回答现有资料无法确认。AI不替代领导启动制度响应，不发布命令，不形成对外结论。</w:t>
            </w:r>
          </w:p>
        </w:tc>
      </w:tr>
    </w:tbl>
    <w:p/>
    <w:p>
      <w:pPr>
        <w:pStyle w:val="Heading1"/>
      </w:pPr>
      <w:r>
        <w:t>12 测试、演练与运行维护</w:t>
      </w:r>
    </w:p>
    <w:p>
      <w:pPr>
        <w:pStyle w:val="Heading2"/>
      </w:pPr>
      <w:r>
        <w:t>12.1 测试与演练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每天随机时间自动触发一次测试地震，同时支持人工触发。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上海市行政区域内5.0至5.9级测试事件完整生成全部27类图件和报告。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测试和演练成果带不可移除标识，真实事件到达时自动暂停测试任务。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测试事件和成果保留400天，演练事件和成果保留2年，正式事件长期保留。</w:t>
      </w:r>
    </w:p>
    <w:p>
      <w:pPr>
        <w:pStyle w:val="Heading2"/>
      </w:pPr>
      <w:r>
        <w:t>12.2 监控与异常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监控报文接入、任务队列、模型、制图、报告、数据库、对象存储、磁盘和服务器资源。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数据源或外部服务中断时重试并记录缺口，不生成虚构事件和结果。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单个模型、地图或报告失败时隔离并重试，通知应急技术组。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通知渠道异常时回落到站内消息，不阻塞评估和制图主流程。</w:t>
      </w:r>
    </w:p>
    <w:p>
      <w:pPr>
        <w:pStyle w:val="Heading1"/>
      </w:pPr>
      <w:r>
        <w:t>13 安全、备份与审计</w:t>
      </w:r>
    </w:p>
    <w:p>
      <w:pPr>
        <w:pStyle w:val="Heading2"/>
      </w:pPr>
      <w:r>
        <w:t>13.1 身份与权限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使用本地账号体系，按局领导、组长、代理副组长、组员、数据人员和超级管理员划分权限。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按用户要求不启用二次验证，高风险操作不进行密码复验，不强制填写原因。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超级管理员可以覆盖错误成果、直接重新发布，并彻底删除原始报文、报告和日志。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普通操作保留操作人、时间、对象和结果；所有版本和快照保留追溯关系。</w:t>
      </w:r>
    </w:p>
    <w:p>
      <w:pPr>
        <w:pStyle w:val="Heading2"/>
      </w:pPr>
      <w:r>
        <w:t>13.2 部署和备份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226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方案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首期环境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Z440单机外网环境，Docker Compose部署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系统盘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C: 约1TB SSD，用于系统和基础软件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热数据盘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D: 约2TB SSD，用于数据库、对象存储、底图缓存和短期成果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备份盘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新增4TB HDD，压缩、去重和增量备份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每日备份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增量保留30天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每月备份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完整恢复点保留12个月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恢复验证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每月执行一次真实恢复验证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容量保护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热数据盘告警，备份盘至少保留15%空闲空间</w:t>
            </w:r>
          </w:p>
        </w:tc>
      </w:tr>
    </w:tbl>
    <w:p/>
    <w:p>
      <w:pPr>
        <w:pStyle w:val="Heading1"/>
      </w:pPr>
      <w:r>
        <w:t>14 实施阶段与任务拆分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设计规格覆盖多个可以独立测试的子系统，不能用一个实施计划一次性完成。实施按“先主链路、再数据、再模型、再成果、再协同、最后智能化和运维”的顺序推进，每个阶段都形成可运行、可测试的成果。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600"/>
        <w:gridCol w:w="5326"/>
      </w:tblGrid>
      <w:tr>
        <w:trPr>
          <w:tblHeader w:val="true"/>
        </w:trPr>
        <w:tc>
          <w:tcPr>
            <w:tcW w:type="dxa" w:w="1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子系统</w:t>
            </w:r>
          </w:p>
        </w:tc>
        <w:tc>
          <w:tcPr>
            <w:tcW w:type="dxa" w:w="53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主要交付物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事件接入基础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CENC事件、修订、两级响应、认证和事件控制台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阶段2</w:t>
            </w:r>
          </w:p>
        </w:tc>
        <w:tc>
          <w:tcPr>
            <w:tcW w:type="dxa" w:w="2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数据资产管理</w:t>
            </w:r>
          </w:p>
        </w:tc>
        <w:tc>
          <w:tcPr>
            <w:tcW w:type="dxa" w:w="53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数据目录、导入校验、版本发布、回滚和快照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灾害评估引擎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烈度融合、建筑破坏、伤亡、经济和资源需求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阶段4</w:t>
            </w:r>
          </w:p>
        </w:tc>
        <w:tc>
          <w:tcPr>
            <w:tcW w:type="dxa" w:w="2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制图和报告</w:t>
            </w:r>
          </w:p>
        </w:tc>
        <w:tc>
          <w:tcPr>
            <w:tcW w:type="dxa" w:w="53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27类图件、4类核心文档、8类背景文档和5分钟基准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任务协同和指挥大厅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7组任务、时限、上传确认、大屏和通知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阶段6</w:t>
            </w:r>
          </w:p>
        </w:tc>
        <w:tc>
          <w:tcPr>
            <w:tcW w:type="dxa" w:w="2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AI知识问答</w:t>
            </w:r>
          </w:p>
        </w:tc>
        <w:tc>
          <w:tcPr>
            <w:tcW w:type="dxa" w:w="53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知识库、引用、空间工具、地图联动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阶段7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测试运维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每日测试、演练、监控、备份和恢复验证</w:t>
            </w:r>
          </w:p>
        </w:tc>
      </w:tr>
    </w:tbl>
    <w:p/>
    <w:p>
      <w:pPr>
        <w:pStyle w:val="Heading2"/>
      </w:pPr>
      <w:r>
        <w:t>14.1 首期实施优先顺序</w:t>
      </w:r>
    </w:p>
    <w:p>
      <w:pPr>
        <w:pStyle w:val="ListNumber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先建立事件、报文、修订和响应规则，使真实事件能够稳定进入平台。</w:t>
      </w:r>
    </w:p>
    <w:p>
      <w:pPr>
        <w:pStyle w:val="ListNumber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再建立数据资产和快照，确保模型和制图有稳定输入。</w:t>
      </w:r>
    </w:p>
    <w:p>
      <w:pPr>
        <w:pStyle w:val="ListNumber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随后并行开发评估引擎和制图报告，尽早验证T1+5分钟性能。</w:t>
      </w:r>
    </w:p>
    <w:p>
      <w:pPr>
        <w:pStyle w:val="ListNumber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评估主链路稳定后接入7组任务和指挥大厅。</w:t>
      </w:r>
    </w:p>
    <w:p>
      <w:pPr>
        <w:pStyle w:val="ListNumber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最后接入AI问答、通知适配和完整运维测试。</w:t>
      </w:r>
    </w:p>
    <w:p>
      <w:pPr>
        <w:pStyle w:val="Heading1"/>
      </w:pPr>
      <w:r>
        <w:t>15 首期验收标准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自动速报建立待定事件，正式速报触发评估，手工、测试和演练事件独立运行。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上海市行政区域内一次5.0至5.9级测试地震，从T1到全部27类图件、4类核心成果和8类背景文档完成，不超过5分钟。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自动、正式和修正报文乱序或重复到达时能够去重、合并和生成修订版。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升级补任务，降级取消未开始任务，历史成果和过程记录不丢失。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数据源、模型、地图、存储、通知和单任务失败时能够隔离、告警并继续完成其他成果。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7个工作组完成任务接收、成果上传、组长或代理副组长确认、版本查看和大屏展示。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数据导入、校验、候选版本、发布、回滚、更新提醒和事件快照正常工作。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AI能够完成断层距离、历史地震、人口、行政区和成果统计问题并联动地图，无依据时不编造。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真实事件与测试或演练并发时，真实事件优先。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每日随机测试、手工测试、成果保留、超级管理员覆盖和删除规则符合要求。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每日增量、每月完整备份和恢复验证正常，不影响正式事件。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大屏在7680×2430下无重叠、溢出和关键内容遮挡。</w:t>
      </w:r>
    </w:p>
    <w:p>
      <w:pPr>
        <w:pStyle w:val="Heading1"/>
      </w:pPr>
      <w:r>
        <w:t>16 风险、依赖与应对措施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800"/>
        <w:gridCol w:w="3926"/>
      </w:tblGrid>
      <w:tr>
        <w:trPr>
          <w:tblHeader w:val="true"/>
        </w:trPr>
        <w:tc>
          <w:tcPr>
            <w:tcW w:type="dxa" w:w="2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风险或依赖</w:t>
            </w:r>
          </w:p>
        </w:tc>
        <w:tc>
          <w:tcPr>
            <w:tcW w:type="dxa" w:w="2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影响</w:t>
            </w:r>
          </w:p>
        </w:tc>
        <w:tc>
          <w:tcPr>
            <w:tcW w:type="dxa" w:w="39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应对措施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旧系统参数缺失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无法完全复现旧结果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重建参数库，按标准、论文和本地数据校准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基础数据缺口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部分图层不能达到正式精度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公开数据补充并标记待复核，正式数据到位后替换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外部接口中断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短时缺少上游事件或地图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重试、缺口记录、本地缓存和人工触发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5分钟出图压力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并行任务和渲染可能超时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预热的底图、模板、浏览器和任务优先级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模型不确定性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伤亡和经济损失存在误差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输出区间、质量等级、版本和复核状态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AI幻觉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错误空间或统计结论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空间计算工具化，知识回答必须给来源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备份空间不足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无法保留完整恢复点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容量阈值、压缩去重、停止覆盖并告警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未来多地区部署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区域和组织耦合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区域、组织、模板、数据和来源全部配置化</w:t>
            </w:r>
          </w:p>
        </w:tc>
      </w:tr>
    </w:tbl>
    <w:p/>
    <w:p>
      <w:pPr>
        <w:pStyle w:val="Heading1"/>
      </w:pPr>
      <w:r>
        <w:t>17 结论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本方案将上海市地震局震后应急评估和辅助决策拆分为事件接入、数据管理、评估模型、制图报告、任务协同、指挥大厅、AI问答和运维测试几个可独立验收的子系统，先完成真实事件到专业成果的主链路，再逐步扩展区级和多省份部署能力。方案既满足正式速报后快速出成果的要求，也为后续数据、模型和业务规模增长保留清晰边界。</w:t>
      </w:r>
    </w:p>
    <w:p>
      <w:pPr>
        <w:pStyle w:val="Heading2"/>
      </w:pPr>
      <w:r>
        <w:t>17.1 后续演进路线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接入内网EQIM、正式仪器烈度系统以及正式发布的震源机制、余震目录和台站数据。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接入现场灾情、遥感解译、无人机和现场工作队成果，形成快速评估后的动态复核能力。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以真实事件和历史演练积累校准易损性矩阵、人员伤亡系数、价格和资源需求参数。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接入企业微信、邮件、电话等通知渠道，并保留统一通知日志和渠道降级机制。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把区域边界、组织机构、数据来源、模型参数、报告模板和通知渠道全部配置化，支持区级和兄弟省份独立部署。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内网阶段关闭自动联网检索，继续使用本地知识库、离线模型和受控增量更新。</w:t>
      </w:r>
    </w:p>
    <w:p>
      <w:r>
        <w:br w:type="page"/>
      </w:r>
    </w:p>
    <w:p>
      <w:pPr>
        <w:pStyle w:val="Heading1"/>
      </w:pPr>
      <w:r>
        <w:t>附录A  27类图件清单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4500"/>
        <w:gridCol w:w="3876"/>
      </w:tblGrid>
      <w:tr>
        <w:trPr>
          <w:tblHeader w:val="true"/>
        </w:trPr>
        <w:tc>
          <w:tcPr>
            <w:tcW w:type="dxa" w:w="6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序号</w:t>
            </w:r>
          </w:p>
        </w:tc>
        <w:tc>
          <w:tcPr>
            <w:tcW w:type="dxa" w:w="4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图件名称</w:t>
            </w:r>
          </w:p>
        </w:tc>
        <w:tc>
          <w:tcPr>
            <w:tcW w:type="dxa" w:w="38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首期处理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城区疏散场地分布图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地震影响场分布图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A类，模型和CENC自动生成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经济损失预估专题图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救援力量需求专题图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A类，资源需求模型生成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人员死亡预估分布图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人员受伤预估分布图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人员压埋预估分布图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8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物资需求预估专题图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A类，资源需求模型生成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震区GDP图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10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震区地震动峰值加速度区划图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震区交通图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A类，基础数据和本地底图生成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震区历史地震分布图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A类，历史地震目录生成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震区人口分布图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震区水库分布图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震区危险源分布图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震区学校分布图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震区医院分布图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18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震中附近地铁分布图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B类，高德或公开数据补齐，待复核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震中附近地震台站分布图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B类，权威数据补齐，待复核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20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震中附近活动断裂图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震中附近建筑物分布图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A类，行政区聚合展示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震中附近建筑物公里格网分布图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C类，模型聚合，按质量等级标识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震中附近救援队伍分布图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B类，公开或责任组数据补齐，待复核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震中附近文物单位分布图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震中附近重要目标分布图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震中位置分布图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A类，CENC自动生成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震中与主要城市距离分布图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A类，基础数据和空间计算生成</w:t>
            </w:r>
          </w:p>
        </w:tc>
      </w:tr>
    </w:tbl>
    <w:p/>
    <w:p>
      <w:pPr>
        <w:pStyle w:val="Heading1"/>
      </w:pPr>
      <w:r>
        <w:t>附录B  7个工作组任务边界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工作组</w:t>
            </w:r>
          </w:p>
        </w:tc>
        <w:tc>
          <w:tcPr>
            <w:tcW w:type="dxa" w:w="68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任务边界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新闻信息值守组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新闻信息收集、舆情动态、发布素材和稿件流转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监测预报组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正式速报、仪器烈度、震源机制、余震序列和异常核实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综合协调组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响应建议、领导指令、各组状态、重大事项和外部协调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震害评估组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快速评估、烈度与损失复核、断层资料和现场准备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应急技术组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系统、自动任务、图件报告、大厅运维、网络通信和技术保障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后勤保障组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人员、车辆、物资、场地、通信和生活保障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中心站组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预案赋予中心站的任务和日常、震时成果流转</w:t>
            </w:r>
          </w:p>
        </w:tc>
      </w:tr>
    </w:tbl>
    <w:p/>
    <w:p>
      <w:pPr>
        <w:pStyle w:val="Heading1"/>
      </w:pPr>
      <w:r>
        <w:t>附录C  主要依据与参考材料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上海市地震局地震应急预案（2026年版）。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中国地震局地震应急服务响应等级（暂行）。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GB/T 17742-2020 中国地震烈度表。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GB/T 18208.4-2011 地震现场工作第4部分：灾害直接损失评估。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旧系统专业版文档和图件模板。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USGS PAGER、ShakeMap和公开地震快速评估研究。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GitHub开源项目仅用于方法借鉴和离线校核，不嵌入不兼容许可证组件。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EE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文档结束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本方案用于内部需求确认和后续实施计划编制，不替代正式制度响应、应急预案和对外报送文件。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F6B7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5F6B76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5F6B76"/>
        <w:sz w:val="17"/>
      </w:rPr>
      <w:t>上海市地震应急评估与辅助决策系统  |  详细方案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Microsoft YaHei" w:hAnsi="Microsoft YaHei" w:eastAsia="Microsoft YaHei"/>
      <w:b w:val="0"/>
      <w:color w:val="2431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90" w:lineRule="auto"/>
      <w:contextualSpacing/>
    </w:pPr>
    <w:rPr>
      <w:rFonts w:ascii="Microsoft YaHei" w:hAnsi="Microsoft YaHei" w:eastAsia="Microsoft YaHei"/>
      <w:b w:val="0"/>
      <w:color w:val="24313D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90" w:lineRule="auto"/>
      <w:contextualSpacing/>
    </w:pPr>
    <w:rPr>
      <w:rFonts w:ascii="Microsoft YaHei" w:hAnsi="Microsoft YaHei" w:eastAsia="Microsoft YaHei"/>
      <w:b w:val="0"/>
      <w:color w:val="24313D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