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5F"/>
          <w:sz w:val="44"/>
          <w:szCs w:val="44"/>
        </w:rPr>
        <w:t xml:space="preserve">MÉMOIRE TECHNIQUE</w:t>
      </w:r>
    </w:p>
    <w:p>
      <w:pPr>
        <w:spacing w:after="400"/>
        <w:jc w:val="center"/>
      </w:pPr>
      <w:r>
        <w:rPr>
          <w:i/>
          <w:iCs/>
          <w:color w:val="666666"/>
          <w:sz w:val="24"/>
          <w:szCs w:val="24"/>
        </w:rPr>
        <w:t xml:space="preserve">Réponse à l'appel d'offres</w:t>
      </w:r>
    </w:p>
    <w:p>
      <w:pPr>
        <w:spacing w:after="120"/>
        <w:jc w:val="center"/>
      </w:pPr>
      <w:r>
        <w:rPr>
          <w:b/>
          <w:bCs/>
          <w:i w:val="false"/>
          <w:iCs w:val="false"/>
        </w:rPr>
        <w:t xml:space="preserve">2027 MAPA Formations Trajectoires — Lots 2, 3 et 4</w:t>
      </w:r>
    </w:p>
    <w:p>
      <w:pPr>
        <w:spacing w:after="120"/>
        <w:jc w:val="center"/>
      </w:pPr>
      <w:r>
        <w:rPr>
          <w:b w:val="false"/>
          <w:bCs w:val="false"/>
          <w:i w:val="false"/>
          <w:iCs w:val="false"/>
        </w:rPr>
        <w:t xml:space="preserve">Auvergne Rhône-Alpes Tourisme</w:t>
      </w:r>
    </w:p>
    <w:p>
      <w:pPr>
        <w:spacing w:after="120"/>
        <w:jc w:val="center"/>
      </w:pPr>
      <w:r>
        <w:rPr>
          <w:b w:val="false"/>
          <w:bCs w:val="false"/>
          <w:i w:val="false"/>
          <w:iCs w:val="false"/>
        </w:rPr>
        <w:t xml:space="preserve">Référence de la consultation : BOAMP idweb:26-75498</w:t>
      </w:r>
    </w:p>
    <w:p>
      <w:pPr>
        <w:spacing w:after="120"/>
        <w:jc w:val="center"/>
      </w:pPr>
      <w:r>
        <w:rPr>
          <w:b w:val="false"/>
          <w:bCs w:val="false"/>
          <w:i w:val="false"/>
          <w:iCs w:val="false"/>
        </w:rPr>
        <w:t xml:space="preserve">Date limite de remise des offres : 03/09/2026</w:t>
      </w:r>
    </w:p>
    <w:p>
      <w:pPr>
        <w:spacing w:after="120"/>
        <w:jc w:val="center"/>
      </w:pPr>
      <w:r>
        <w:rPr>
          <w:b/>
          <w:bCs/>
          <w:i w:val="false"/>
          <w:iCs w:val="false"/>
        </w:rPr>
        <w:t xml:space="preserve">Lot(s) concerné(s) : Lot 2 (Communication — photos et vidéos 100% smartphone), Lot 3 (Réseaux sociaux — campagnes publicitaires), Lot 4 (Réseaux sociaux — stratégie)</w:t>
      </w:r>
    </w:p>
    <w:p>
      <w:pPr>
        <w:spacing w:after="300"/>
      </w:pPr>
    </w:p>
    <w:p>
      <w:pPr>
        <w:spacing w:after="120"/>
        <w:jc w:val="center"/>
      </w:pPr>
      <w:r>
        <w:rPr>
          <w:b/>
          <w:bCs/>
          <w:i w:val="false"/>
          <w:iCs w:val="false"/>
        </w:rPr>
        <w:t xml:space="preserve">Candidat</w:t>
      </w:r>
    </w:p>
    <w:p>
      <w:pPr>
        <w:spacing w:after="120"/>
        <w:jc w:val="center"/>
      </w:pPr>
      <w:r>
        <w:rPr>
          <w:b w:val="false"/>
          <w:bCs w:val="false"/>
          <w:i w:val="false"/>
          <w:iCs w:val="false"/>
        </w:rPr>
        <w:t xml:space="preserve">Samuel Perez — Vidéaste, photographe et conseil en communication</w:t>
      </w:r>
    </w:p>
    <w:p>
      <w:pPr>
        <w:spacing w:after="120"/>
        <w:jc w:val="center"/>
      </w:pPr>
      <w:r>
        <w:rPr>
          <w:b w:val="false"/>
          <w:bCs w:val="false"/>
          <w:i w:val="false"/>
          <w:iCs w:val="false"/>
        </w:rPr>
        <w:t xml:space="preserve">Entrepreneur individuel (micro-entreprise) — SIRET 903 236 578 00022</w:t>
      </w:r>
    </w:p>
    <w:p>
      <w:pPr>
        <w:spacing w:after="120"/>
        <w:jc w:val="center"/>
      </w:pPr>
      <w:r>
        <w:rPr>
          <w:b w:val="false"/>
          <w:bCs w:val="false"/>
          <w:i w:val="false"/>
          <w:iCs w:val="false"/>
        </w:rPr>
        <w:t xml:space="preserve">samuelperez.fr — contact@samuelperez.fr — 06 44 31 65 15</w:t>
      </w:r>
    </w:p>
    <w:p>
      <w:r>
        <w:br w:type="page"/>
      </w:r>
    </w:p>
    <w:p>
      <w:pPr>
        <w:pStyle w:val="Heading1"/>
        <w:spacing w:after="140" w:before="280"/>
      </w:pPr>
      <w:r>
        <w:t xml:space="preserve">1. Présentation du candidat</w:t>
      </w:r>
    </w:p>
    <w:p>
      <w:pPr>
        <w:pStyle w:val="Heading2"/>
        <w:spacing w:after="140" w:before="280"/>
      </w:pPr>
      <w:r>
        <w:t xml:space="preserve">Identité et positionnement</w:t>
      </w:r>
    </w:p>
    <w:p>
      <w:pPr>
        <w:spacing w:after="120"/>
      </w:pPr>
      <w:r>
        <w:rPr>
          <w:b w:val="false"/>
          <w:bCs w:val="false"/>
          <w:i w:val="false"/>
          <w:iCs w:val="false"/>
        </w:rPr>
        <w:t xml:space="preserve">Samuel Perez est vidéaste, photographe et conseil en communication basé à Lyon, avec une double compétence audiovisuel et marketing/communication qui le positionne naturellement sur une approche "stratégie avant l'image". Cette double compétence répond directement aux enjeux des lots 2 à 4 du programme Trajectoires : former des professionnels du tourisme, souvent non spécialistes, à produire des contenus photo/vidéo pertinents avec un simple smartphone et à structurer une stratégie de présence sur les réseaux sociaux, y compris publicitaire. Le candidat conçoit et anime ce type de contenu pédagogique en s'appuyant sur sa pratique quotidienne de la production de contenus pour des clients aux profils variés (PME, associations, marques).</w:t>
      </w:r>
    </w:p>
    <w:p>
      <w:pPr>
        <w:pStyle w:val="Heading2"/>
        <w:spacing w:after="140" w:before="280"/>
      </w:pPr>
      <w:r>
        <w:t xml:space="preserve">Statut et structure</w:t>
      </w:r>
    </w:p>
    <w:p>
      <w:pPr>
        <w:spacing w:after="120"/>
      </w:pPr>
      <w:r>
        <w:rPr>
          <w:b w:val="false"/>
          <w:bCs w:val="false"/>
          <w:i w:val="false"/>
          <w:iCs w:val="false"/>
        </w:rPr>
        <w:t xml:space="preserve">Entrepreneur individuel (micro-entreprise), régime spécial BNC. Activité créée le 12/08/2024 (Guichet unique, n° J00086978699). Zone d'intervention géographique : Lyon / Auvergne-Rhône-Alpes en priorité, national si déplacement ponctuel raisonnable.</w:t>
      </w:r>
    </w:p>
    <w:p>
      <w:pPr>
        <w:pStyle w:val="Heading2"/>
        <w:spacing w:after="140" w:before="280"/>
      </w:pPr>
      <w:r>
        <w:t xml:space="preserve">Références similaires</w:t>
      </w:r>
    </w:p>
    <w:p>
      <w:pPr>
        <w:pStyle w:val="ListParagraph"/>
        <w:numPr>
          <w:ilvl w:val="0"/>
          <w:numId w:val="1"/>
        </w:numPr>
        <w:spacing w:after="60"/>
      </w:pPr>
      <w:r>
        <w:rPr>
          <w:b/>
          <w:bCs/>
        </w:rPr>
        <w:t xml:space="preserve">Araïko — </w:t>
      </w:r>
      <w:r>
        <w:t xml:space="preserve">Série de vidéos de témoignages clients pour une PME cherchant à asseoir sa crédibilité par la preuve plutôt que par le discours.</w:t>
      </w:r>
    </w:p>
    <w:p>
      <w:pPr>
        <w:spacing w:after="120"/>
        <w:ind w:left="720"/>
      </w:pPr>
      <w:r>
        <w:rPr>
          <w:i/>
          <w:iCs/>
          <w:color w:val="666666"/>
          <w:sz w:val="20"/>
          <w:szCs w:val="20"/>
        </w:rPr>
        <w:t xml:space="preserve">Série de vidéos témoignages clients</w:t>
      </w:r>
    </w:p>
    <w:p>
      <w:pPr>
        <w:pStyle w:val="ListParagraph"/>
        <w:numPr>
          <w:ilvl w:val="0"/>
          <w:numId w:val="1"/>
        </w:numPr>
        <w:spacing w:after="60"/>
      </w:pPr>
      <w:r>
        <w:rPr>
          <w:b/>
          <w:bCs/>
        </w:rPr>
        <w:t xml:space="preserve">Clean Project — </w:t>
      </w:r>
      <w:r>
        <w:t xml:space="preserve">Aftermovie d'une opération citoyenne de ramassage de mégots à Lyon : restituer l'énergie de la journée et fédérer autour de l'initiative.</w:t>
      </w:r>
    </w:p>
    <w:p>
      <w:pPr>
        <w:spacing w:after="120"/>
        <w:ind w:left="720"/>
      </w:pPr>
      <w:r>
        <w:rPr>
          <w:i/>
          <w:iCs/>
          <w:color w:val="666666"/>
          <w:sz w:val="20"/>
          <w:szCs w:val="20"/>
        </w:rPr>
        <w:t xml:space="preserve">Aftermovie événementiel, action citoyenne à Lyon</w:t>
      </w:r>
    </w:p>
    <w:p>
      <w:pPr>
        <w:pStyle w:val="ListParagraph"/>
        <w:numPr>
          <w:ilvl w:val="0"/>
          <w:numId w:val="1"/>
        </w:numPr>
        <w:spacing w:after="60"/>
      </w:pPr>
      <w:r>
        <w:rPr>
          <w:b/>
          <w:bCs/>
        </w:rPr>
        <w:t xml:space="preserve">Trattoria St Jean — </w:t>
      </w:r>
      <w:r>
        <w:t xml:space="preserve">Réels et photographies culinaires pour la communication d'un restaurant italien à Lyon sur les réseaux sociaux — production 100% smartphone, format vertical.</w:t>
      </w:r>
    </w:p>
    <w:p>
      <w:pPr>
        <w:spacing w:after="120"/>
        <w:ind w:left="720"/>
      </w:pPr>
      <w:r>
        <w:rPr>
          <w:i/>
          <w:iCs/>
          <w:color w:val="666666"/>
          <w:sz w:val="20"/>
          <w:szCs w:val="20"/>
        </w:rPr>
        <w:t xml:space="preserve">Réels + photographies, format vertical</w:t>
      </w:r>
    </w:p>
    <w:p>
      <w:pPr>
        <w:pStyle w:val="Heading1"/>
        <w:spacing w:after="140" w:before="280"/>
      </w:pPr>
      <w:r>
        <w:t xml:space="preserve">2. Compréhension du besoin</w:t>
      </w:r>
    </w:p>
    <w:p>
      <w:pPr>
        <w:spacing w:after="120"/>
      </w:pPr>
      <w:r>
        <w:rPr>
          <w:b w:val="false"/>
          <w:bCs w:val="false"/>
          <w:i w:val="false"/>
          <w:iCs w:val="false"/>
        </w:rPr>
        <w:t xml:space="preserve">Le programme "Trajectoires" d'Auvergne Rhône-Alpes Tourisme vise à professionnaliser les acteurs du tourisme régional. Les lots 2 à 4 ciblent spécifiquement la montée en compétence sur la communication visuelle low-cost (smartphone) et les réseaux sociaux, y compris la dimension publicitaire. L'enjeu pour le candidat est de transmettre des méthodes simples, actionnables et directement applicables par des professionnels du tourisme sans formation technique préalable, tout en tenant compte de l'hétérogénéité des niveaux de départ des stagiaires. Remarque méthodologique : le DCE détaillé (règlement de consultation, CCTP) n'a pas pu être consulté au moment de la génération de ce dossier (portail d'annonces inaccessible depuis l'environnement de veille automatisée) ; ce mémoire reprend donc le contenu connu via l'alerte BOAMP et devra être affiné par Samuel une fois le DCE complet consulté, en particulier sur le nombre de sessions, le format pédagogique attendu (présentiel/distanciel) et les livrables précis.</w:t>
      </w:r>
    </w:p>
    <w:p>
      <w:pPr>
        <w:pStyle w:val="Heading1"/>
        <w:spacing w:after="140" w:before="280"/>
      </w:pPr>
      <w:r>
        <w:t xml:space="preserve">3. Méthodologie et organisation</w:t>
      </w:r>
    </w:p>
    <w:p>
      <w:pPr>
        <w:pStyle w:val="Heading2"/>
        <w:spacing w:after="140" w:before="280"/>
      </w:pPr>
      <w:r>
        <w:t xml:space="preserve">Démarche de production</w:t>
      </w:r>
    </w:p>
    <w:p>
      <w:pPr>
        <w:spacing w:after="120"/>
      </w:pPr>
      <w:r>
        <w:rPr>
          <w:b w:val="false"/>
          <w:bCs w:val="false"/>
          <w:i w:val="false"/>
          <w:iCs w:val="false"/>
        </w:rPr>
        <w:t xml:space="preserve">Chaque mission suit un déroulé structuré : cadrage stratégique en amont (compréhension des objectifs et du public cible) → écriture / scénarisation → tournage ou prise de vue → montage et post-production → livraison → itérations de validation encadrées. Le cadrage stratégique initial conditionne la pertinence de tous les livrables et fait l'objet d'un point de lancement dédié avec l'acheteur.</w:t>
      </w:r>
    </w:p>
    <w:p>
      <w:pPr>
        <w:pStyle w:val="Heading2"/>
        <w:spacing w:after="140" w:before="280"/>
      </w:pPr>
      <w:r>
        <w:t xml:space="preserve">Organisation et interlocuteur</w:t>
      </w:r>
    </w:p>
    <w:p>
      <w:pPr>
        <w:spacing w:after="120"/>
      </w:pPr>
      <w:r>
        <w:rPr>
          <w:b w:val="false"/>
          <w:bCs w:val="false"/>
          <w:i w:val="false"/>
          <w:iCs w:val="false"/>
        </w:rPr>
        <w:t xml:space="preserve">Un point de contact unique est proposé côté candidat pour toute la durée de la mission. Les échanges et livrables transitent par des outils de partage sécurisés (WeTransfer, Google Drive ou équivalent). Un point d'étape est proposé à chaque jalon clé du planning.</w:t>
      </w:r>
    </w:p>
    <w:p>
      <w:pPr>
        <w:pStyle w:val="Heading2"/>
        <w:spacing w:after="140" w:before="280"/>
      </w:pPr>
      <w:r>
        <w:t xml:space="preserve">Gestion des délais et des aléas</w:t>
      </w:r>
    </w:p>
    <w:p>
      <w:pPr>
        <w:spacing w:after="120"/>
      </w:pPr>
      <w:r>
        <w:rPr>
          <w:b w:val="false"/>
          <w:bCs w:val="false"/>
          <w:i w:val="false"/>
          <w:iCs w:val="false"/>
        </w:rPr>
        <w:t xml:space="preserve">Le planning intègre une marge de sécurité pour absorber les aléas courants (météo pour les tournages extérieurs, disponibilité des intervenants côté acheteur). En cas d'indisponibilité majeure, le candidat s'appuie sur son réseau professionnel (voir section 4) pour garantir la continuité de la prestation.</w:t>
      </w:r>
    </w:p>
    <w:p>
      <w:pPr>
        <w:pStyle w:val="Heading2"/>
        <w:spacing w:after="140" w:before="280"/>
      </w:pPr>
      <w:r>
        <w:t xml:space="preserve">Processus de validation et encadrement des modifications</w:t>
      </w:r>
    </w:p>
    <w:p>
      <w:pPr>
        <w:spacing w:after="120"/>
      </w:pPr>
      <w:r>
        <w:rPr>
          <w:b w:val="false"/>
          <w:bCs w:val="false"/>
          <w:i w:val="false"/>
          <w:iCs w:val="false"/>
        </w:rPr>
        <w:t xml:space="preserve">Le workflow de post-production est limité à deux cycles de modifications après la première livraison : V1 (bout-à-bout, 7 jours ouvrés de retour), V2 (ajustements de détail, 5 jours ouvrés), V3 (version finale). Toute demande après validation de la V3, ou toute modification structurelle remettant en cause un bout-à-bout déjà validé, est facturée en supplément selon la ligne « Journée de montage supplémentaire » du BPU. L'acheteur désigne un interlocuteur unique pour compiler les retours.</w:t>
      </w:r>
    </w:p>
    <w:p>
      <w:pPr>
        <w:pStyle w:val="Heading1"/>
        <w:spacing w:after="140" w:before="280"/>
      </w:pPr>
      <w:r>
        <w:t xml:space="preserve">4. Moyens humains et matériels</w:t>
      </w:r>
    </w:p>
    <w:p>
      <w:pPr>
        <w:pStyle w:val="Heading2"/>
        <w:spacing w:after="140" w:before="280"/>
      </w:pPr>
      <w:r>
        <w:t xml:space="preserve">Moyens humains</w:t>
      </w:r>
    </w:p>
    <w:p>
      <w:pPr>
        <w:spacing w:after="120"/>
      </w:pPr>
      <w:r>
        <w:rPr>
          <w:b w:val="false"/>
          <w:bCs w:val="false"/>
          <w:i w:val="false"/>
          <w:iCs w:val="false"/>
        </w:rPr>
        <w:t xml:space="preserve">Intervention assurée personnellement par Samuel Perez sur l'ensemble des sessions de formation. En cas de pic de charge (sessions simultanées sur plusieurs territoires), mobilisation possible d'un formateur partenaire du réseau professionnel régional du candidat (voir plan de continuité ci-dessous), présentée comme une flexibilité plutôt qu'une contrainte du fonctionnement en solo.</w:t>
      </w:r>
    </w:p>
    <w:p>
      <w:pPr>
        <w:pStyle w:val="Heading2"/>
        <w:spacing w:after="140" w:before="280"/>
      </w:pPr>
      <w:r>
        <w:t xml:space="preserve">Plan de continuité d'activité</w:t>
      </w:r>
    </w:p>
    <w:p>
      <w:pPr>
        <w:spacing w:after="120"/>
      </w:pPr>
      <w:r>
        <w:rPr>
          <w:b w:val="false"/>
          <w:bCs w:val="false"/>
          <w:i w:val="false"/>
          <w:iCs w:val="false"/>
        </w:rPr>
        <w:t xml:space="preserve">Le candidat est intégré à un réseau professionnel actif de vidéastes et techniciens de l'audiovisuel en région Auvergne-Rhône-Alpes, sur lequel il peut s'appuyer en cas d'indisponibilité majeure pour assurer la continuité de la prestation. Sécurité technique : doublage systématique du matériel de prise de vue et de son sur chaque lieu de tournage. Sécurité des données : enregistrement simultané sur double slot de cartes, suivi d'un double backup quotidien (NAS local et cloud sécurisé).</w:t>
      </w:r>
    </w:p>
    <w:p>
      <w:pPr>
        <w:pStyle w:val="Heading2"/>
        <w:spacing w:after="140" w:before="280"/>
      </w:pPr>
      <w:r>
        <w:t xml:space="preserve">Matériel et logiciels</w:t>
      </w:r>
    </w:p>
    <w:p>
      <w:pPr>
        <w:spacing w:after="120"/>
      </w:pPr>
      <w:r>
        <w:rPr>
          <w:b w:val="false"/>
          <w:bCs w:val="false"/>
          <w:i w:val="false"/>
          <w:iCs w:val="false"/>
        </w:rPr>
        <w:t xml:space="preserve">Caméras et objectifs professionnels, stabilisation (gimbal), prise de son dédiée (micros HF et perche), éclairage portable. Suite logicielle : Adobe Premiere Pro, DaVinci Resolve, After Effects, Photoshop, Illustrator.</w:t>
      </w:r>
    </w:p>
    <w:p>
      <w:pPr>
        <w:pStyle w:val="Heading2"/>
        <w:spacing w:after="140" w:before="280"/>
      </w:pPr>
      <w:r>
        <w:t xml:space="preserve">Assurances et conformité</w:t>
      </w:r>
    </w:p>
    <w:p>
      <w:pPr>
        <w:spacing w:after="120"/>
      </w:pPr>
      <w:r>
        <w:rPr>
          <w:b w:val="false"/>
          <w:bCs w:val="false"/>
          <w:i w:val="false"/>
          <w:iCs w:val="false"/>
        </w:rPr>
        <w:t xml:space="preserve">Assurance responsabilité civile professionnelle : [À VÉRIFIER PAR SAMUEL — voir Notion Fiche entreprise, n° de police non renseigné]. Attestation URSSAF de vigilance disponible et à renouveler régulièrement avant dépôt : [À VÉRIFIER PAR SAMUEL — voir Notion Fiche entreprise, dernière édition 19/11/2024].</w:t>
      </w:r>
    </w:p>
    <w:p>
      <w:pPr>
        <w:pStyle w:val="Heading1"/>
        <w:spacing w:after="140" w:before="280"/>
      </w:pPr>
      <w:r>
        <w:t xml:space="preserve">5. Planning prévisionnel</w:t>
      </w:r>
    </w:p>
    <w:p>
      <w:pPr>
        <w:spacing w:after="120"/>
      </w:pPr>
      <w:r>
        <w:rPr>
          <w:b w:val="false"/>
          <w:bCs w:val="false"/>
          <w:i w:val="false"/>
          <w:iCs w:val="false"/>
        </w:rPr>
        <w:t xml:space="preserve">Calendrier synthétique, à ajuster avec l'acheteur lors du point de lancement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400"/>
      </w:tblGrid>
      <w:tr>
        <w:tc>
          <w:tcPr>
            <w:tcW w:type="dxa" w:w="2200"/>
            <w:shd w:fill="1F4E5F" w:val="clear"/>
          </w:tcPr>
          <w:p>
            <w:r>
              <w:rPr>
                <w:b/>
                <w:bCs/>
                <w:color w:val="FFFFFF"/>
              </w:rPr>
              <w:t xml:space="preserve">Phase</w:t>
            </w:r>
          </w:p>
        </w:tc>
        <w:tc>
          <w:tcPr>
            <w:tcW w:type="dxa" w:w="5200"/>
            <w:shd w:fill="1F4E5F" w:val="clear"/>
          </w:tcPr>
          <w:p>
            <w:r>
              <w:rPr>
                <w:b/>
                <w:bCs/>
                <w:color w:val="FFFFFF"/>
              </w:rPr>
              <w:t xml:space="preserve">Contenu</w:t>
            </w:r>
          </w:p>
        </w:tc>
        <w:tc>
          <w:tcPr>
            <w:tcW w:type="dxa" w:w="2400"/>
            <w:shd w:fill="1F4E5F" w:val="clear"/>
          </w:tcPr>
          <w:p>
            <w:r>
              <w:rPr>
                <w:b/>
                <w:bCs/>
                <w:color w:val="FFFFFF"/>
              </w:rPr>
              <w:t xml:space="preserve">Durée indicative</w:t>
            </w:r>
          </w:p>
        </w:tc>
      </w:tr>
      <w:tr>
        <w:tc>
          <w:tcPr>
            <w:tcW w:type="dxa" w:w="2200"/>
          </w:tcPr>
          <w:p>
            <w:r>
              <w:t xml:space="preserve">Cadrage</w:t>
            </w:r>
          </w:p>
        </w:tc>
        <w:tc>
          <w:tcPr>
            <w:tcW w:type="dxa" w:w="5200"/>
          </w:tcPr>
          <w:p>
            <w:r>
              <w:t xml:space="preserve">Réunion de lancement avec Auvergne Rhône-Alpes Tourisme, validation du contenu pédagogique et du calendrier des sessions</w:t>
            </w:r>
          </w:p>
        </w:tc>
        <w:tc>
          <w:tcPr>
            <w:tcW w:type="dxa" w:w="2400"/>
          </w:tcPr>
          <w:p>
            <w:r>
              <w:t xml:space="preserve">Semaine 1</w:t>
            </w:r>
          </w:p>
        </w:tc>
      </w:tr>
      <w:tr>
        <w:tc>
          <w:tcPr>
            <w:tcW w:type="dxa" w:w="2200"/>
          </w:tcPr>
          <w:p>
            <w:r>
              <w:t xml:space="preserve">Conception</w:t>
            </w:r>
          </w:p>
        </w:tc>
        <w:tc>
          <w:tcPr>
            <w:tcW w:type="dxa" w:w="5200"/>
          </w:tcPr>
          <w:p>
            <w:r>
              <w:t xml:space="preserve">Préparation des supports pédagogiques (lots 2, 3 et 4), exercices pratiques smartphone, cas d'usage réseaux sociaux</w:t>
            </w:r>
          </w:p>
        </w:tc>
        <w:tc>
          <w:tcPr>
            <w:tcW w:type="dxa" w:w="2400"/>
          </w:tcPr>
          <w:p>
            <w:r>
              <w:t xml:space="preserve">Semaines 2-3</w:t>
            </w:r>
          </w:p>
        </w:tc>
      </w:tr>
      <w:tr>
        <w:tc>
          <w:tcPr>
            <w:tcW w:type="dxa" w:w="2200"/>
          </w:tcPr>
          <w:p>
            <w:r>
              <w:t xml:space="preserve">Animation</w:t>
            </w:r>
          </w:p>
        </w:tc>
        <w:tc>
          <w:tcPr>
            <w:tcW w:type="dxa" w:w="5200"/>
          </w:tcPr>
          <w:p>
            <w:r>
              <w:t xml:space="preserve">Sessions de formation en présentiel / distanciel selon les modalités retenues</w:t>
            </w:r>
          </w:p>
        </w:tc>
        <w:tc>
          <w:tcPr>
            <w:tcW w:type="dxa" w:w="2400"/>
          </w:tcPr>
          <w:p>
            <w:r>
              <w:t xml:space="preserve">À planifier selon calendrier acheteur</w:t>
            </w:r>
          </w:p>
        </w:tc>
      </w:tr>
      <w:tr>
        <w:tc>
          <w:tcPr>
            <w:tcW w:type="dxa" w:w="2200"/>
          </w:tcPr>
          <w:p>
            <w:r>
              <w:t xml:space="preserve">Suivi</w:t>
            </w:r>
          </w:p>
        </w:tc>
        <w:tc>
          <w:tcPr>
            <w:tcW w:type="dxa" w:w="5200"/>
          </w:tcPr>
          <w:p>
            <w:r>
              <w:t xml:space="preserve">Support post-formation, ressources complémentaires, bilan pédagogique</w:t>
            </w:r>
          </w:p>
        </w:tc>
        <w:tc>
          <w:tcPr>
            <w:tcW w:type="dxa" w:w="2400"/>
          </w:tcPr>
          <w:p>
            <w:r>
              <w:t xml:space="preserve">2 semaines après la dernière session</w:t>
            </w:r>
          </w:p>
        </w:tc>
      </w:tr>
    </w:tbl>
    <w:p>
      <w:pPr>
        <w:pStyle w:val="Heading1"/>
        <w:spacing w:after="140" w:before="280"/>
      </w:pPr>
      <w:r>
        <w:t xml:space="preserve">6. Devis / bordereau des prix unitaires (BPU) indicatif</w:t>
      </w:r>
    </w:p>
    <w:p>
      <w:pPr>
        <w:spacing w:after="120"/>
      </w:pPr>
      <w:r>
        <w:rPr>
          <w:b w:val="false"/>
          <w:bCs w:val="false"/>
          <w:i w:val="false"/>
          <w:iCs w:val="false"/>
        </w:rPr>
        <w:t xml:space="preserve">Positionnement tarifaire "équilibré" appliqué par défaut : le poids du critère Prix dans le règlement de consultation n'a pas pu être vérifié (DCE inaccessible au moment de la génération de ce dossier). Ce tarif reflète un rapport qualité/prix optimal, avec un positionnement 30 à 40% sous les grilles des organismes de formation traditionnels, tout en garantissant une finition pédagogique et technique professionnelle. À ajuster par Samuel une fois la pondération du critère Prix confirmée dans le RC.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200"/>
      </w:tblGrid>
      <w:tr>
        <w:tc>
          <w:tcPr>
            <w:tcW w:type="dxa" w:w="5200"/>
            <w:shd w:fill="1F4E5F" w:val="clear"/>
          </w:tcPr>
          <w:p>
            <w:r>
              <w:rPr>
                <w:b/>
                <w:bCs/>
                <w:color w:val="FFFFFF"/>
              </w:rPr>
              <w:t xml:space="preserve">Prestation</w:t>
            </w:r>
          </w:p>
        </w:tc>
        <w:tc>
          <w:tcPr>
            <w:tcW w:type="dxa" w:w="2400"/>
            <w:shd w:fill="1F4E5F" w:val="clear"/>
          </w:tcPr>
          <w:p>
            <w:r>
              <w:rPr>
                <w:b/>
                <w:bCs/>
                <w:color w:val="FFFFFF"/>
              </w:rPr>
              <w:t xml:space="preserve">Unité</w:t>
            </w:r>
          </w:p>
        </w:tc>
        <w:tc>
          <w:tcPr>
            <w:tcW w:type="dxa" w:w="2200"/>
            <w:shd w:fill="1F4E5F" w:val="clear"/>
          </w:tcPr>
          <w:p>
            <w:r>
              <w:rPr>
                <w:b/>
                <w:bCs/>
                <w:color w:val="FFFFFF"/>
              </w:rPr>
              <w:t xml:space="preserve">Prix unitaire HT</w:t>
            </w:r>
          </w:p>
        </w:tc>
      </w:tr>
      <w:tr>
        <w:tc>
          <w:tcPr>
            <w:tcW w:type="dxa" w:w="5200"/>
          </w:tcPr>
          <w:p>
            <w:r>
              <w:t xml:space="preserve">Journée de production (tournage / captation)</w:t>
            </w:r>
          </w:p>
        </w:tc>
        <w:tc>
          <w:tcPr>
            <w:tcW w:type="dxa" w:w="2400"/>
          </w:tcPr>
          <w:p>
            <w:r>
              <w:t xml:space="preserve">Jour</w:t>
            </w:r>
          </w:p>
        </w:tc>
        <w:tc>
          <w:tcPr>
            <w:tcW w:type="dxa" w:w="2200"/>
          </w:tcPr>
          <w:p>
            <w:r>
              <w:t xml:space="preserve">700 € HT</w:t>
            </w:r>
          </w:p>
        </w:tc>
      </w:tr>
      <w:tr>
        <w:tc>
          <w:tcPr>
            <w:tcW w:type="dxa" w:w="5200"/>
          </w:tcPr>
          <w:p>
            <w:r>
              <w:t xml:space="preserve">Demi-journée de production (tournage / captation)</w:t>
            </w:r>
          </w:p>
        </w:tc>
        <w:tc>
          <w:tcPr>
            <w:tcW w:type="dxa" w:w="2400"/>
          </w:tcPr>
          <w:p>
            <w:r>
              <w:t xml:space="preserve">Demi-journée</w:t>
            </w:r>
          </w:p>
        </w:tc>
        <w:tc>
          <w:tcPr>
            <w:tcW w:type="dxa" w:w="2200"/>
          </w:tcPr>
          <w:p>
            <w:r>
              <w:t xml:space="preserve">350 € HT</w:t>
            </w:r>
          </w:p>
        </w:tc>
      </w:tr>
      <w:tr>
        <w:tc>
          <w:tcPr>
            <w:tcW w:type="dxa" w:w="5200"/>
          </w:tcPr>
          <w:p>
            <w:r>
              <w:t xml:space="preserve">Journée de montage / post-production</w:t>
            </w:r>
          </w:p>
        </w:tc>
        <w:tc>
          <w:tcPr>
            <w:tcW w:type="dxa" w:w="2400"/>
          </w:tcPr>
          <w:p>
            <w:r>
              <w:t xml:space="preserve">Jour</w:t>
            </w:r>
          </w:p>
        </w:tc>
        <w:tc>
          <w:tcPr>
            <w:tcW w:type="dxa" w:w="2200"/>
          </w:tcPr>
          <w:p>
            <w:r>
              <w:t xml:space="preserve">700 € HT</w:t>
            </w:r>
          </w:p>
        </w:tc>
      </w:tr>
      <w:tr>
        <w:tc>
          <w:tcPr>
            <w:tcW w:type="dxa" w:w="5200"/>
          </w:tcPr>
          <w:p>
            <w:r>
              <w:t xml:space="preserve">Journée de montage supplémentaire (hors V1/V2/V3, cf. méthodologie)</w:t>
            </w:r>
          </w:p>
        </w:tc>
        <w:tc>
          <w:tcPr>
            <w:tcW w:type="dxa" w:w="2400"/>
          </w:tcPr>
          <w:p>
            <w:r>
              <w:t xml:space="preserve">Jour</w:t>
            </w:r>
          </w:p>
        </w:tc>
        <w:tc>
          <w:tcPr>
            <w:tcW w:type="dxa" w:w="2200"/>
          </w:tcPr>
          <w:p>
            <w:r>
              <w:t xml:space="preserve">700 € HT</w:t>
            </w:r>
          </w:p>
        </w:tc>
      </w:tr>
      <w:tr>
        <w:tc>
          <w:tcPr>
            <w:tcW w:type="dxa" w:w="5200"/>
          </w:tcPr>
          <w:p>
            <w:r>
              <w:t xml:space="preserve">Déplacement hors métropole de Lyon</w:t>
            </w:r>
          </w:p>
        </w:tc>
        <w:tc>
          <w:tcPr>
            <w:tcW w:type="dxa" w:w="2400"/>
          </w:tcPr>
          <w:p>
            <w:r>
              <w:t xml:space="preserve">Forfait km / sur devis</w:t>
            </w:r>
          </w:p>
        </w:tc>
        <w:tc>
          <w:tcPr>
            <w:tcW w:type="dxa" w:w="2200"/>
          </w:tcPr>
          <w:p>
            <w:r>
              <w:t xml:space="preserve">Sur devis</w:t>
            </w:r>
          </w:p>
        </w:tc>
      </w:tr>
    </w:tbl>
    <w:p>
      <w:pPr>
        <w:spacing w:after="120"/>
      </w:pPr>
      <w:r>
        <w:rPr>
          <w:b w:val="false"/>
          <w:bCs w:val="false"/>
          <w:i w:val="false"/>
          <w:iCs w:val="false"/>
        </w:rPr>
        <w:t xml:space="preserve">Tarifs exprimés en euros hors taxes. TVA non applicable, article 293 B du Code général des impôts (franchise en base de TVA).</w:t>
      </w:r>
    </w:p>
    <w:p>
      <w:pPr>
        <w:pStyle w:val="Heading1"/>
        <w:spacing w:after="140" w:before="280"/>
      </w:pPr>
      <w:r>
        <w:t xml:space="preserve">7. Annexes</w:t>
      </w:r>
    </w:p>
    <w:p>
      <w:pPr>
        <w:pStyle w:val="ListParagraph"/>
        <w:numPr>
          <w:ilvl w:val="0"/>
          <w:numId w:val="1"/>
        </w:numPr>
        <w:spacing w:after="80"/>
      </w:pPr>
      <w:r>
        <w:t xml:space="preserve">Formulaires DC1 et DC2 joints à la présente candidature</w:t>
      </w:r>
    </w:p>
    <w:p>
      <w:pPr>
        <w:pStyle w:val="ListParagraph"/>
        <w:numPr>
          <w:ilvl w:val="0"/>
          <w:numId w:val="1"/>
        </w:numPr>
        <w:spacing w:after="80"/>
      </w:pPr>
      <w:r>
        <w:t xml:space="preserve">Attestation URSSAF de vigilance — à joindre par Samuel (voir section 4)</w:t>
      </w:r>
    </w:p>
    <w:p>
      <w:pPr>
        <w:pStyle w:val="ListParagraph"/>
        <w:numPr>
          <w:ilvl w:val="0"/>
          <w:numId w:val="1"/>
        </w:numPr>
        <w:spacing w:after="80"/>
      </w:pPr>
      <w:r>
        <w:t xml:space="preserve">Book / showreel — samuelperez.fr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2026-07-31T09:01:37.919Z</dcterms:created>
  <dcterms:modified xsi:type="dcterms:W3CDTF">2026-07-31T09:01:37.919Z</dcterms:modified>
</cp:coreProperties>
</file>

<file path=docProps/custom.xml><?xml version="1.0" encoding="utf-8"?>
<Properties xmlns="http://schemas.openxmlformats.org/officeDocument/2006/custom-properties" xmlns:vt="http://schemas.openxmlformats.org/officeDocument/2006/docPropsVTypes"/>
</file>