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b/>
          <w:bCs/>
          <w:color w:val="1F4E5F"/>
          <w:sz w:val="44"/>
          <w:szCs w:val="44"/>
        </w:rPr>
        <w:t xml:space="preserve">MÉMOIRE TECHNIQUE</w:t>
      </w:r>
    </w:p>
    <w:p>
      <w:pPr>
        <w:spacing w:after="400"/>
        <w:jc w:val="center"/>
      </w:pPr>
      <w:r>
        <w:rPr>
          <w:i/>
          <w:iCs/>
          <w:color w:val="666666"/>
          <w:sz w:val="24"/>
          <w:szCs w:val="24"/>
        </w:rPr>
        <w:t xml:space="preserve">Réponse à l'appel d'offres</w:t>
      </w:r>
    </w:p>
    <w:p>
      <w:pPr>
        <w:spacing w:after="120"/>
        <w:jc w:val="center"/>
      </w:pPr>
      <w:r>
        <w:rPr>
          <w:b/>
          <w:bCs/>
          <w:i w:val="false"/>
          <w:iCs w:val="false"/>
        </w:rPr>
        <w:t xml:space="preserve">AT38_LR_4Lots_2027 — Accord-cadre 4 lots</w:t>
      </w:r>
    </w:p>
    <w:p>
      <w:pPr>
        <w:spacing w:after="120"/>
        <w:jc w:val="center"/>
      </w:pPr>
      <w:r>
        <w:rPr>
          <w:b w:val="false"/>
          <w:bCs w:val="false"/>
          <w:i w:val="false"/>
          <w:iCs w:val="false"/>
        </w:rPr>
        <w:t xml:space="preserve">Direction des mobilités (DM)</w:t>
      </w:r>
    </w:p>
    <w:p>
      <w:pPr>
        <w:spacing w:after="120"/>
        <w:jc w:val="center"/>
      </w:pPr>
      <w:r>
        <w:rPr>
          <w:b w:val="false"/>
          <w:bCs w:val="false"/>
          <w:i w:val="false"/>
          <w:iCs w:val="false"/>
        </w:rPr>
        <w:t xml:space="preserve">Référence de la consultation : BOAMP idweb:26-75633</w:t>
      </w:r>
    </w:p>
    <w:p>
      <w:pPr>
        <w:spacing w:after="120"/>
        <w:jc w:val="center"/>
      </w:pPr>
      <w:r>
        <w:rPr>
          <w:b w:val="false"/>
          <w:bCs w:val="false"/>
          <w:i w:val="false"/>
          <w:iCs w:val="false"/>
        </w:rPr>
        <w:t xml:space="preserve">Date limite de remise des offres : 12/10/2026</w:t>
      </w:r>
    </w:p>
    <w:p>
      <w:pPr>
        <w:spacing w:after="120"/>
        <w:jc w:val="center"/>
      </w:pPr>
      <w:r>
        <w:rPr>
          <w:b/>
          <w:bCs/>
          <w:i w:val="false"/>
          <w:iCs w:val="false"/>
        </w:rPr>
        <w:t xml:space="preserve">Lot(s) concerné(s) : Lots non détaillés dans l'alerte — à confirmer selon DCE (candidature positionnée par prudence dans l'attente de confirmation du secteur)</w:t>
      </w:r>
    </w:p>
    <w:p>
      <w:pPr>
        <w:spacing w:after="300"/>
      </w:pPr>
    </w:p>
    <w:p>
      <w:pPr>
        <w:spacing w:after="120"/>
        <w:jc w:val="center"/>
      </w:pPr>
      <w:r>
        <w:rPr>
          <w:b/>
          <w:bCs/>
          <w:i w:val="false"/>
          <w:iCs w:val="false"/>
        </w:rPr>
        <w:t xml:space="preserve">Candidat</w:t>
      </w:r>
    </w:p>
    <w:p>
      <w:pPr>
        <w:spacing w:after="120"/>
        <w:jc w:val="center"/>
      </w:pPr>
      <w:r>
        <w:rPr>
          <w:b w:val="false"/>
          <w:bCs w:val="false"/>
          <w:i w:val="false"/>
          <w:iCs w:val="false"/>
        </w:rPr>
        <w:t xml:space="preserve">Samuel Perez — Vidéaste, photographe et conseil en communication</w:t>
      </w:r>
    </w:p>
    <w:p>
      <w:pPr>
        <w:spacing w:after="120"/>
        <w:jc w:val="center"/>
      </w:pPr>
      <w:r>
        <w:rPr>
          <w:b w:val="false"/>
          <w:bCs w:val="false"/>
          <w:i w:val="false"/>
          <w:iCs w:val="false"/>
        </w:rPr>
        <w:t xml:space="preserve">Entrepreneur individuel (micro-entreprise) — SIRET 903 236 578 00022</w:t>
      </w:r>
    </w:p>
    <w:p>
      <w:pPr>
        <w:spacing w:after="120"/>
        <w:jc w:val="center"/>
      </w:pPr>
      <w:r>
        <w:rPr>
          <w:b w:val="false"/>
          <w:bCs w:val="false"/>
          <w:i w:val="false"/>
          <w:iCs w:val="false"/>
        </w:rPr>
        <w:t xml:space="preserve">samuelperez.fr — contact@samuelperez.fr — 06 44 31 65 15</w:t>
      </w:r>
    </w:p>
    <w:p>
      <w:pPr>
        <w:spacing w:after="2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shd w:fill="FDEBD0" w:val="clear"/>
          </w:tcPr>
          <w:p>
            <w:r>
              <w:rPr>
                <w:b/>
                <w:bCs/>
                <w:color w:val="8A5A00"/>
              </w:rPr>
              <w:t xml:space="preserve">⚠ SECTEUR NON CONFIRMÉ — le DCE de ce marché est resté inaccessible techniquement au moment de la génération automatisée de ce dossier (portail d'annonces bloqué depuis l'environnement de veille, et introuvable via recherche web). Ce marché a été classé "Repéré" par prudence (règle anti-faux-négatifs), mais rien ne confirme à ce stade qu'il comporte un lot communication/audiovisuel/photo/vidéo. Samuel doit impérativement consulter le DCE complet avant tout envoi et vérifier la pertinence réelle de ce marché.</w:t>
            </w:r>
          </w:p>
        </w:tc>
      </w:tr>
    </w:tbl>
    <w:p>
      <w:r>
        <w:br w:type="page"/>
      </w:r>
    </w:p>
    <w:p>
      <w:pPr>
        <w:pStyle w:val="Heading1"/>
        <w:spacing w:after="140" w:before="280"/>
      </w:pPr>
      <w:r>
        <w:t xml:space="preserve">1. Présentation du candidat</w:t>
      </w:r>
    </w:p>
    <w:p>
      <w:pPr>
        <w:pStyle w:val="Heading2"/>
        <w:spacing w:after="140" w:before="280"/>
      </w:pPr>
      <w:r>
        <w:t xml:space="preserve">Identité et positionnement</w:t>
      </w:r>
    </w:p>
    <w:p>
      <w:pPr>
        <w:spacing w:after="120"/>
      </w:pPr>
      <w:r>
        <w:rPr>
          <w:b w:val="false"/>
          <w:bCs w:val="false"/>
          <w:i w:val="false"/>
          <w:iCs w:val="false"/>
        </w:rPr>
        <w:t xml:space="preserve">Samuel Perez est vidéaste, photographe et conseil en communication basé à Lyon. Ce mémoire technique est fourni sous une forme générique et adaptable : la nature exacte du besoin de la Direction des mobilités n'a pas pu être confirmée (voir avertissement en couverture). Si ce marché comporte un volet communication institutionnelle, audiovisuel ou photographique (valorisation d'infrastructures, supports de communication grand public, captation d'événements liés à la mobilité, etc.), le candidat peut mobiliser sa double compétence audiovisuel et stratégie de communication pour y répondre.</w:t>
      </w:r>
    </w:p>
    <w:p>
      <w:pPr>
        <w:pStyle w:val="Heading2"/>
        <w:spacing w:after="140" w:before="280"/>
      </w:pPr>
      <w:r>
        <w:t xml:space="preserve">Statut et structure</w:t>
      </w:r>
    </w:p>
    <w:p>
      <w:pPr>
        <w:spacing w:after="120"/>
      </w:pPr>
      <w:r>
        <w:rPr>
          <w:b w:val="false"/>
          <w:bCs w:val="false"/>
          <w:i w:val="false"/>
          <w:iCs w:val="false"/>
        </w:rPr>
        <w:t xml:space="preserve">Entrepreneur individuel (micro-entreprise), régime spécial BNC. Activité créée le 12/08/2024 (Guichet unique, n° J00086978699). Zone d'intervention géographique : Lyon / Auvergne-Rhône-Alpes en priorité, national si déplacement ponctuel raisonnable.</w:t>
      </w:r>
    </w:p>
    <w:p>
      <w:pPr>
        <w:pStyle w:val="Heading2"/>
        <w:spacing w:after="140" w:before="280"/>
      </w:pPr>
      <w:r>
        <w:t xml:space="preserve">Références similaires</w:t>
      </w:r>
    </w:p>
    <w:p>
      <w:pPr>
        <w:pStyle w:val="ListParagraph"/>
        <w:numPr>
          <w:ilvl w:val="0"/>
          <w:numId w:val="1"/>
        </w:numPr>
        <w:spacing w:after="60"/>
      </w:pPr>
      <w:r>
        <w:rPr>
          <w:b/>
          <w:bCs/>
        </w:rPr>
        <w:t xml:space="preserve">Araïko — </w:t>
      </w:r>
      <w:r>
        <w:t xml:space="preserve">Série de vidéos de témoignages clients pour une PME cherchant à asseoir sa crédibilité par la preuve plutôt que par le discours.</w:t>
      </w:r>
    </w:p>
    <w:p>
      <w:pPr>
        <w:spacing w:after="120"/>
        <w:ind w:left="720"/>
      </w:pPr>
      <w:r>
        <w:rPr>
          <w:i/>
          <w:iCs/>
          <w:color w:val="666666"/>
          <w:sz w:val="20"/>
          <w:szCs w:val="20"/>
        </w:rPr>
        <w:t xml:space="preserve">Série de vidéos témoignages clients</w:t>
      </w:r>
    </w:p>
    <w:p>
      <w:pPr>
        <w:pStyle w:val="ListParagraph"/>
        <w:numPr>
          <w:ilvl w:val="0"/>
          <w:numId w:val="1"/>
        </w:numPr>
        <w:spacing w:after="60"/>
      </w:pPr>
      <w:r>
        <w:rPr>
          <w:b/>
          <w:bCs/>
        </w:rPr>
        <w:t xml:space="preserve">Clean Project — </w:t>
      </w:r>
      <w:r>
        <w:t xml:space="preserve">Aftermovie d'une opération citoyenne de ramassage de mégots à Lyon : restituer l'énergie de la journée et fédérer autour de l'initiative — exemple de communication institutionnelle liée à l'espace public.</w:t>
      </w:r>
    </w:p>
    <w:p>
      <w:pPr>
        <w:spacing w:after="120"/>
        <w:ind w:left="720"/>
      </w:pPr>
      <w:r>
        <w:rPr>
          <w:i/>
          <w:iCs/>
          <w:color w:val="666666"/>
          <w:sz w:val="20"/>
          <w:szCs w:val="20"/>
        </w:rPr>
        <w:t xml:space="preserve">Aftermovie événementiel, action citoyenne à Lyon</w:t>
      </w:r>
    </w:p>
    <w:p>
      <w:pPr>
        <w:pStyle w:val="Heading1"/>
        <w:spacing w:after="140" w:before="280"/>
      </w:pPr>
      <w:r>
        <w:t xml:space="preserve">2. Compréhension du besoin</w:t>
      </w:r>
    </w:p>
    <w:p>
      <w:pPr>
        <w:spacing w:after="120"/>
      </w:pPr>
      <w:r>
        <w:rPr>
          <w:b w:val="false"/>
          <w:bCs w:val="false"/>
          <w:i w:val="false"/>
          <w:iCs w:val="false"/>
        </w:rPr>
        <w:t xml:space="preserve">L'alerte BOAMP identifie un accord-cadre à 4 lots référencé AT38_LR_4Lots_2027, rattaché à une Direction des mobilités (infrastructures / transport), sans détail sur la nature exacte des lots. Aucune composante communication/audiovisuel n'est explicitement mentionnée dans le texte de l'alerte, mais le DCE n'a pas pu être consulté pour le confirmer ou l'infirmer avec certitude. Ce mémoire est donc un canevas générique à compléter par Samuel une fois le règlement de consultation et le CCTP consultés, en particulier pour identifier lequel des 4 lots (le cas échéant) relève de la communication et à quel périmètre précis (supports, formats, volumétrie).</w:t>
      </w:r>
    </w:p>
    <w:p>
      <w:pPr>
        <w:pStyle w:val="Heading1"/>
        <w:spacing w:after="140" w:before="280"/>
      </w:pPr>
      <w:r>
        <w:t xml:space="preserve">3. Méthodologie et organisation</w:t>
      </w:r>
    </w:p>
    <w:p>
      <w:pPr>
        <w:pStyle w:val="Heading2"/>
        <w:spacing w:after="140" w:before="280"/>
      </w:pPr>
      <w:r>
        <w:t xml:space="preserve">Démarche de production</w:t>
      </w:r>
    </w:p>
    <w:p>
      <w:pPr>
        <w:spacing w:after="120"/>
      </w:pPr>
      <w:r>
        <w:rPr>
          <w:b w:val="false"/>
          <w:bCs w:val="false"/>
          <w:i w:val="false"/>
          <w:iCs w:val="false"/>
        </w:rPr>
        <w:t xml:space="preserve">Chaque mission suit un déroulé structuré : cadrage stratégique en amont (compréhension des objectifs et du public cible) → écriture / scénarisation → tournage ou prise de vue → montage et post-production → livraison → itérations de validation encadrées. Le cadrage stratégique initial conditionne la pertinence de tous les livrables et fait l'objet d'un point de lancement dédié avec l'acheteur.</w:t>
      </w:r>
    </w:p>
    <w:p>
      <w:pPr>
        <w:pStyle w:val="Heading2"/>
        <w:spacing w:after="140" w:before="280"/>
      </w:pPr>
      <w:r>
        <w:t xml:space="preserve">Organisation et interlocuteur</w:t>
      </w:r>
    </w:p>
    <w:p>
      <w:pPr>
        <w:spacing w:after="120"/>
      </w:pPr>
      <w:r>
        <w:rPr>
          <w:b w:val="false"/>
          <w:bCs w:val="false"/>
          <w:i w:val="false"/>
          <w:iCs w:val="false"/>
        </w:rPr>
        <w:t xml:space="preserve">Un point de contact unique est proposé côté candidat pour toute la durée de la mission. Les échanges et livrables transitent par des outils de partage sécurisés (WeTransfer, Google Drive ou équivalent). Un point d'étape est proposé à chaque jalon clé du planning.</w:t>
      </w:r>
    </w:p>
    <w:p>
      <w:pPr>
        <w:pStyle w:val="Heading2"/>
        <w:spacing w:after="140" w:before="280"/>
      </w:pPr>
      <w:r>
        <w:t xml:space="preserve">Gestion des délais et des aléas</w:t>
      </w:r>
    </w:p>
    <w:p>
      <w:pPr>
        <w:spacing w:after="120"/>
      </w:pPr>
      <w:r>
        <w:rPr>
          <w:b w:val="false"/>
          <w:bCs w:val="false"/>
          <w:i w:val="false"/>
          <w:iCs w:val="false"/>
        </w:rPr>
        <w:t xml:space="preserve">Le planning intègre une marge de sécurité pour absorber les aléas courants (météo pour les tournages extérieurs, disponibilité des intervenants côté acheteur). En cas d'indisponibilité majeure, le candidat s'appuie sur son réseau professionnel (voir section 4) pour garantir la continuité de la prestation.</w:t>
      </w:r>
    </w:p>
    <w:p>
      <w:pPr>
        <w:pStyle w:val="Heading2"/>
        <w:spacing w:after="140" w:before="280"/>
      </w:pPr>
      <w:r>
        <w:t xml:space="preserve">Processus de validation et encadrement des modifications</w:t>
      </w:r>
    </w:p>
    <w:p>
      <w:pPr>
        <w:spacing w:after="120"/>
      </w:pPr>
      <w:r>
        <w:rPr>
          <w:b w:val="false"/>
          <w:bCs w:val="false"/>
          <w:i w:val="false"/>
          <w:iCs w:val="false"/>
        </w:rPr>
        <w:t xml:space="preserve">Le workflow de post-production est limité à deux cycles de modifications après la première livraison : V1 (bout-à-bout, 7 jours ouvrés de retour), V2 (ajustements de détail, 5 jours ouvrés), V3 (version finale). Toute demande après validation de la V3, ou toute modification structurelle remettant en cause un bout-à-bout déjà validé, est facturée en supplément selon la ligne « Journée de montage supplémentaire » du BPU. L'acheteur désigne un interlocuteur unique pour compiler les retours.</w:t>
      </w:r>
    </w:p>
    <w:p>
      <w:pPr>
        <w:pStyle w:val="Heading1"/>
        <w:spacing w:after="140" w:before="280"/>
      </w:pPr>
      <w:r>
        <w:t xml:space="preserve">4. Moyens humains et matériels</w:t>
      </w:r>
    </w:p>
    <w:p>
      <w:pPr>
        <w:pStyle w:val="Heading2"/>
        <w:spacing w:after="140" w:before="280"/>
      </w:pPr>
      <w:r>
        <w:t xml:space="preserve">Moyens humains</w:t>
      </w:r>
    </w:p>
    <w:p>
      <w:pPr>
        <w:spacing w:after="120"/>
      </w:pPr>
      <w:r>
        <w:rPr>
          <w:b w:val="false"/>
          <w:bCs w:val="false"/>
          <w:i w:val="false"/>
          <w:iCs w:val="false"/>
        </w:rPr>
        <w:t xml:space="preserve">Intervention assurée personnellement par Samuel Perez. En cas de pic de charge, mobilisation possible d'un partenaire du réseau professionnel régional du candidat (voir plan de continuité ci-dessous).</w:t>
      </w:r>
    </w:p>
    <w:p>
      <w:pPr>
        <w:pStyle w:val="Heading2"/>
        <w:spacing w:after="140" w:before="280"/>
      </w:pPr>
      <w:r>
        <w:t xml:space="preserve">Plan de continuité d'activité</w:t>
      </w:r>
    </w:p>
    <w:p>
      <w:pPr>
        <w:spacing w:after="120"/>
      </w:pPr>
      <w:r>
        <w:rPr>
          <w:b w:val="false"/>
          <w:bCs w:val="false"/>
          <w:i w:val="false"/>
          <w:iCs w:val="false"/>
        </w:rPr>
        <w:t xml:space="preserve">Le candidat est intégré à un réseau professionnel actif de vidéastes et techniciens de l'audiovisuel en région Auvergne-Rhône-Alpes, sur lequel il peut s'appuyer en cas d'indisponibilité majeure pour assurer la continuité de la prestation. Sécurité technique : doublage systématique du matériel de prise de vue et de son sur chaque lieu de tournage. Sécurité des données : enregistrement simultané sur double slot de cartes, suivi d'un double backup quotidien (NAS local et cloud sécurisé).</w:t>
      </w:r>
    </w:p>
    <w:p>
      <w:pPr>
        <w:pStyle w:val="Heading2"/>
        <w:spacing w:after="140" w:before="280"/>
      </w:pPr>
      <w:r>
        <w:t xml:space="preserve">Matériel et logiciels</w:t>
      </w:r>
    </w:p>
    <w:p>
      <w:pPr>
        <w:spacing w:after="120"/>
      </w:pPr>
      <w:r>
        <w:rPr>
          <w:b w:val="false"/>
          <w:bCs w:val="false"/>
          <w:i w:val="false"/>
          <w:iCs w:val="false"/>
        </w:rPr>
        <w:t xml:space="preserve">Caméras et objectifs professionnels, stabilisation (gimbal), prise de son dédiée (micros HF et perche), éclairage portable. Suite logicielle : Adobe Premiere Pro, DaVinci Resolve, After Effects, Photoshop, Illustrator.</w:t>
      </w:r>
    </w:p>
    <w:p>
      <w:pPr>
        <w:pStyle w:val="Heading2"/>
        <w:spacing w:after="140" w:before="280"/>
      </w:pPr>
      <w:r>
        <w:t xml:space="preserve">Assurances et conformité</w:t>
      </w:r>
    </w:p>
    <w:p>
      <w:pPr>
        <w:spacing w:after="120"/>
      </w:pPr>
      <w:r>
        <w:rPr>
          <w:b w:val="false"/>
          <w:bCs w:val="false"/>
          <w:i w:val="false"/>
          <w:iCs w:val="false"/>
        </w:rPr>
        <w:t xml:space="preserve">Assurance responsabilité civile professionnelle : [À VÉRIFIER PAR SAMUEL — voir Notion Fiche entreprise, n° de police non renseigné]. Attestation URSSAF de vigilance disponible et à renouveler régulièrement avant dépôt : [À VÉRIFIER PAR SAMUEL — voir Notion Fiche entreprise, dernière édition 19/11/2024].</w:t>
      </w:r>
    </w:p>
    <w:p>
      <w:pPr>
        <w:pStyle w:val="Heading1"/>
        <w:spacing w:after="140" w:before="280"/>
      </w:pPr>
      <w:r>
        <w:t xml:space="preserve">5. Planning prévisionnel</w:t>
      </w:r>
    </w:p>
    <w:p>
      <w:pPr>
        <w:spacing w:after="120"/>
      </w:pPr>
      <w:r>
        <w:rPr>
          <w:b w:val="false"/>
          <w:bCs w:val="false"/>
          <w:i w:val="false"/>
          <w:iCs w:val="false"/>
        </w:rPr>
        <w:t xml:space="preserve">Calendrier synthétique, à ajuster avec l'acheteur lors du point de lancement :</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2200"/>
        <w:gridCol w:w="5200"/>
        <w:gridCol w:w="2400"/>
      </w:tblGrid>
      <w:tr>
        <w:tc>
          <w:tcPr>
            <w:tcW w:type="dxa" w:w="2200"/>
            <w:shd w:fill="1F4E5F" w:val="clear"/>
          </w:tcPr>
          <w:p>
            <w:r>
              <w:rPr>
                <w:b/>
                <w:bCs/>
                <w:color w:val="FFFFFF"/>
              </w:rPr>
              <w:t xml:space="preserve">Phase</w:t>
            </w:r>
          </w:p>
        </w:tc>
        <w:tc>
          <w:tcPr>
            <w:tcW w:type="dxa" w:w="5200"/>
            <w:shd w:fill="1F4E5F" w:val="clear"/>
          </w:tcPr>
          <w:p>
            <w:r>
              <w:rPr>
                <w:b/>
                <w:bCs/>
                <w:color w:val="FFFFFF"/>
              </w:rPr>
              <w:t xml:space="preserve">Contenu</w:t>
            </w:r>
          </w:p>
        </w:tc>
        <w:tc>
          <w:tcPr>
            <w:tcW w:type="dxa" w:w="2400"/>
            <w:shd w:fill="1F4E5F" w:val="clear"/>
          </w:tcPr>
          <w:p>
            <w:r>
              <w:rPr>
                <w:b/>
                <w:bCs/>
                <w:color w:val="FFFFFF"/>
              </w:rPr>
              <w:t xml:space="preserve">Durée indicative</w:t>
            </w:r>
          </w:p>
        </w:tc>
      </w:tr>
      <w:tr>
        <w:tc>
          <w:tcPr>
            <w:tcW w:type="dxa" w:w="2200"/>
          </w:tcPr>
          <w:p>
            <w:r>
              <w:t xml:space="preserve">Cadrage</w:t>
            </w:r>
          </w:p>
        </w:tc>
        <w:tc>
          <w:tcPr>
            <w:tcW w:type="dxa" w:w="5200"/>
          </w:tcPr>
          <w:p>
            <w:r>
              <w:t xml:space="preserve">Réunion de lancement, validation du brief et des objectifs — à préciser une fois le lot pertinent identifié</w:t>
            </w:r>
          </w:p>
        </w:tc>
        <w:tc>
          <w:tcPr>
            <w:tcW w:type="dxa" w:w="2400"/>
          </w:tcPr>
          <w:p>
            <w:r>
              <w:t xml:space="preserve">Semaine 1</w:t>
            </w:r>
          </w:p>
        </w:tc>
      </w:tr>
      <w:tr>
        <w:tc>
          <w:tcPr>
            <w:tcW w:type="dxa" w:w="2200"/>
          </w:tcPr>
          <w:p>
            <w:r>
              <w:t xml:space="preserve">Pré-production</w:t>
            </w:r>
          </w:p>
        </w:tc>
        <w:tc>
          <w:tcPr>
            <w:tcW w:type="dxa" w:w="5200"/>
          </w:tcPr>
          <w:p>
            <w:r>
              <w:t xml:space="preserve">Scénarisation, repérages, planning de tournage le cas échéant</w:t>
            </w:r>
          </w:p>
        </w:tc>
        <w:tc>
          <w:tcPr>
            <w:tcW w:type="dxa" w:w="2400"/>
          </w:tcPr>
          <w:p>
            <w:r>
              <w:t xml:space="preserve">Semaines 2-3</w:t>
            </w:r>
          </w:p>
        </w:tc>
      </w:tr>
      <w:tr>
        <w:tc>
          <w:tcPr>
            <w:tcW w:type="dxa" w:w="2200"/>
          </w:tcPr>
          <w:p>
            <w:r>
              <w:t xml:space="preserve">Production</w:t>
            </w:r>
          </w:p>
        </w:tc>
        <w:tc>
          <w:tcPr>
            <w:tcW w:type="dxa" w:w="5200"/>
          </w:tcPr>
          <w:p>
            <w:r>
              <w:t xml:space="preserve">Tournage(s) / prise(s) de vue</w:t>
            </w:r>
          </w:p>
        </w:tc>
        <w:tc>
          <w:tcPr>
            <w:tcW w:type="dxa" w:w="2400"/>
          </w:tcPr>
          <w:p>
            <w:r>
              <w:t xml:space="preserve">À planifier</w:t>
            </w:r>
          </w:p>
        </w:tc>
      </w:tr>
      <w:tr>
        <w:tc>
          <w:tcPr>
            <w:tcW w:type="dxa" w:w="2200"/>
          </w:tcPr>
          <w:p>
            <w:r>
              <w:t xml:space="preserve">Post-production</w:t>
            </w:r>
          </w:p>
        </w:tc>
        <w:tc>
          <w:tcPr>
            <w:tcW w:type="dxa" w:w="5200"/>
          </w:tcPr>
          <w:p>
            <w:r>
              <w:t xml:space="preserve">Montage, étalonnage, habillage, validations</w:t>
            </w:r>
          </w:p>
        </w:tc>
        <w:tc>
          <w:tcPr>
            <w:tcW w:type="dxa" w:w="2400"/>
          </w:tcPr>
          <w:p>
            <w:r>
              <w:t xml:space="preserve">À planifier</w:t>
            </w:r>
          </w:p>
        </w:tc>
      </w:tr>
      <w:tr>
        <w:tc>
          <w:tcPr>
            <w:tcW w:type="dxa" w:w="2200"/>
          </w:tcPr>
          <w:p>
            <w:r>
              <w:t xml:space="preserve">Livraison</w:t>
            </w:r>
          </w:p>
        </w:tc>
        <w:tc>
          <w:tcPr>
            <w:tcW w:type="dxa" w:w="5200"/>
          </w:tcPr>
          <w:p>
            <w:r>
              <w:t xml:space="preserve">Formats de livraison, droits, archivage</w:t>
            </w:r>
          </w:p>
        </w:tc>
        <w:tc>
          <w:tcPr>
            <w:tcW w:type="dxa" w:w="2400"/>
          </w:tcPr>
          <w:p>
            <w:r>
              <w:t xml:space="preserve">À planifier</w:t>
            </w:r>
          </w:p>
        </w:tc>
      </w:tr>
    </w:tbl>
    <w:p>
      <w:pPr>
        <w:pStyle w:val="Heading1"/>
        <w:spacing w:after="140" w:before="280"/>
      </w:pPr>
      <w:r>
        <w:t xml:space="preserve">6. Devis / bordereau des prix unitaires (BPU) indicatif</w:t>
      </w:r>
    </w:p>
    <w:p>
      <w:pPr>
        <w:spacing w:after="120"/>
      </w:pPr>
      <w:r>
        <w:rPr>
          <w:b w:val="false"/>
          <w:bCs w:val="false"/>
          <w:i w:val="false"/>
          <w:iCs w:val="false"/>
        </w:rPr>
        <w:t xml:space="preserve">Positionnement tarifaire "équilibré" appliqué par défaut : le poids du critère Prix dans le règlement de consultation n'a pas pu être vérifié (DCE inaccessible au moment de la génération de ce dossier). Ce tarif reflète un rapport qualité/prix optimal, avec un positionnement 30 à 40% sous les grilles d'agences traditionnelles lyonnaises, tout en garantissant une finition technique professionnelle. À ajuster par Samuel une fois la pondération du critère Prix confirmée dans le RC, et une fois le lot pertinent identifié.</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5200"/>
        <w:gridCol w:w="2400"/>
        <w:gridCol w:w="2200"/>
      </w:tblGrid>
      <w:tr>
        <w:tc>
          <w:tcPr>
            <w:tcW w:type="dxa" w:w="5200"/>
            <w:shd w:fill="1F4E5F" w:val="clear"/>
          </w:tcPr>
          <w:p>
            <w:r>
              <w:rPr>
                <w:b/>
                <w:bCs/>
                <w:color w:val="FFFFFF"/>
              </w:rPr>
              <w:t xml:space="preserve">Prestation</w:t>
            </w:r>
          </w:p>
        </w:tc>
        <w:tc>
          <w:tcPr>
            <w:tcW w:type="dxa" w:w="2400"/>
            <w:shd w:fill="1F4E5F" w:val="clear"/>
          </w:tcPr>
          <w:p>
            <w:r>
              <w:rPr>
                <w:b/>
                <w:bCs/>
                <w:color w:val="FFFFFF"/>
              </w:rPr>
              <w:t xml:space="preserve">Unité</w:t>
            </w:r>
          </w:p>
        </w:tc>
        <w:tc>
          <w:tcPr>
            <w:tcW w:type="dxa" w:w="2200"/>
            <w:shd w:fill="1F4E5F" w:val="clear"/>
          </w:tcPr>
          <w:p>
            <w:r>
              <w:rPr>
                <w:b/>
                <w:bCs/>
                <w:color w:val="FFFFFF"/>
              </w:rPr>
              <w:t xml:space="preserve">Prix unitaire HT</w:t>
            </w:r>
          </w:p>
        </w:tc>
      </w:tr>
      <w:tr>
        <w:tc>
          <w:tcPr>
            <w:tcW w:type="dxa" w:w="5200"/>
          </w:tcPr>
          <w:p>
            <w:r>
              <w:t xml:space="preserve">Journée de production (tournage / captation)</w:t>
            </w:r>
          </w:p>
        </w:tc>
        <w:tc>
          <w:tcPr>
            <w:tcW w:type="dxa" w:w="2400"/>
          </w:tcPr>
          <w:p>
            <w:r>
              <w:t xml:space="preserve">Jour</w:t>
            </w:r>
          </w:p>
        </w:tc>
        <w:tc>
          <w:tcPr>
            <w:tcW w:type="dxa" w:w="2200"/>
          </w:tcPr>
          <w:p>
            <w:r>
              <w:t xml:space="preserve">700 € HT</w:t>
            </w:r>
          </w:p>
        </w:tc>
      </w:tr>
      <w:tr>
        <w:tc>
          <w:tcPr>
            <w:tcW w:type="dxa" w:w="5200"/>
          </w:tcPr>
          <w:p>
            <w:r>
              <w:t xml:space="preserve">Demi-journée de production (tournage / captation)</w:t>
            </w:r>
          </w:p>
        </w:tc>
        <w:tc>
          <w:tcPr>
            <w:tcW w:type="dxa" w:w="2400"/>
          </w:tcPr>
          <w:p>
            <w:r>
              <w:t xml:space="preserve">Demi-journée</w:t>
            </w:r>
          </w:p>
        </w:tc>
        <w:tc>
          <w:tcPr>
            <w:tcW w:type="dxa" w:w="2200"/>
          </w:tcPr>
          <w:p>
            <w:r>
              <w:t xml:space="preserve">350 € HT</w:t>
            </w:r>
          </w:p>
        </w:tc>
      </w:tr>
      <w:tr>
        <w:tc>
          <w:tcPr>
            <w:tcW w:type="dxa" w:w="5200"/>
          </w:tcPr>
          <w:p>
            <w:r>
              <w:t xml:space="preserve">Journée de montage / post-production</w:t>
            </w:r>
          </w:p>
        </w:tc>
        <w:tc>
          <w:tcPr>
            <w:tcW w:type="dxa" w:w="2400"/>
          </w:tcPr>
          <w:p>
            <w:r>
              <w:t xml:space="preserve">Jour</w:t>
            </w:r>
          </w:p>
        </w:tc>
        <w:tc>
          <w:tcPr>
            <w:tcW w:type="dxa" w:w="2200"/>
          </w:tcPr>
          <w:p>
            <w:r>
              <w:t xml:space="preserve">700 € HT</w:t>
            </w:r>
          </w:p>
        </w:tc>
      </w:tr>
      <w:tr>
        <w:tc>
          <w:tcPr>
            <w:tcW w:type="dxa" w:w="5200"/>
          </w:tcPr>
          <w:p>
            <w:r>
              <w:t xml:space="preserve">Journée de montage supplémentaire (hors V1/V2/V3, cf. méthodologie)</w:t>
            </w:r>
          </w:p>
        </w:tc>
        <w:tc>
          <w:tcPr>
            <w:tcW w:type="dxa" w:w="2400"/>
          </w:tcPr>
          <w:p>
            <w:r>
              <w:t xml:space="preserve">Jour</w:t>
            </w:r>
          </w:p>
        </w:tc>
        <w:tc>
          <w:tcPr>
            <w:tcW w:type="dxa" w:w="2200"/>
          </w:tcPr>
          <w:p>
            <w:r>
              <w:t xml:space="preserve">700 € HT</w:t>
            </w:r>
          </w:p>
        </w:tc>
      </w:tr>
      <w:tr>
        <w:tc>
          <w:tcPr>
            <w:tcW w:type="dxa" w:w="5200"/>
          </w:tcPr>
          <w:p>
            <w:r>
              <w:t xml:space="preserve">Déplacement hors métropole de Lyon</w:t>
            </w:r>
          </w:p>
        </w:tc>
        <w:tc>
          <w:tcPr>
            <w:tcW w:type="dxa" w:w="2400"/>
          </w:tcPr>
          <w:p>
            <w:r>
              <w:t xml:space="preserve">Forfait km / sur devis</w:t>
            </w:r>
          </w:p>
        </w:tc>
        <w:tc>
          <w:tcPr>
            <w:tcW w:type="dxa" w:w="2200"/>
          </w:tcPr>
          <w:p>
            <w:r>
              <w:t xml:space="preserve">Sur devis</w:t>
            </w:r>
          </w:p>
        </w:tc>
      </w:tr>
    </w:tbl>
    <w:p>
      <w:pPr>
        <w:spacing w:after="120"/>
      </w:pPr>
      <w:r>
        <w:rPr>
          <w:b w:val="false"/>
          <w:bCs w:val="false"/>
          <w:i w:val="false"/>
          <w:iCs w:val="false"/>
        </w:rPr>
        <w:t xml:space="preserve">Tarifs exprimés en euros hors taxes. TVA non applicable, article 293 B du Code général des impôts (franchise en base de TVA).</w:t>
      </w:r>
    </w:p>
    <w:p>
      <w:pPr>
        <w:pStyle w:val="Heading1"/>
        <w:spacing w:after="140" w:before="280"/>
      </w:pPr>
      <w:r>
        <w:t xml:space="preserve">7. Annexes</w:t>
      </w:r>
    </w:p>
    <w:p>
      <w:pPr>
        <w:pStyle w:val="ListParagraph"/>
        <w:numPr>
          <w:ilvl w:val="0"/>
          <w:numId w:val="1"/>
        </w:numPr>
        <w:spacing w:after="80"/>
      </w:pPr>
      <w:r>
        <w:t xml:space="preserve">Formulaires DC1 et DC2 joints à la présente candidature</w:t>
      </w:r>
    </w:p>
    <w:p>
      <w:pPr>
        <w:pStyle w:val="ListParagraph"/>
        <w:numPr>
          <w:ilvl w:val="0"/>
          <w:numId w:val="1"/>
        </w:numPr>
        <w:spacing w:after="80"/>
      </w:pPr>
      <w:r>
        <w:t xml:space="preserve">Attestation URSSAF de vigilance — à joindre par Samuel (voir section 4)</w:t>
      </w:r>
    </w:p>
    <w:p>
      <w:pPr>
        <w:pStyle w:val="ListParagraph"/>
        <w:numPr>
          <w:ilvl w:val="0"/>
          <w:numId w:val="1"/>
        </w:numPr>
        <w:spacing w:after="80"/>
      </w:pPr>
      <w:r>
        <w:t xml:space="preserve">Book / showreel — samuelperez.fr</w:t>
      </w:r>
    </w:p>
    <w:sectPr>
      <w:pgSz w:w="11906" w:h="16838"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2026-07-31T09:01:38.009Z</dcterms:created>
  <dcterms:modified xsi:type="dcterms:W3CDTF">2026-07-31T09:01:38.009Z</dcterms:modified>
</cp:coreProperties>
</file>

<file path=docProps/custom.xml><?xml version="1.0" encoding="utf-8"?>
<Properties xmlns="http://schemas.openxmlformats.org/officeDocument/2006/custom-properties" xmlns:vt="http://schemas.openxmlformats.org/officeDocument/2006/docPropsVTypes"/>
</file>