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b/>
          <w:bCs/>
          <w:color w:val="1B2A4A"/>
          <w:sz w:val="44"/>
          <w:szCs w:val="44"/>
        </w:rPr>
        <w:t xml:space="preserve">MÉMOIRE TECHNIQUE</w:t>
      </w:r>
    </w:p>
    <w:p>
      <w:pPr>
        <w:spacing w:after="600"/>
      </w:pPr>
      <w:r>
        <w:rPr>
          <w:color w:val="555555"/>
          <w:sz w:val="26"/>
          <w:szCs w:val="26"/>
        </w:rPr>
        <w:t xml:space="preserve">Réponse à l'appel d'offres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Intitulé du marché — ex. "Prestations de production audiovisuelle et de communication institutionnelle" ]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Acheteur public — ex. Métropole de Lyon / Nom de la collectivité ]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Référence de la consultation — n° et lot(s) le cas échéant ]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Date limite de remise des offres ]</w:t>
      </w:r>
    </w:p>
    <w:p>
      <w:pPr>
        <w:pBdr>
          <w:top w:val="single" w:color="1B2A4A" w:sz="8" w:space="8"/>
        </w:pBdr>
        <w:spacing w:before="1000"/>
      </w:pPr>
    </w:p>
    <w:p>
      <w:pPr>
        <w:spacing w:before="300"/>
      </w:pPr>
      <w:r>
        <w:rPr>
          <w:b/>
          <w:bCs/>
          <w:color w:val="1B2A4A"/>
          <w:sz w:val="22"/>
          <w:szCs w:val="22"/>
        </w:rPr>
        <w:t xml:space="preserve">Candidat</w:t>
      </w:r>
    </w:p>
    <w:p>
      <w:pPr>
        <w:spacing w:after="160" w:line="300"/>
      </w:pPr>
      <w:r>
        <w:rPr>
          <w:i w:val="false"/>
          <w:iCs w:val="false"/>
          <w:color w:val="222222"/>
          <w:sz w:val="21"/>
          <w:szCs w:val="21"/>
        </w:rPr>
        <w:t xml:space="preserve">Samuel Perez — Vidéaste, monteur et stratège en communication</w:t>
      </w:r>
    </w:p>
    <w:p>
      <w:pPr>
        <w:spacing w:after="160" w:line="300"/>
      </w:pPr>
      <w:r>
        <w:rPr>
          <w:i w:val="false"/>
          <w:iCs w:val="false"/>
          <w:color w:val="222222"/>
          <w:sz w:val="21"/>
          <w:szCs w:val="21"/>
        </w:rPr>
        <w:t xml:space="preserve">samuelperez.fr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Statut juridique — auto-entrepreneur / EI — SIRET ]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Coordonnées : email pro, téléphone ]</w:t>
      </w:r>
    </w:p>
    <w:p>
      <w:r>
        <w:br w:type="page"/>
      </w:r>
    </w:p>
    <w:p>
      <w:pPr>
        <w:sectPr>
          <w:pgSz w:w="11906" w:h="16838" w:orient="portrait"/>
          <w:pgMar w:top="1700" w:right="1400" w:bottom="1400" w:left="14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1. </w:t>
      </w:r>
      <w:r>
        <w:rPr>
          <w:b/>
          <w:bCs/>
          <w:color w:val="1B2A4A"/>
          <w:sz w:val="26"/>
          <w:szCs w:val="26"/>
        </w:rPr>
        <w:t xml:space="preserve">Présentation du candidat</w:t>
      </w:r>
    </w:p>
    <w:p>
      <w:pPr>
        <w:spacing w:after="160" w:line="300"/>
      </w:pPr>
      <w:r>
        <w:rPr>
          <w:i w:val="false"/>
          <w:iCs w:val="false"/>
          <w:color w:val="222222"/>
          <w:sz w:val="21"/>
          <w:szCs w:val="21"/>
        </w:rPr>
        <w:t xml:space="preserve">Cette section établit la légitimité et la fiabilité du candidat avant même d'entrer dans le détail de l'offre. Elle doit rassurer l'acheteur sur la capacité à mener le marché à bien.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Identité et positionnement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[ 4-5 lignes : qui vous êtes, votre positionnement "stratégie avant l'image", votre double compétence audiovisuel + marketing/communication. Évitez le CV brut — racontez comment cette double compétence répond spécifiquement au besoin de l'acheteur. ]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Statut et structure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Statut juridique, ancienneté d'activité, zone d'intervention géographique, éventuelle collaboration avec Marilla Films si pertinent pour ce marché (renfort ponctuel, sous-traitance déclarée) ]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Références similaires</w:t>
      </w:r>
    </w:p>
    <w:p>
      <w:pPr>
        <w:spacing w:after="160" w:line="300"/>
      </w:pPr>
      <w:r>
        <w:rPr>
          <w:i w:val="false"/>
          <w:iCs w:val="false"/>
          <w:color w:val="222222"/>
          <w:sz w:val="21"/>
          <w:szCs w:val="21"/>
        </w:rPr>
        <w:t xml:space="preserve">Trois à cinq réalisations comparables au marché visé, en misant sur la pertinence plutôt que l'exhaustivité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[ Client / commanditaire — nature de la mission — résultat chiffré si possible 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[ Ma Clé de 12 — chaîne YouTube automobile, 1M+ vues cumulées, 20+ vidéos — pertinent si le marché touche à la vulgarisation ou au grand public 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[ Renault Trucks International — stratégie de contenu sur trois zones internationales — pertinent si le marché touche à la coordination multi-sites 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[ Ajouter une référence secteur public si disponible, sinon l'assumer et compenser par la méthodologie ]</w:t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2. </w:t>
      </w:r>
      <w:r>
        <w:rPr>
          <w:b/>
          <w:bCs/>
          <w:color w:val="1B2A4A"/>
          <w:sz w:val="26"/>
          <w:szCs w:val="26"/>
        </w:rPr>
        <w:t xml:space="preserve">Compréhension du besoin</w:t>
      </w:r>
    </w:p>
    <w:p>
      <w:pPr>
        <w:spacing w:after="160" w:line="300"/>
      </w:pPr>
      <w:r>
        <w:rPr>
          <w:i w:val="false"/>
          <w:iCs w:val="false"/>
          <w:color w:val="222222"/>
          <w:sz w:val="21"/>
          <w:szCs w:val="21"/>
        </w:rPr>
        <w:t xml:space="preserve">L'acheteur évalue ici votre capacité à avoir lu et compris son cahier des charges, pas votre offre commerciale. Reformulez ses enjeux avec ses propres mots-clés (repris du CCTP).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Reformulation du contexte de l'acheteur : ses enjeux de communication, son public cible, les contraintes évoquées dans le DCE (délais, budget, identité visuelle existante) ]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Identification des points de vigilance ou difficultés du marché — montre que vous avez anticipé, pas juste lu en diagonale ]</w:t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3. </w:t>
      </w:r>
      <w:r>
        <w:rPr>
          <w:b/>
          <w:bCs/>
          <w:color w:val="1B2A4A"/>
          <w:sz w:val="26"/>
          <w:szCs w:val="26"/>
        </w:rPr>
        <w:t xml:space="preserve">Méthodologie et organisation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Démarche de production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Décrire le déroulé type d'une mission : cadrage stratégique → écriture/scénarisation → tournage → montage → livraison → itérations de validation. Insister sur l'étape de cadrage stratégique en amont, cohérente avec le positionnement "stratégie avant l'image" ]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Organisation et interlocuteur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Modalités de coordination avec l'acheteur : point de contact unique, fréquence des points d'étape, outils de partage (Frame.io, WeTransfer, Drive...), délais de retour sur les livrables ]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Gestion des délais et des aléas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Comment les retards, intempéries (tournage extérieur), indisponibilités sont anticipés — marge de sécurité dans le planning, solutions de repli ]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Processus de validation et encadrement des modifications</w:t>
      </w:r>
    </w:p>
    <w:p>
      <w:pPr>
        <w:spacing w:after="160" w:line="300"/>
      </w:pPr>
      <w:r>
        <w:rPr>
          <w:i w:val="false"/>
          <w:iCs w:val="false"/>
          <w:color w:val="222222"/>
          <w:sz w:val="21"/>
          <w:szCs w:val="21"/>
        </w:rPr>
        <w:t xml:space="preserve">Le prix proposé intègre un workflow standardisé limité à deux cycles de modifications maximum après la livraison de la première version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Version 1 — Bout-à-bout (pré-montage) : structure narrative brute, calage des interviews, choix des plans. L'acheteur dispose de 7 jours ouvrés pour centraliser ses retours. La validation du bout-à-bout fige définitivement la structure du film.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Version 2 — Ajustements de détail : intégration des corrections sur la V1 (rythme, habillage, titrage). Derniers ajustements sous 5 jours ouvrés.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Version 3 — Version finale : export après mixage audio et étalonnage colorimétrique.</w:t>
      </w:r>
    </w:p>
    <w:p>
      <w:pPr>
        <w:spacing w:after="160" w:line="300"/>
      </w:pPr>
      <w:r>
        <w:rPr>
          <w:i w:val="false"/>
          <w:iCs w:val="false"/>
          <w:color w:val="222222"/>
          <w:sz w:val="21"/>
          <w:szCs w:val="21"/>
        </w:rPr>
        <w:t xml:space="preserve">L'acheteur s'engage à désigner un interlocuteur unique en charge de compiler et d'arbitrer les retours des différents services, afin d'éviter les demandes contradictoires. Toute demande de modification postérieure à la validation de la Version 3, ou toute modification structurelle remettant en cause un bout-à-bout préalablement validé, sera facturée en supplément sur la base de la ligne "Journée de montage supplémentaire" du bordereau des prix unitaires.</w:t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4. </w:t>
      </w:r>
      <w:r>
        <w:rPr>
          <w:b/>
          <w:bCs/>
          <w:color w:val="1B2A4A"/>
          <w:sz w:val="26"/>
          <w:szCs w:val="26"/>
        </w:rPr>
        <w:t xml:space="preserve">Moyens humains et techniques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Moyens humains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Rôle(s) tenu(s) personnellement ; le cas échéant, réseau de partenaires mobilisables (cadreur additionnel, drone, motion designer) pour absorber un pic de charge — présenter cela comme une force de flexibilité plutôt qu'une faiblesse de solo ]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Plan de continuité d'activité</w:t>
      </w:r>
    </w:p>
    <w:p>
      <w:pPr>
        <w:spacing w:after="160" w:line="300"/>
      </w:pPr>
      <w:r>
        <w:rPr>
          <w:i w:val="false"/>
          <w:iCs w:val="false"/>
          <w:color w:val="222222"/>
          <w:sz w:val="21"/>
          <w:szCs w:val="21"/>
        </w:rPr>
        <w:t xml:space="preserve">Le candidat est intégré à un réseau professionnel actif de vidéastes et techniciens de l'audiovisuel en région Auvergne-Rhône-Alpes, sur lequel il peut s'appuyer en cas d'indisponibilité majeure pour assurer la continuité de la prestation.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Sécurité technique : doublage systématique du matériel de prise de vue et de son sur chaque lieu de tournage.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Sécurité des données : enregistrement simultané sur double slot de cartes mémoire, suivi d'un double backup quotidien (serveur NAS local et stockage cloud sécurisé).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Matériel et logiciels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Liste du matériel de tournage (caméras, stabilisation, son) et de la suite logicielle : Adobe Premiere Pro, DaVinci Resolve, After Effects, Photoshop, Illustrator ]</w:t>
      </w:r>
    </w:p>
    <w:p>
      <w:pPr>
        <w:pStyle w:val="Heading2"/>
        <w:spacing w:after="120" w:before="240"/>
      </w:pPr>
      <w:r>
        <w:rPr>
          <w:b/>
          <w:bCs/>
          <w:color w:val="9C7A3C"/>
          <w:sz w:val="22"/>
          <w:szCs w:val="22"/>
        </w:rPr>
        <w:t xml:space="preserve">Assurances et conformité</w:t>
      </w:r>
    </w:p>
    <w:p>
      <w:pPr>
        <w:pBdr>
          <w:top w:val="single" w:color="CBBF9A" w:sz="4" w:space="4"/>
          <w:bottom w:val="single" w:color="CBBF9A" w:sz="4" w:space="4"/>
          <w:left w:val="single" w:color="CBBF9A" w:sz="4" w:space="4"/>
          <w:right w:val="single" w:color="CBBF9A" w:sz="4" w:space="4"/>
        </w:pBdr>
        <w:shd w:fill="F2EFE8" w:val="clear"/>
        <w:spacing w:after="160" w:line="300"/>
        <w:ind w:left="200" w:right="200"/>
      </w:pPr>
      <w:r>
        <w:rPr>
          <w:i/>
          <w:iCs/>
          <w:color w:val="555555"/>
          <w:sz w:val="20"/>
          <w:szCs w:val="20"/>
        </w:rPr>
        <w:t xml:space="preserve">[ Assurance responsabilité civile professionnelle — n° de police si exigé par le règlement de consultation ]</w:t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5. </w:t>
      </w:r>
      <w:r>
        <w:rPr>
          <w:b/>
          <w:bCs/>
          <w:color w:val="1B2A4A"/>
          <w:sz w:val="26"/>
          <w:szCs w:val="26"/>
        </w:rPr>
        <w:t xml:space="preserve">Planning prévisionnel</w:t>
      </w:r>
    </w:p>
    <w:p>
      <w:pPr>
        <w:spacing w:after="160" w:line="300"/>
      </w:pPr>
      <w:r>
        <w:rPr>
          <w:i w:val="false"/>
          <w:iCs w:val="false"/>
          <w:color w:val="222222"/>
          <w:sz w:val="21"/>
          <w:szCs w:val="21"/>
        </w:rPr>
        <w:t xml:space="preserve">Un calendrier synthétique, phase par phase, à adapter à la durée du marché.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3300"/>
      </w:tblGrid>
      <w:tr>
        <w:trPr>
          <w:tblHeader/>
        </w:trPr>
        <w:tc>
          <w:tcPr>
            <w:tcW w:type="dxa" w:w="30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30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Durée indicative</w:t>
            </w:r>
          </w:p>
        </w:tc>
      </w:tr>
      <w:tr>
        <w:tc>
          <w:tcPr>
            <w:tcW w:type="dxa" w:w="3000"/>
            <w:shd w:fill="F2EFE8" w:val="clear"/>
          </w:tcPr>
          <w:p>
            <w:r>
              <w:rPr>
                <w:b/>
                <w:bCs/>
                <w:sz w:val="19"/>
                <w:szCs w:val="19"/>
              </w:rPr>
              <w:t xml:space="preserve">Cadrage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 Réunion de lancement, validation du brief et des objectifs ]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 ex. Semaine 1 ]</w:t>
            </w:r>
          </w:p>
        </w:tc>
      </w:tr>
      <w:tr>
        <w:tc>
          <w:tcPr>
            <w:tcW w:type="dxa" w:w="3000"/>
            <w:shd w:fill="F2EFE8" w:val="clear"/>
          </w:tcPr>
          <w:p>
            <w:r>
              <w:rPr>
                <w:b/>
                <w:bCs/>
                <w:sz w:val="19"/>
                <w:szCs w:val="19"/>
              </w:rPr>
              <w:t xml:space="preserve">Pré-production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 Scénarisation, repérages, planning de tournage ]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 ex. Semaines 2-3 ]</w:t>
            </w:r>
          </w:p>
        </w:tc>
      </w:tr>
      <w:tr>
        <w:tc>
          <w:tcPr>
            <w:tcW w:type="dxa" w:w="3000"/>
            <w:shd w:fill="F2EFE8" w:val="clear"/>
          </w:tcPr>
          <w:p>
            <w:r>
              <w:rPr>
                <w:b/>
                <w:bCs/>
                <w:sz w:val="19"/>
                <w:szCs w:val="19"/>
              </w:rPr>
              <w:t xml:space="preserve">Production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 Tournage(s) ]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 ex. Semaine 4 ]</w:t>
            </w:r>
          </w:p>
        </w:tc>
      </w:tr>
      <w:tr>
        <w:tc>
          <w:tcPr>
            <w:tcW w:type="dxa" w:w="3000"/>
            <w:shd w:fill="F2EFE8" w:val="clear"/>
          </w:tcPr>
          <w:p>
            <w:r>
              <w:rPr>
                <w:b/>
                <w:bCs/>
                <w:sz w:val="19"/>
                <w:szCs w:val="19"/>
              </w:rPr>
              <w:t xml:space="preserve">Post-production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 Montage, étalonnage, habillage, validations ]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 ex. Semaines 5-6 ]</w:t>
            </w:r>
          </w:p>
        </w:tc>
      </w:tr>
      <w:tr>
        <w:tc>
          <w:tcPr>
            <w:tcW w:type="dxa" w:w="3000"/>
            <w:shd w:fill="F2EFE8" w:val="clear"/>
          </w:tcPr>
          <w:p>
            <w:r>
              <w:rPr>
                <w:b/>
                <w:bCs/>
                <w:sz w:val="19"/>
                <w:szCs w:val="19"/>
              </w:rPr>
              <w:t xml:space="preserve">Livraison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 Formats de livraison, droits, archivage ]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 ex. Semaine 7 ]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b/>
          <w:bCs/>
          <w:color w:val="1B2A4A"/>
          <w:sz w:val="26"/>
          <w:szCs w:val="26"/>
        </w:rPr>
        <w:t xml:space="preserve">6. </w:t>
      </w:r>
      <w:r>
        <w:rPr>
          <w:b/>
          <w:bCs/>
          <w:color w:val="1B2A4A"/>
          <w:sz w:val="26"/>
          <w:szCs w:val="26"/>
        </w:rPr>
        <w:t xml:space="preserve">Annexes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[ Attestations fiscales et sociales, assurance RC pro 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[ Formulaires DC1 / DC2 le cas échéant 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[ Book / showreel — lien vers samuelperez.fr 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</w:rPr>
        <w:t xml:space="preserve">[ Devis détaillé — dans l'acte d'engagement, pas dans ce mémoire ]</w:t>
      </w:r>
    </w:p>
    <w:sectPr>
      <w:headerReference w:type="default" r:id="rId7"/>
      <w:footerReference w:type="default" r:id="rId8"/>
      <w:pgSz w:w="11906" w:h="16838" w:orient="portrait"/>
      <w:pgMar w:top="1400" w:right="1400" w:bottom="14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Samuel Perez —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Mémoire technique — </w:t>
    </w:r>
    <w:r>
      <w:rPr>
        <w:i/>
        <w:iCs/>
        <w:color w:val="555555"/>
        <w:sz w:val="16"/>
        <w:szCs w:val="16"/>
      </w:rPr>
      <w:t xml:space="preserve">[Intitulé du marché]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2026-07-30T19:38:42.287Z</dcterms:created>
  <dcterms:modified xsi:type="dcterms:W3CDTF">2026-07-30T19:38:42.303Z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