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Giải đáp ca khó và QA QC cho Cohort 4A</w:t>
      </w:r>
    </w:p>
    <w:p>
      <w:r>
        <w:rPr>
          <w:color w:val="1F4E79"/>
          <w:sz w:val="26"/>
        </w:rPr>
        <w:t>Mentor Duty Buổi 2  •  Hướng dẫn dùng ngay cho 8 team</w:t>
      </w:r>
    </w:p>
    <w:p>
      <w:r>
        <w:rPr>
          <w:b/>
        </w:rPr>
        <w:t xml:space="preserve">Mục đích. </w:t>
      </w:r>
      <w:r>
        <w:t>Tài liệu trả lời các câu hỏi thực tế trong buổi 2. Phần giải đáp thực hành là trọng tâm; các case industry và phương pháp QA được dùng để giải thích cơ sở của quyết định, không thay thế quyết định taxonomy riêng của BTC.</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Phạm vi</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Nội dung</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Đối tượng</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Asterion, TryHard, VinaMind, zero-one, WAR, Anyone’s Legend, DAlime-HA, Unknown</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Trọng tâm</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Taxonomy, occlusion, class mơ hồ, CVAT workflow, review, QA sampling, IAA và Wilson interval</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Cách dùng</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Dùng phần Kết luận để xử lý ngay; dùng Case industry để giải thích; dùng phụ lục để audit và ghi decision log</w:t>
            </w:r>
          </w:p>
        </w:tc>
      </w:tr>
    </w:tbl>
    <w:p>
      <w:pPr>
        <w:spacing w:after="40"/>
      </w:pPr>
    </w:p>
    <w:p>
      <w:r>
        <w:br w:type="page"/>
      </w:r>
    </w:p>
    <w:p>
      <w:pPr>
        <w:pStyle w:val="Heading1"/>
      </w:pPr>
      <w:r>
        <w:t>1. Kết luận điều hành</w:t>
      </w:r>
    </w:p>
    <w:p>
      <w:r>
        <w:t>Trong buổi 2, 8/8 team đã nộp báo cáo nhưng 0/8 team đã được chấm trên hệ thống. Các câu hỏi gom thành ba nhóm: taxonomy chưa đủ rõ, ca hình ảnh khó và quy trình QA chưa có ngưỡng thống nhất.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Nhóm vấn đề</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Quyết định dùng chung đề xuất</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Class không chắc chắn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Không tự suy đoán class; giữ bằng chứng và đưa vào review hoặc escalation.</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Occlusion / truncation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Vẽ phần có bằng chứng nhìn thấy; đánh dấu occluded; không ước lượng phần bị che.</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Tool và frame liên tiếp</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Dùng track/interpolation khi phù hợp nhưng vẫn kiểm tra keyframe và frame có thay đổi.</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QA sample</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Kết hợp risk-based, stratified và random sampling; không mặc định mọi team cùng tỷ lệ.</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Wilson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Báo cáo khoảng bất định của tỷ lệ lỗi; không tự quyết định taxonomy.</w:t>
            </w:r>
          </w:p>
        </w:tc>
      </w:tr>
    </w:tbl>
    <w:p>
      <w:pPr>
        <w:spacing w:after="40"/>
      </w:pPr>
    </w:p>
    <w:p>
      <w:pPr>
        <w:pStyle w:val="Heading1"/>
      </w:pPr>
      <w:r>
        <w:t>2. Bảng giải đáp theo team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7"/>
              </w:rPr>
              <w:t>Team</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7"/>
              </w:rPr>
              <w:t>Tình trạng</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7"/>
              </w:rPr>
              <w:t>Giải đáp và việc cần làm</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WAR</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BBOX hoàn thành; SEG 25/25 ở Job 1566; một số job còn in progress</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Chốt số liệu review và trạng thái Job 1569 trước khi nghiệm thu.</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VinaMind</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150/200 ảnh; 125/200 qua review; vòng đầu 43% đạt</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Phân loại ảnh bị trả lại, thống nhất workflow review Segmentation và đo lại sau khi sửa.</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Anyone’s Legend</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Job 1567 khoảng 80%; còn 13 lỗi review</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Hướng dẫn thao tác BBOX/Segmentation và kiểm tra lỗi theo nhóm nguyên nhân.</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Unknown</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200/200 ảnh; review chéo; 9 issue</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Thực hành Layer/Z-order và escalation cho object chồng lấp.</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zero-one</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145/175 ảnh; BBOX 75/75; SEG 70/100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Hoàn thành 30 ảnh SEG; đánh giá pre-labeling như bản nháp, không phải ground truth.</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TryHard</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Annotation, review và decision log đã hoàn tất</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Gom 23 issue thành nhóm taxonomy thay vì xử lý 23 ca rời rạc.</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Asterion</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Báo cáo ghi đã hoàn thành toàn bộ job</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7"/>
              </w:rPr>
              <w:t>Chốt occlusion, rider/passenger và track/interpolation.</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DAlime-HA</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100% labeling và review, 8/8 job</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7"/>
              </w:rPr>
              <w:t>Trả lời pixel tolerance, IAA và sampling audit; dùng làm pilot QA.</w:t>
            </w:r>
          </w:p>
        </w:tc>
      </w:tr>
    </w:tbl>
    <w:p>
      <w:pPr>
        <w:spacing w:after="40"/>
      </w:pPr>
    </w:p>
    <w:p>
      <w:pPr>
        <w:pStyle w:val="Heading1"/>
      </w:pPr>
      <w:r>
        <w:t>3. Giải đáp các ca khó dùng ngay</w:t>
      </w:r>
    </w:p>
    <w:p>
      <w:pPr>
        <w:pStyle w:val="Heading2"/>
      </w:pPr>
      <w:r>
        <w:t>3.1 Khi không chắc chắn về class</w:t>
      </w:r>
    </w:p>
    <w:p>
      <w:r>
        <w:t>Không gán nhãn theo phỏng đoán. Annotator ghi object, bằng chứng, các class có thể hiểu và câu hỏi cần BTC chốt. Nếu taxonomy không có class phù hợp, không tự tạo class mới và không ép object vào class gần nhất chỉ để hoàn thành tiến độ.</w:t>
      </w:r>
    </w:p>
    <w:p>
      <w:r>
        <w:t>Áp dụng cho TryHard, VinaMind, DAlime-HA và Asterion: mỗi class mới cần definition, inclusion, exclusion, counter-example và cách xử lý khi ảnh không đủ bằng chứng.</w:t>
      </w:r>
    </w:p>
    <w:p>
      <w:pPr>
        <w:pStyle w:val="Heading2"/>
      </w:pPr>
      <w:r>
        <w:t>3.2 Vật thể bị che khuất hoặc bị cắt</w:t>
      </w:r>
    </w:p>
    <w:p>
      <w:r>
        <w:t>Kết luận: vẽ phần nhìn thấy có bằng chứng; không suy đoán hình dạng phía sau vật che. Đánh dấu occluded khi schema hỗ trợ. Nếu bị cắt bởi mép ảnh, ghi nhận truncated hoặc đưa vào review theo quy ước cohort.</w:t>
      </w:r>
    </w:p>
    <w:p>
      <w:r>
        <w:t>Waymo cũng quy định bounding box chỉ bao quanh phần nhìn thấy và không ước lượng phần bị che khuất.</w:t>
      </w:r>
    </w:p>
    <w:p>
      <w:pPr>
        <w:spacing w:after="40"/>
        <w:ind w:left="288"/>
      </w:pPr>
      <w:r>
        <w:rPr>
          <w:b/>
          <w:sz w:val="17"/>
        </w:rPr>
        <w:t xml:space="preserve">Waymo Labeling Specifications: </w:t>
      </w:r>
      <w:r>
        <w:rPr>
          <w:color w:val="1F4E79"/>
          <w:sz w:val="17"/>
        </w:rPr>
        <w:t>https://github.com/waymo-research/waymo-open-dataset/blob/master/docs/labeling_specifications.md</w:t>
      </w:r>
    </w:p>
    <w:p>
      <w:pPr>
        <w:pStyle w:val="Heading2"/>
      </w:pPr>
      <w:r>
        <w:t>3.3 Object chồng lấp và Layer/Z-order</w:t>
      </w:r>
    </w:p>
    <w:p>
      <w:r>
        <w:t>Layer chỉ kiểm soát thứ tự hiển thị; không thay đổi bản chất annotation. Khi hai object chồng lấp, cần xác định object riêng, giữ ranh giới theo bằng chứng và kiểm tra layer để không vô tình che hoặc sửa object khác.</w:t>
      </w:r>
    </w:p>
    <w:p>
      <w:pPr>
        <w:spacing w:after="40"/>
        <w:ind w:left="288"/>
      </w:pPr>
      <w:r>
        <w:rPr>
          <w:b/>
          <w:sz w:val="17"/>
        </w:rPr>
        <w:t xml:space="preserve">CVAT Layers: </w:t>
      </w:r>
      <w:r>
        <w:rPr>
          <w:color w:val="1F4E79"/>
          <w:sz w:val="17"/>
        </w:rPr>
        <w:t>https://docs.cvat.ai/docs/annotation/annotation-editor/layers/</w:t>
      </w:r>
    </w:p>
    <w:p>
      <w:pPr>
        <w:pStyle w:val="Heading2"/>
      </w:pPr>
      <w:r>
        <w:t>3.4 Track và interpolation</w:t>
      </w:r>
    </w:p>
    <w:p>
      <w:r>
        <w:t>Dùng Track mode cho object xuất hiện liên tục qua nhiều frame có chuyển động tương đối ổn định. Keyframe vẫn phải kiểm tra tại các điểm object đổi hướng, bị che, biến dạng hoặc thay đổi class. Interpolation giảm thao tác lặp, không loại bỏ review.</w:t>
      </w:r>
    </w:p>
    <w:p>
      <w:pPr>
        <w:spacing w:after="40"/>
        <w:ind w:left="288"/>
      </w:pPr>
      <w:r>
        <w:rPr>
          <w:b/>
          <w:sz w:val="17"/>
        </w:rPr>
        <w:t xml:space="preserve">CVAT Track Mode: </w:t>
      </w:r>
      <w:r>
        <w:rPr>
          <w:color w:val="1F4E79"/>
          <w:sz w:val="17"/>
        </w:rPr>
        <w:t>https://docs.cvat.ai/docs/manual/advanced/track-mode-advanced/</w:t>
      </w:r>
    </w:p>
    <w:p>
      <w:pPr>
        <w:pStyle w:val="Heading2"/>
      </w:pPr>
      <w:r>
        <w:t>3.5 Issue review và sửa lỗi</w:t>
      </w:r>
    </w:p>
    <w:p>
      <w:r>
        <w:t>Workflow thống nhất: Annotate → Cross-review → Report issue → Correct → Comment → Resolve → Recheck. Mỗi issue cần có frame, mô tả, loại lỗi, người sửa và bằng chứng sau khi sửa.</w:t>
      </w:r>
    </w:p>
    <w:p>
      <w:pPr>
        <w:spacing w:after="40"/>
        <w:ind w:left="288"/>
      </w:pPr>
      <w:r>
        <w:rPr>
          <w:b/>
          <w:sz w:val="17"/>
        </w:rPr>
        <w:t xml:space="preserve">CVAT Manual QA and Review: </w:t>
      </w:r>
      <w:r>
        <w:rPr>
          <w:color w:val="1F4E79"/>
          <w:sz w:val="17"/>
        </w:rPr>
        <w:t>https://docs.cvat.ai/docs/qa-analytics/manual-qa/</w:t>
      </w:r>
    </w:p>
    <w:p>
      <w:pPr>
        <w:pStyle w:val="Heading1"/>
      </w:pPr>
      <w:r>
        <w:t>4. Industry case cho taxonomy</w:t>
      </w:r>
    </w:p>
    <w:p>
      <w:r>
        <w:t>Các case dưới đây không dùng để sao chép nguyên taxonomy vào Phoenix. Mục đích là cho thấy taxonomy tốt luôn đi cùng định nghĩa, schema, annotator instruction, ví dụ và evaluation rule.</w:t>
      </w:r>
    </w:p>
    <w:p>
      <w:pPr>
        <w:pStyle w:val="Heading2"/>
      </w:pPr>
      <w:r>
        <w:t>4.1 Waymo: visible-only và edge case</w:t>
      </w:r>
    </w:p>
    <w:p>
      <w:pPr>
        <w:pStyle w:val="ListBullet"/>
        <w:spacing w:after="60"/>
      </w:pPr>
      <w:r>
        <w:t>Box vẽ sát quanh phần nhìn thấy, không ước lượng phần bị occlusion.</w:t>
      </w:r>
    </w:p>
    <w:p>
      <w:pPr>
        <w:pStyle w:val="ListBullet"/>
        <w:spacing w:after="60"/>
      </w:pPr>
      <w:r>
        <w:t>Không label object nếu không thể nhận diện đủ chắc chắn.</w:t>
      </w:r>
    </w:p>
    <w:p>
      <w:pPr>
        <w:pStyle w:val="ListBullet"/>
        <w:spacing w:after="60"/>
      </w:pPr>
      <w:r>
        <w:t>Trailer và attachment có thể cần box riêng.</w:t>
      </w:r>
    </w:p>
    <w:p>
      <w:pPr>
        <w:pStyle w:val="ListBullet"/>
        <w:spacing w:after="60"/>
      </w:pPr>
      <w:r>
        <w:t>Object được theo dõi xuyên frame; đoạn bị che được đánh dấu occluded.</w:t>
      </w:r>
    </w:p>
    <w:p>
      <w:pPr>
        <w:pStyle w:val="ListBullet"/>
        <w:spacing w:after="60"/>
      </w:pPr>
      <w:r>
        <w:t>Object quá nhỏ ở horizon có thể bỏ qua khi không thể label riêng đáng tin cậy.</w:t>
      </w:r>
    </w:p>
    <w:p>
      <w:r>
        <w:t>Bài học: guideline phải nói rõ “khi nào không label”, không chỉ liệt kê “label những gì”.</w:t>
      </w:r>
    </w:p>
    <w:p>
      <w:pPr>
        <w:spacing w:after="40"/>
        <w:ind w:left="288"/>
      </w:pPr>
      <w:r>
        <w:rPr>
          <w:b/>
          <w:sz w:val="17"/>
        </w:rPr>
        <w:t xml:space="preserve">Waymo labeling specifications: </w:t>
      </w:r>
      <w:r>
        <w:rPr>
          <w:color w:val="1F4E79"/>
          <w:sz w:val="17"/>
        </w:rPr>
        <w:t>https://github.com/waymo-research/waymo-open-dataset/blob/master/docs/labeling_specifications.md</w:t>
      </w:r>
    </w:p>
    <w:p>
      <w:pPr>
        <w:pStyle w:val="Heading2"/>
      </w:pPr>
      <w:r>
        <w:t>4.2 BDD100K: taxonomy gắn với schema</w:t>
      </w:r>
    </w:p>
    <w:p>
      <w:r>
        <w:t>BDD100K lưu driving area bằng thuộc tính areaType như direct hoặc alternative. Đây là ví dụ cho thấy distinction nghiệp vụ phải được biểu diễn trong schema, thay vì chỉ nằm trong mô tả tự do. Case này phù hợp với area/drivable và area/alternative của TryHard và zero-one.</w:t>
      </w:r>
    </w:p>
    <w:p>
      <w:pPr>
        <w:spacing w:after="40"/>
        <w:ind w:left="288"/>
      </w:pPr>
      <w:r>
        <w:rPr>
          <w:b/>
          <w:sz w:val="17"/>
        </w:rPr>
        <w:t xml:space="preserve">BDD100K format: </w:t>
      </w:r>
      <w:r>
        <w:rPr>
          <w:color w:val="1F4E79"/>
          <w:sz w:val="17"/>
        </w:rPr>
        <w:t>https://github.com/ucbdrive/bdd100k/blob/master/doc/format.md</w:t>
      </w:r>
    </w:p>
    <w:p>
      <w:pPr>
        <w:pStyle w:val="Heading2"/>
      </w:pPr>
      <w:r>
        <w:t>4.3 nuScenes: taxonomy, instructions và evaluation đi cùng nhau</w:t>
      </w:r>
    </w:p>
    <w:p>
      <w:r>
        <w:t>nuScenes công bố taxonomy, annotator instructions, database schema và evaluation code cùng nhau. Class chỉ có ý nghĩa khi downstream system, format dữ liệu và cách đánh giá cùng hiểu giống nhau.</w:t>
      </w:r>
    </w:p>
    <w:p>
      <w:pPr>
        <w:spacing w:after="40"/>
        <w:ind w:left="288"/>
      </w:pPr>
      <w:r>
        <w:rPr>
          <w:b/>
          <w:sz w:val="17"/>
        </w:rPr>
        <w:t xml:space="preserve">nuScenes documentation: </w:t>
      </w:r>
      <w:r>
        <w:rPr>
          <w:color w:val="1F4E79"/>
          <w:sz w:val="17"/>
        </w:rPr>
        <w:t>https://www.nuscenes.org/nuscenes?externalData=all&amp;mapData=all&amp;modalities=Any</w:t>
      </w:r>
    </w:p>
    <w:p>
      <w:pPr>
        <w:spacing w:after="40"/>
        <w:ind w:left="288"/>
      </w:pPr>
      <w:r>
        <w:rPr>
          <w:b/>
          <w:sz w:val="17"/>
        </w:rPr>
        <w:t xml:space="preserve">nuScenes paper: </w:t>
      </w:r>
      <w:r>
        <w:rPr>
          <w:color w:val="1F4E79"/>
          <w:sz w:val="17"/>
        </w:rPr>
        <w:t>https://openaccess.thecvf.com/content_CVPR_2020/papers/Caesar_nuScenes_A_Multimodal_Dataset_for_Autonomous_Driving_CVPR_2020_paper.pdf</w:t>
      </w:r>
    </w:p>
    <w:p>
      <w:pPr>
        <w:pStyle w:val="Heading2"/>
      </w:pPr>
      <w:r>
        <w:t>4.4 Quy trình BA Engineer QA</w:t>
      </w:r>
    </w:p>
    <w:p>
      <w:pPr>
        <w:pStyle w:val="ListNumber"/>
        <w:spacing w:after="60"/>
      </w:pPr>
      <w:r>
        <w:t>BA/domain expert mô tả mục tiêu nghiệp vụ và quyết định cần hỗ trợ.</w:t>
      </w:r>
    </w:p>
    <w:p>
      <w:pPr>
        <w:pStyle w:val="ListNumber"/>
        <w:spacing w:after="60"/>
      </w:pPr>
      <w:r>
        <w:t>Engineer kiểm tra khả năng phân biệt class và nhu cầu downstream.</w:t>
      </w:r>
    </w:p>
    <w:p>
      <w:pPr>
        <w:pStyle w:val="ListNumber"/>
        <w:spacing w:after="60"/>
      </w:pPr>
      <w:r>
        <w:t>Annotation lead chạy pilot với normal case và edge case.</w:t>
      </w:r>
    </w:p>
    <w:p>
      <w:pPr>
        <w:pStyle w:val="ListNumber"/>
        <w:spacing w:after="60"/>
      </w:pPr>
      <w:r>
        <w:t>QA tổng hợp disagreement và lỗi lặp.</w:t>
      </w:r>
    </w:p>
    <w:p>
      <w:pPr>
        <w:pStyle w:val="ListNumber"/>
        <w:spacing w:after="60"/>
      </w:pPr>
      <w:r>
        <w:t>Mentor/BTC chốt decision log và phát hành version guideline.</w:t>
      </w:r>
    </w:p>
    <w:p>
      <w:pPr>
        <w:pStyle w:val="ListNumber"/>
        <w:spacing w:after="60"/>
      </w:pPr>
      <w:r>
        <w:t>Sau một batch, mở lại taxonomy nếu lỗi lặp cho thấy định nghĩa chưa đủ tốt.</w:t>
      </w:r>
    </w:p>
    <w:p>
      <w:pPr>
        <w:pStyle w:val="Heading1"/>
      </w:pPr>
      <w:r>
        <w:t>5. QA sampling theo rủi ro và nguồn lực</w:t>
      </w:r>
    </w:p>
    <w:p>
      <w:r>
        <w:t>Không có một tỷ lệ sample phù hợp cho mọi team. Sampling phải trả lời trước: đang ước lượng tỷ lệ lỗi, tìm lỗi nguy hiểm, hay quyết định accept/reject một batch?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Mục tiêu</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Cách chọn mẫu</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Áp dụng</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Ước lượng lỗi chung</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Random hoặc stratified sample</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Sau khi tách edge case</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Tìm lỗi nguy hiểm</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Audit 100% nhóm rủi ro cao</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Class hiếm, occlusion, glare, ảnh bị trả lại</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Accept/reject batch</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Acceptance sampling có ngưỡng</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WAR và job còn in progress</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Đánh giá consistency</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Consensus hoặc double annotation</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DAlime-HA, VinaMind và class mơ hồ</w:t>
            </w:r>
          </w:p>
        </w:tc>
      </w:tr>
    </w:tbl>
    <w:p>
      <w:pPr>
        <w:spacing w:after="40"/>
      </w:pPr>
    </w:p>
    <w:p>
      <w:pPr>
        <w:pStyle w:val="Heading2"/>
      </w:pPr>
      <w:r>
        <w:t>5.1 Protocol K 100</w:t>
      </w:r>
    </w:p>
    <w:p>
      <w:r>
        <w:t>Trong tài liệu này, K 100 được hiểu là protocol audit 100 mẫu dùng cho screening ban đầu; không phải chuẩn annotation phổ quát. Nếu cohort dùng tên K 100, cần ghi rõ sample size, cách chọn mẫu, acceptance rule và confidence method.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Tầng mẫu</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Số mẫu</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Mục đích</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Random đại diện</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60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Ước lượng chất lượng chung</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Edge case</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20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Occlusion, blur, glare, truncation, overlap</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Class hiếm</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10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Kiểm tra missed object và taxonomy</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Ảnh từng bị trả lại</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10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Kiểm tra khả năng sửa lỗi</w:t>
            </w:r>
          </w:p>
        </w:tc>
      </w:tr>
    </w:tbl>
    <w:p>
      <w:pPr>
        <w:spacing w:after="40"/>
      </w:pPr>
    </w:p>
    <w:p>
      <w:r>
        <w:t>Nếu tổng số ảnh nhỏ hơn 100, nên audit toàn bộ. Nếu có class safety-critical, audit 100 mẫu không thay thế cho việc audit 100% class hoặc edge case đó.</w:t>
      </w:r>
    </w:p>
    <w:p>
      <w:pPr>
        <w:pStyle w:val="Heading2"/>
      </w:pPr>
      <w:r>
        <w:t>5.2 Wilson score interval</w:t>
      </w:r>
    </w:p>
    <w:p>
      <w:r>
        <w:t>Wilson interval dùng để báo cáo độ bất định của tỷ lệ lỗi. Với n là số mẫu, k là số lỗi và p̂ = k/n, khoảng 95% dùng z = 1,96. Wilson phù hợp hơn Wald khi sample nhỏ hoặc tỷ lệ lỗi gần 0% hoặc 100%.</w:t>
      </w:r>
    </w:p>
    <w:p>
      <w:r>
        <w:t>Công thức: center = (p̂ + z²/2n) / (1 + z²/n); margin = z/(1 + z²/n) × sqrt(p̂(1−p̂)/n + z²/4n²). Khoảng báo cáo là center ± margin.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Lỗi trong 100 mẫu</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Tỷ lệ quan sát</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Wilson 95% xấp xỉ</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0/100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0% – 3,7%</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1/100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1%</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0,2% – 5,4%</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5/100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5%</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2,2% – 11,2%</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10/100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10%</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5,5% – 17,4%</w:t>
            </w:r>
          </w:p>
        </w:tc>
      </w:tr>
    </w:tbl>
    <w:p>
      <w:pPr>
        <w:spacing w:after="40"/>
      </w:pPr>
    </w:p>
    <w:p>
      <w:r>
        <w:t>Cách diễn đạt đúng: “Chưa phát hiện lỗi trong 100 mẫu; với Wilson 95%, tỷ lệ lỗi thật vẫn có thể lên tới khoảng 3,7%.” Không viết “batch đạt 100%” chỉ vì sample không có lỗi.</w:t>
      </w:r>
    </w:p>
    <w:p>
      <w:pPr>
        <w:spacing w:after="40"/>
        <w:ind w:left="288"/>
      </w:pPr>
      <w:r>
        <w:rPr>
          <w:b/>
          <w:sz w:val="17"/>
        </w:rPr>
        <w:t xml:space="preserve">NIST binomial confidence intervals: </w:t>
      </w:r>
      <w:r>
        <w:rPr>
          <w:color w:val="1F4E79"/>
          <w:sz w:val="17"/>
        </w:rPr>
        <w:t>https://itl.nist.gov/div898/handbook/prc/section2/prc241.htm</w:t>
      </w:r>
    </w:p>
    <w:p>
      <w:pPr>
        <w:spacing w:after="40"/>
        <w:ind w:left="288"/>
      </w:pPr>
      <w:r>
        <w:rPr>
          <w:b/>
          <w:sz w:val="17"/>
        </w:rPr>
        <w:t xml:space="preserve">Sample size and Wilson interval research: </w:t>
      </w:r>
      <w:r>
        <w:rPr>
          <w:color w:val="1F4E79"/>
          <w:sz w:val="17"/>
        </w:rPr>
        <w:t>https://pmc.ncbi.nlm.nih.gov/articles/PMC4792103/</w:t>
      </w:r>
    </w:p>
    <w:p>
      <w:pPr>
        <w:spacing w:after="40"/>
        <w:ind w:left="288"/>
      </w:pPr>
      <w:r>
        <w:rPr>
          <w:b/>
          <w:sz w:val="17"/>
        </w:rPr>
        <w:t xml:space="preserve">NIST acceptance sampling: </w:t>
      </w:r>
      <w:r>
        <w:rPr>
          <w:color w:val="1F4E79"/>
          <w:sz w:val="17"/>
        </w:rPr>
        <w:t>https://www.itl.nist.gov/div898/handbook/pmc/section2/pmc21.htm</w:t>
      </w:r>
    </w:p>
    <w:p>
      <w:pPr>
        <w:pStyle w:val="Heading2"/>
      </w:pPr>
      <w:r>
        <w:t>5.3 Quy tắc escalation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Kết quả audit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Hành động</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0 lỗi/100</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Tiếp tục kiểm tra batch kế tiếp; chưa giảm audit ngay.</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1–3 lỗi/100</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Phân loại lỗi và kiểm tra lỗi có tập trung vào class hoặc annotator không.</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4–10 lỗi/100</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Tăng sample hoặc audit toàn bộ tầng rủi ro.</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Safety critical error</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Dừng nghiệm thu nhóm liên quan và review 100% phạm vi ảnh hưởng.</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Lỗi lặp cùng nguyên nhân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Sửa taxonomy/guideline hoặc workflow, không chỉ sửa từng annotation.</w:t>
            </w:r>
          </w:p>
        </w:tc>
      </w:tr>
    </w:tbl>
    <w:p>
      <w:pPr>
        <w:spacing w:after="40"/>
      </w:pPr>
    </w:p>
    <w:p>
      <w:pPr>
        <w:pStyle w:val="Heading1"/>
      </w:pPr>
      <w:r>
        <w:t>6. Kế hoạch mentor session</w:t>
      </w:r>
    </w:p>
    <w:p>
      <w:pPr>
        <w:pStyle w:val="Heading2"/>
      </w:pPr>
      <w:r>
        <w:t>20:00–20:45: Chốt quy tắc chung</w:t>
      </w:r>
    </w:p>
    <w:p>
      <w:pPr>
        <w:pStyle w:val="ListBullet"/>
        <w:spacing w:after="60"/>
      </w:pPr>
      <w:r>
        <w:t>Class không chắc chắn và nguyên tắc không suy đoán.</w:t>
      </w:r>
    </w:p>
    <w:p>
      <w:pPr>
        <w:pStyle w:val="ListBullet"/>
        <w:spacing w:after="60"/>
      </w:pPr>
      <w:r>
        <w:t>Occlusion, truncation, object nhỏ, blur và glare.</w:t>
      </w:r>
    </w:p>
    <w:p>
      <w:pPr>
        <w:pStyle w:val="ListBullet"/>
        <w:spacing w:after="60"/>
      </w:pPr>
      <w:r>
        <w:t>Lane, crosswalk, drivable area và polyline.</w:t>
      </w:r>
    </w:p>
    <w:p>
      <w:pPr>
        <w:pStyle w:val="ListBullet"/>
        <w:spacing w:after="60"/>
      </w:pPr>
      <w:r>
        <w:t>Layer/Z-order và object chồng lấp.</w:t>
      </w:r>
    </w:p>
    <w:p>
      <w:pPr>
        <w:pStyle w:val="ListBullet"/>
        <w:spacing w:after="60"/>
      </w:pPr>
      <w:r>
        <w:t>Track/interpolation và kiểm tra keyframe.</w:t>
      </w:r>
    </w:p>
    <w:p>
      <w:pPr>
        <w:pStyle w:val="ListBullet"/>
        <w:spacing w:after="60"/>
      </w:pPr>
      <w:r>
        <w:t>QA sample, K 100, Wilson và escalation.</w:t>
      </w:r>
    </w:p>
    <w:p>
      <w:pPr>
        <w:pStyle w:val="Heading2"/>
      </w:pPr>
      <w:r>
        <w:t>20:45–21:45: Slot theo team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Thứ tự</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Team</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Mục tiêu slot</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1</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WAR</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Chốt job in progress, Job 1569 và số liệu review.</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2</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VinaMind</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Phân loại ảnh bị trả lại và workflow review Segmentation.</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3</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Anyone’s Legend</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Xử lý 13 lỗi và thao tác BBOX/Segmentation.</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4</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Unknown</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Thực hành Layer/Z-order và escalation.</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5</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zero-one</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Hoàn thành SEG, kiểm tra taxonomy và pre-labeling.</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6</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TryHard</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Gom 23 issue thành nhóm quy tắc chung.</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7</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Asterion</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Chốt occlusion, rider/passenger và interpolation.</w:t>
            </w:r>
          </w:p>
        </w:tc>
      </w:tr>
      <w:tr>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8</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DAlime-HA</w:t>
            </w:r>
          </w:p>
        </w:tc>
        <w:tc>
          <w:tcPr>
            <w:tcW w:type="dxa" w:w="336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Chốt IAA, sampling và QA metrics.</w:t>
            </w:r>
          </w:p>
        </w:tc>
      </w:tr>
    </w:tbl>
    <w:p>
      <w:pPr>
        <w:spacing w:after="40"/>
      </w:pPr>
    </w:p>
    <w:p>
      <w:r>
        <w:br w:type="page"/>
      </w:r>
    </w:p>
    <w:p>
      <w:pPr>
        <w:pStyle w:val="Heading1"/>
      </w:pPr>
      <w:r>
        <w:t>7. Mẫu decision log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Trường</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52" w:lineRule="auto"/>
            </w:pPr>
            <w:r/>
            <w:r>
              <w:rPr>
                <w:rFonts w:ascii="Aptos" w:hAnsi="Aptos"/>
                <w:b/>
                <w:color w:val="FFFFFF"/>
                <w:sz w:val="18"/>
              </w:rPr>
              <w:t>Nội dung cần ghi</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Case ID</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Mã issue và team phát hiện</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Ảnh/frame</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Link CVAT, task/job/frame</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Mô tả</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Tình huống quan sát được, không suy đoán</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Các cách hiểu</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Các phương án có thể xảy ra</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Quyết định</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Phương án BTC/mentor chọn</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Lý do</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Guideline, schema hoặc bằng chứng industry</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Phạm vi</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Team, job, class và version áp dụng</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Người duyệt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EEF5FB"/>
          </w:tcPr>
          <w:p>
            <w:pPr>
              <w:spacing w:after="40" w:line="252" w:lineRule="auto"/>
            </w:pPr>
            <w:r/>
            <w:r>
              <w:rPr>
                <w:rFonts w:ascii="Aptos" w:hAnsi="Aptos"/>
                <w:b w:val="0"/>
                <w:sz w:val="18"/>
              </w:rPr>
              <w:t>Mentor/BTC</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Ngày hiệu lực</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52" w:lineRule="auto"/>
            </w:pPr>
            <w:r/>
            <w:r>
              <w:rPr>
                <w:rFonts w:ascii="Aptos" w:hAnsi="Aptos"/>
                <w:b w:val="0"/>
                <w:sz w:val="18"/>
              </w:rPr>
              <w:t>Thời điểm bắt đầu áp dụng</w:t>
            </w:r>
          </w:p>
        </w:tc>
      </w:tr>
    </w:tbl>
    <w:p>
      <w:pPr>
        <w:spacing w:after="40"/>
      </w:pPr>
    </w:p>
    <w:p>
      <w:pPr>
        <w:pStyle w:val="Heading1"/>
      </w:pPr>
      <w:r>
        <w:t>8. Tài liệu tham khảo chính</w:t>
      </w:r>
    </w:p>
    <w:p>
      <w:pPr>
        <w:spacing w:after="40"/>
        <w:ind w:left="288"/>
      </w:pPr>
      <w:r>
        <w:rPr>
          <w:b/>
          <w:sz w:val="17"/>
        </w:rPr>
        <w:t xml:space="preserve">Waymo Open Dataset labeling specifications: </w:t>
      </w:r>
      <w:r>
        <w:rPr>
          <w:color w:val="1F4E79"/>
          <w:sz w:val="17"/>
        </w:rPr>
        <w:t>https://github.com/waymo-research/waymo-open-dataset/blob/master/docs/labeling_specifications.md</w:t>
      </w:r>
    </w:p>
    <w:p>
      <w:pPr>
        <w:spacing w:after="40"/>
        <w:ind w:left="288"/>
      </w:pPr>
      <w:r>
        <w:rPr>
          <w:b/>
          <w:sz w:val="17"/>
        </w:rPr>
        <w:t xml:space="preserve">BDD100K annotation format: </w:t>
      </w:r>
      <w:r>
        <w:rPr>
          <w:color w:val="1F4E79"/>
          <w:sz w:val="17"/>
        </w:rPr>
        <w:t>https://github.com/ucbdrive/bdd100k/blob/master/doc/format.md</w:t>
      </w:r>
    </w:p>
    <w:p>
      <w:pPr>
        <w:spacing w:after="40"/>
        <w:ind w:left="288"/>
      </w:pPr>
      <w:r>
        <w:rPr>
          <w:b/>
          <w:sz w:val="17"/>
        </w:rPr>
        <w:t xml:space="preserve">nuScenes documentation: </w:t>
      </w:r>
      <w:r>
        <w:rPr>
          <w:color w:val="1F4E79"/>
          <w:sz w:val="17"/>
        </w:rPr>
        <w:t>https://www.nuscenes.org/nuscenes?externalData=all&amp;mapData=all&amp;modalities=Any</w:t>
      </w:r>
    </w:p>
    <w:p>
      <w:pPr>
        <w:spacing w:after="40"/>
        <w:ind w:left="288"/>
      </w:pPr>
      <w:r>
        <w:rPr>
          <w:b/>
          <w:sz w:val="17"/>
        </w:rPr>
        <w:t xml:space="preserve">CVAT Layers: </w:t>
      </w:r>
      <w:r>
        <w:rPr>
          <w:color w:val="1F4E79"/>
          <w:sz w:val="17"/>
        </w:rPr>
        <w:t>https://docs.cvat.ai/docs/annotation/annotation-editor/layers/</w:t>
      </w:r>
    </w:p>
    <w:p>
      <w:pPr>
        <w:spacing w:after="40"/>
        <w:ind w:left="288"/>
      </w:pPr>
      <w:r>
        <w:rPr>
          <w:b/>
          <w:sz w:val="17"/>
        </w:rPr>
        <w:t xml:space="preserve">CVAT Track Mode: </w:t>
      </w:r>
      <w:r>
        <w:rPr>
          <w:color w:val="1F4E79"/>
          <w:sz w:val="17"/>
        </w:rPr>
        <w:t>https://docs.cvat.ai/docs/manual/advanced/track-mode-advanced/</w:t>
      </w:r>
    </w:p>
    <w:p>
      <w:pPr>
        <w:spacing w:after="40"/>
        <w:ind w:left="288"/>
      </w:pPr>
      <w:r>
        <w:rPr>
          <w:b/>
          <w:sz w:val="17"/>
        </w:rPr>
        <w:t xml:space="preserve">CVAT Manual QA and Review: </w:t>
      </w:r>
      <w:r>
        <w:rPr>
          <w:color w:val="1F4E79"/>
          <w:sz w:val="17"/>
        </w:rPr>
        <w:t>https://docs.cvat.ai/docs/qa-analytics/manual-qa/</w:t>
      </w:r>
    </w:p>
    <w:p>
      <w:pPr>
        <w:spacing w:after="40"/>
        <w:ind w:left="288"/>
      </w:pPr>
      <w:r>
        <w:rPr>
          <w:b/>
          <w:sz w:val="17"/>
        </w:rPr>
        <w:t xml:space="preserve">CVAT Automated QA: </w:t>
      </w:r>
      <w:r>
        <w:rPr>
          <w:color w:val="1F4E79"/>
          <w:sz w:val="17"/>
        </w:rPr>
        <w:t>https://docs.cvat.ai/docs/qa-analytics/auto-qa/</w:t>
      </w:r>
    </w:p>
    <w:p>
      <w:pPr>
        <w:spacing w:after="40"/>
        <w:ind w:left="288"/>
      </w:pPr>
      <w:r>
        <w:rPr>
          <w:b/>
          <w:sz w:val="17"/>
        </w:rPr>
        <w:t xml:space="preserve">NIST binomial confidence intervals: </w:t>
      </w:r>
      <w:r>
        <w:rPr>
          <w:color w:val="1F4E79"/>
          <w:sz w:val="17"/>
        </w:rPr>
        <w:t>https://itl.nist.gov/div898/handbook/prc/section2/prc241.htm</w:t>
      </w:r>
    </w:p>
    <w:p>
      <w:pPr>
        <w:spacing w:after="40"/>
        <w:ind w:left="288"/>
      </w:pPr>
      <w:r>
        <w:rPr>
          <w:b/>
          <w:sz w:val="17"/>
        </w:rPr>
        <w:t xml:space="preserve">NIST acceptance sampling: </w:t>
      </w:r>
      <w:r>
        <w:rPr>
          <w:color w:val="1F4E79"/>
          <w:sz w:val="17"/>
        </w:rPr>
        <w:t>https://www.itl.nist.gov/div898/handbook/pmc/section2/pmc21.htm</w:t>
      </w:r>
    </w:p>
    <w:p>
      <w:pPr>
        <w:spacing w:after="40"/>
        <w:ind w:left="288"/>
      </w:pPr>
      <w:r>
        <w:rPr>
          <w:b/>
          <w:sz w:val="17"/>
        </w:rPr>
        <w:t xml:space="preserve">Wilson interval research: </w:t>
      </w:r>
      <w:r>
        <w:rPr>
          <w:color w:val="1F4E79"/>
          <w:sz w:val="17"/>
        </w:rPr>
        <w:t>https://pmc.ncbi.nlm.nih.gov/articles/PMC4792103/</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Tài liệu làm việc nội bộ  •  20/09/2026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PHOENIX AGENT  |  COHORT 4A  |  MENTOR DUTY BUỔI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