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SUPERSTORE RETAIL ANALYTICS</w:t>
      </w:r>
    </w:p>
    <w:p>
      <w:pPr>
        <w:pBdr>
          <w:bottom w:val="single" w:color="2E75B6" w:sz="10" w:space="1"/>
        </w:pBdr>
        <w:spacing w:after="160"/>
        <w:jc w:val="center"/>
      </w:pPr>
      <w:r>
        <w:rPr>
          <w:rFonts w:ascii="Arial" w:cs="Arial" w:eastAsia="Arial" w:hAnsi="Arial"/>
          <w:i/>
          <w:iCs/>
          <w:color w:val="2E75B6"/>
          <w:sz w:val="36"/>
          <w:szCs w:val="36"/>
        </w:rPr>
        <w:t xml:space="preserve">Business Intelligence &amp; Sales Performance Analysis</w:t>
      </w:r>
    </w:p>
    <w:p>
      <w:pPr>
        <w:spacing w:after="120"/>
      </w:pPr>
      <w:r>
        <w:t xml:space="preserve"/>
      </w:r>
    </w:p>
    <w:p>
      <w:pPr>
        <w:spacing w:after="80"/>
        <w:jc w:val="center"/>
      </w:pPr>
      <w:r>
        <w:rPr>
          <w:rFonts w:ascii="Arial" w:cs="Arial" w:eastAsia="Arial" w:hAnsi="Arial"/>
          <w:b/>
          <w:bCs/>
          <w:color w:val="2E75B6"/>
          <w:sz w:val="28"/>
          <w:szCs w:val="28"/>
        </w:rPr>
        <w:t xml:space="preserve">Comprehensive Project Report</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Project Title</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Superstore Retail Analytics — BI &amp; Sales Performance Analysis</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Domain</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Retail Analytics / Business Intelligence / Data Science</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Dataset</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Sample Superstore — 9,994 Transactions (2014–2017)</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Tools &amp; Technologies</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Python, Pandas, Seaborn, Scikit-learn, Power BI</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Analysis Type</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Descriptive · Diagnostic · Prescriptive · Predictive</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Total Revenue Analysed</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$2,297,201 across 4 years</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Overall Profit Margin</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12.47% — with actionable pathways to 16–18%</w:t>
            </w:r>
          </w:p>
        </w:tc>
      </w:tr>
      <w:tr>
        <w:tc>
          <w:tcPr>
            <w:tcW w:type="dxa" w:w="34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r>
              <w:rPr>
                <w:rFonts w:ascii="Arial" w:cs="Arial" w:eastAsia="Arial" w:hAnsi="Arial"/>
                <w:b/>
                <w:bCs/>
                <w:color w:val="1F4E79"/>
                <w:sz w:val="21"/>
                <w:szCs w:val="21"/>
              </w:rPr>
              <w:t xml:space="preserve">Key Outcome</w:t>
            </w:r>
          </w:p>
        </w:tc>
        <w:tc>
          <w:tcPr>
            <w:tcW w:type="dxa" w:w="59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sz w:val="21"/>
                <w:szCs w:val="21"/>
              </w:rPr>
              <w:t xml:space="preserve">5 high-impact business recommendations with projected ROI</w:t>
            </w:r>
          </w:p>
        </w:tc>
      </w:tr>
    </w:tbl>
    <w:p>
      <w:pPr>
        <w:spacing w:after="120"/>
      </w:pPr>
      <w:r>
        <w:t xml:space="preserve"/>
      </w:r>
    </w:p>
    <w:p>
      <w:pPr>
        <w:spacing w:after="120"/>
      </w:pPr>
      <w:r>
        <w:t xml:space="preserve"/>
      </w:r>
    </w:p>
    <w:p>
      <w:pPr>
        <w:spacing w:after="80"/>
        <w:jc w:val="center"/>
      </w:pPr>
      <w:r>
        <w:rPr>
          <w:rFonts w:ascii="Arial" w:cs="Arial" w:eastAsia="Arial" w:hAnsi="Arial"/>
          <w:i/>
          <w:iCs/>
          <w:color w:val="2E75B6"/>
          <w:sz w:val="18"/>
          <w:szCs w:val="18"/>
        </w:rPr>
        <w:t xml:space="preserve">GitHub: github.com/[your-username]/superstore-analytics  |  LinkedIn: linkedin.com/in/[your-profile]</w:t>
      </w:r>
    </w:p>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Table of Contents</w:t>
      </w:r>
    </w:p>
    <w:p>
      <w:pPr>
        <w:spacing w:after="100"/>
      </w:pPr>
      <w:r>
        <w:rPr>
          <w:rFonts w:ascii="Arial" w:cs="Arial" w:eastAsia="Arial" w:hAnsi="Arial"/>
          <w:color w:val="2E75B6"/>
          <w:sz w:val="22"/>
          <w:szCs w:val="22"/>
        </w:rPr>
        <w:t xml:space="preserve">1. Executive Summary</w:t>
      </w:r>
    </w:p>
    <w:p>
      <w:pPr>
        <w:spacing w:after="100"/>
      </w:pPr>
      <w:r>
        <w:rPr>
          <w:rFonts w:ascii="Arial" w:cs="Arial" w:eastAsia="Arial" w:hAnsi="Arial"/>
          <w:color w:val="2E75B6"/>
          <w:sz w:val="22"/>
          <w:szCs w:val="22"/>
        </w:rPr>
        <w:t xml:space="preserve">2. Problem Statement</w:t>
      </w:r>
    </w:p>
    <w:p>
      <w:pPr>
        <w:spacing w:after="100"/>
      </w:pPr>
      <w:r>
        <w:rPr>
          <w:rFonts w:ascii="Arial" w:cs="Arial" w:eastAsia="Arial" w:hAnsi="Arial"/>
          <w:color w:val="2E75B6"/>
          <w:sz w:val="22"/>
          <w:szCs w:val="22"/>
        </w:rPr>
        <w:t xml:space="preserve">3. Project Objectives &amp; Scope</w:t>
      </w:r>
    </w:p>
    <w:p>
      <w:pPr>
        <w:spacing w:after="100"/>
      </w:pPr>
      <w:r>
        <w:rPr>
          <w:rFonts w:ascii="Arial" w:cs="Arial" w:eastAsia="Arial" w:hAnsi="Arial"/>
          <w:color w:val="2E75B6"/>
          <w:sz w:val="22"/>
          <w:szCs w:val="22"/>
        </w:rPr>
        <w:t xml:space="preserve">4. Dataset Description</w:t>
      </w:r>
    </w:p>
    <w:p>
      <w:pPr>
        <w:spacing w:after="100"/>
      </w:pPr>
      <w:r>
        <w:rPr>
          <w:rFonts w:ascii="Arial" w:cs="Arial" w:eastAsia="Arial" w:hAnsi="Arial"/>
          <w:color w:val="2E75B6"/>
          <w:sz w:val="22"/>
          <w:szCs w:val="22"/>
        </w:rPr>
        <w:t xml:space="preserve">5. Methodology</w:t>
      </w:r>
    </w:p>
    <w:p>
      <w:pPr>
        <w:spacing w:after="100"/>
      </w:pPr>
      <w:r>
        <w:rPr>
          <w:rFonts w:ascii="Arial" w:cs="Arial" w:eastAsia="Arial" w:hAnsi="Arial"/>
          <w:color w:val="2E75B6"/>
          <w:sz w:val="22"/>
          <w:szCs w:val="22"/>
        </w:rPr>
        <w:t xml:space="preserve">6. Key Findings &amp; Analysis</w:t>
      </w:r>
    </w:p>
    <w:p>
      <w:pPr>
        <w:spacing w:after="100"/>
      </w:pPr>
      <w:r>
        <w:rPr>
          <w:rFonts w:ascii="Arial" w:cs="Arial" w:eastAsia="Arial" w:hAnsi="Arial"/>
          <w:color w:val="2E75B6"/>
          <w:sz w:val="22"/>
          <w:szCs w:val="22"/>
        </w:rPr>
        <w:t xml:space="preserve">7. Business Recommendations</w:t>
      </w:r>
    </w:p>
    <w:p>
      <w:pPr>
        <w:spacing w:after="100"/>
      </w:pPr>
      <w:r>
        <w:rPr>
          <w:rFonts w:ascii="Arial" w:cs="Arial" w:eastAsia="Arial" w:hAnsi="Arial"/>
          <w:color w:val="2E75B6"/>
          <w:sz w:val="22"/>
          <w:szCs w:val="22"/>
        </w:rPr>
        <w:t xml:space="preserve">8. Project Deliverables</w:t>
      </w:r>
    </w:p>
    <w:p>
      <w:pPr>
        <w:spacing w:after="100"/>
      </w:pPr>
      <w:r>
        <w:rPr>
          <w:rFonts w:ascii="Arial" w:cs="Arial" w:eastAsia="Arial" w:hAnsi="Arial"/>
          <w:color w:val="2E75B6"/>
          <w:sz w:val="22"/>
          <w:szCs w:val="22"/>
        </w:rPr>
        <w:t xml:space="preserve">9. Conclusion</w:t>
      </w:r>
    </w:p>
    <w:p>
      <w:pPr>
        <w:spacing w:after="100"/>
      </w:pPr>
      <w:r>
        <w:rPr>
          <w:rFonts w:ascii="Arial" w:cs="Arial" w:eastAsia="Arial" w:hAnsi="Arial"/>
          <w:color w:val="2E75B6"/>
          <w:sz w:val="22"/>
          <w:szCs w:val="22"/>
        </w:rPr>
        <w:t xml:space="preserve">10. References &amp; Tools</w:t>
      </w:r>
    </w:p>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1. Executive Summary</w:t>
      </w:r>
    </w:p>
    <w:p>
      <w:pPr>
        <w:spacing w:after="160"/>
        <w:jc w:val="both"/>
      </w:pPr>
      <w:r>
        <w:rPr>
          <w:rFonts w:ascii="Arial" w:cs="Arial" w:eastAsia="Arial" w:hAnsi="Arial"/>
          <w:sz w:val="22"/>
          <w:szCs w:val="22"/>
        </w:rPr>
        <w:t xml:space="preserve">This report presents a comprehensive Business Intelligence analysis of a U.S. retail superstore's transactional data spanning 2014 to 2017. Analysing 9,994 order records across three product categories, four geographic regions, and three customer segments, the study surfaces critical profitability gaps and identifies high-impact strategic opportunities.</w:t>
      </w:r>
    </w:p>
    <w:p>
      <w:pPr>
        <w:spacing w:after="160"/>
        <w:jc w:val="both"/>
      </w:pPr>
      <w:r>
        <w:rPr>
          <w:rFonts w:ascii="Arial" w:cs="Arial" w:eastAsia="Arial" w:hAnsi="Arial"/>
          <w:sz w:val="22"/>
          <w:szCs w:val="22"/>
        </w:rPr>
        <w:t xml:space="preserve">The business generated $2.30 million in total revenue over four years, but with an overall net profit margin of only 12.47% — significantly below the retail industry benchmark of 20–25%. The analysis reveals that this underperformance is primarily driven by an aggressive and undisciplined discount strategy (50%+ discounts yielding a –119% average margin), a structurally loss-making Furniture category (only 2.49% margin), and a poorly utilised Central region (7.92% margin — the lowest of all four regions).</w:t>
      </w:r>
    </w:p>
    <w:p>
      <w:pPr>
        <w:spacing w:after="160"/>
        <w:jc w:val="both"/>
      </w:pPr>
      <w:r>
        <w:rPr>
          <w:rFonts w:ascii="Arial" w:cs="Arial" w:eastAsia="Arial" w:hAnsi="Arial"/>
          <w:sz w:val="22"/>
          <w:szCs w:val="22"/>
        </w:rPr>
        <w:t xml:space="preserve">Five data-backed business recommendations are presented in this report, with a projected combined impact of lifting the overall profit margin to 16–18%, translating to an estimated additional $80,000–$130,000 in annual profit on the existing revenue base — without requiring any increase in top-line sales.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KPI</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Total Sales Revenue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$2,297,201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Total Net Profit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$286,397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Overall Profit Margin</w:t>
            </w:r>
          </w:p>
        </w:tc>
        <w:tc>
          <w:tcPr>
            <w:tcW w:type="dxa" w:w="4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12.47%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Total Orders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5,009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Total Unique Customers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793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Average Discount Applied</w:t>
            </w:r>
          </w:p>
        </w:tc>
        <w:tc>
          <w:tcPr>
            <w:tcW w:type="dxa" w:w="46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000000"/>
                <w:sz w:val="21"/>
                <w:szCs w:val="21"/>
              </w:rPr>
              <w:t xml:space="preserve">15.6%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Worst Sub-Category (Profit)</w:t>
            </w:r>
          </w:p>
        </w:tc>
        <w:tc>
          <w:tcPr>
            <w:tcW w:type="dxa" w:w="468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Tables: –$17,725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Best Sub-Category (Margin)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Paper: 43.39% margin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Revenue Growth 2014–2017</w:t>
            </w:r>
          </w:p>
        </w:tc>
        <w:tc>
          <w:tcPr>
            <w:tcW w:type="dxa" w:w="4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+51.4% (from $484K to $733K)</w:t>
            </w:r>
          </w:p>
        </w:tc>
      </w:tr>
    </w:tbl>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2. Problem Statement</w:t>
      </w:r>
    </w:p>
    <w:p>
      <w:pPr>
        <w:pStyle w:val="Heading2"/>
        <w:spacing w:before="300" w:after="160"/>
      </w:pPr>
      <w:r>
        <w:rPr>
          <w:rFonts w:ascii="Arial" w:cs="Arial" w:eastAsia="Arial" w:hAnsi="Arial"/>
          <w:b/>
          <w:bCs/>
          <w:color w:val="2E75B6"/>
          <w:sz w:val="26"/>
          <w:szCs w:val="26"/>
        </w:rPr>
        <w:t xml:space="preserve">2.1 Background</w:t>
      </w:r>
    </w:p>
    <w:p>
      <w:pPr>
        <w:spacing w:after="160"/>
        <w:jc w:val="both"/>
      </w:pPr>
      <w:r>
        <w:rPr>
          <w:rFonts w:ascii="Arial" w:cs="Arial" w:eastAsia="Arial" w:hAnsi="Arial"/>
          <w:sz w:val="22"/>
          <w:szCs w:val="22"/>
        </w:rPr>
        <w:t xml:space="preserve">The retail industry is one of the most data-rich sectors globally. Superstore chains generate thousands of transactional records daily — capturing granular information about products sold, customers served, discounts applied, shipping modes used, and profits earned. Yet a significant number of retail organisations fail to translate this wealth of data into actionable intelligence.</w:t>
      </w:r>
    </w:p>
    <w:p>
      <w:pPr>
        <w:spacing w:after="160"/>
        <w:jc w:val="both"/>
      </w:pPr>
      <w:r>
        <w:rPr>
          <w:rFonts w:ascii="Arial" w:cs="Arial" w:eastAsia="Arial" w:hAnsi="Arial"/>
          <w:sz w:val="22"/>
          <w:szCs w:val="22"/>
        </w:rPr>
        <w:t xml:space="preserve">This project addresses that gap using a real-world retail dataset: the Sample Superstore dataset, a benchmark dataset covering 9,994 transactions across the United States from January 2014 to December 2017. The data encompasses three major product categories (Furniture, Office Supplies, Technology), four geographic regions (East, West, Central, South), and three customer segments (Consumer, Corporate, Home Office).</w:t>
      </w:r>
    </w:p>
    <w:p>
      <w:pPr>
        <w:pStyle w:val="Heading2"/>
        <w:spacing w:before="300" w:after="160"/>
      </w:pPr>
      <w:r>
        <w:rPr>
          <w:rFonts w:ascii="Arial" w:cs="Arial" w:eastAsia="Arial" w:hAnsi="Arial"/>
          <w:b/>
          <w:bCs/>
          <w:color w:val="2E75B6"/>
          <w:sz w:val="26"/>
          <w:szCs w:val="26"/>
        </w:rPr>
        <w:t xml:space="preserve">2.2 Core Problem</w:t>
      </w:r>
    </w:p>
    <w:p>
      <w:pPr>
        <w:pBdr>
          <w:left w:val="single" w:color="2E75B6" w:sz="18" w:space="10"/>
        </w:pBdr>
        <w:spacing w:before="200" w:after="200"/>
        <w:jc w:val="both"/>
      </w:pPr>
      <w:r>
        <w:rPr>
          <w:rFonts w:ascii="Arial" w:cs="Arial" w:eastAsia="Arial" w:hAnsi="Arial"/>
          <w:i/>
          <w:iCs/>
          <w:color w:val="1F4E79"/>
          <w:sz w:val="23"/>
          <w:szCs w:val="23"/>
        </w:rPr>
        <w:t xml:space="preserve">"Despite generating $2.3 million in revenue over four years, the business operates at a 12.47% profit margin — well below industry norms — due to uncontrolled discounting, structurally unprofitable product categories, significant regional performance disparities, and the absence of a data-driven customer strategy. The core challenge is: how can the business identify and eliminate profit leakages to achieve sustainable, margin-positive growth?"</w:t>
      </w:r>
    </w:p>
    <w:p>
      <w:pPr>
        <w:pStyle w:val="Heading2"/>
        <w:spacing w:before="300" w:after="160"/>
      </w:pPr>
      <w:r>
        <w:rPr>
          <w:rFonts w:ascii="Arial" w:cs="Arial" w:eastAsia="Arial" w:hAnsi="Arial"/>
          <w:b/>
          <w:bCs/>
          <w:color w:val="2E75B6"/>
          <w:sz w:val="26"/>
          <w:szCs w:val="26"/>
        </w:rPr>
        <w:t xml:space="preserve">2.3 Specific Problem Areas Identified</w:t>
      </w:r>
    </w:p>
    <w:p>
      <w:pPr>
        <w:pStyle w:val="Heading3"/>
        <w:spacing w:before="200" w:after="120"/>
      </w:pPr>
      <w:r>
        <w:rPr>
          <w:rFonts w:ascii="Arial" w:cs="Arial" w:eastAsia="Arial" w:hAnsi="Arial"/>
          <w:b/>
          <w:bCs/>
          <w:color w:val="1F4E79"/>
          <w:sz w:val="24"/>
          <w:szCs w:val="24"/>
        </w:rPr>
        <w:t xml:space="preserve">Problem 1: Uncontrolled Discount Strategy — The Biggest Profit Leak</w:t>
      </w:r>
    </w:p>
    <w:p>
      <w:pPr>
        <w:spacing w:after="160"/>
        <w:jc w:val="both"/>
      </w:pPr>
      <w:r>
        <w:rPr>
          <w:rFonts w:ascii="Arial" w:cs="Arial" w:eastAsia="Arial" w:hAnsi="Arial"/>
          <w:sz w:val="22"/>
          <w:szCs w:val="22"/>
        </w:rPr>
        <w:t xml:space="preserve">The average discount applied across all orders is 15.6%. Orders with 0% discount yield an average margin of 29.51%. However, this deteriorates catastrophically as discounts increase: 21–30% discount band yields –10.05% average margin, 31–50% band yields –24.80% margin, and 50%+ discounts yield a staggering –119.20% average margin. A total of 1,393 orders (27.8% of all orders) operate at a negative profit margin.</w:t>
      </w:r>
    </w:p>
    <w:p>
      <w:pPr>
        <w:pStyle w:val="Heading3"/>
        <w:spacing w:before="200" w:after="120"/>
      </w:pPr>
      <w:r>
        <w:rPr>
          <w:rFonts w:ascii="Arial" w:cs="Arial" w:eastAsia="Arial" w:hAnsi="Arial"/>
          <w:b/>
          <w:bCs/>
          <w:color w:val="1F4E79"/>
          <w:sz w:val="24"/>
          <w:szCs w:val="24"/>
        </w:rPr>
        <w:t xml:space="preserve">Problem 2: Furniture Category is Structurally Loss-Making</w:t>
      </w:r>
    </w:p>
    <w:p>
      <w:pPr>
        <w:spacing w:after="160"/>
        <w:jc w:val="both"/>
      </w:pPr>
      <w:r>
        <w:rPr>
          <w:rFonts w:ascii="Arial" w:cs="Arial" w:eastAsia="Arial" w:hAnsi="Arial"/>
          <w:sz w:val="22"/>
          <w:szCs w:val="22"/>
        </w:rPr>
        <w:t xml:space="preserve">The Furniture category generates $742,000 in sales (32.3% of total revenue) but only $18,451 in profit — a 2.49% margin. Within Furniture, two sub-categories are in outright loss: Tables (–$17,725 total loss, –8.56% margin) and Bookcases (–$3,473 loss, –3.02% margin). These two sub-categories alone erased over $21,000 in profit that could have been earned.</w:t>
      </w:r>
    </w:p>
    <w:p>
      <w:pPr>
        <w:pStyle w:val="Heading3"/>
        <w:spacing w:before="200" w:after="120"/>
      </w:pPr>
      <w:r>
        <w:rPr>
          <w:rFonts w:ascii="Arial" w:cs="Arial" w:eastAsia="Arial" w:hAnsi="Arial"/>
          <w:b/>
          <w:bCs/>
          <w:color w:val="1F4E79"/>
          <w:sz w:val="24"/>
          <w:szCs w:val="24"/>
        </w:rPr>
        <w:t xml:space="preserve">Problem 3: Central Region Underperformance</w:t>
      </w:r>
    </w:p>
    <w:p>
      <w:pPr>
        <w:spacing w:after="160"/>
        <w:jc w:val="both"/>
      </w:pPr>
      <w:r>
        <w:rPr>
          <w:rFonts w:ascii="Arial" w:cs="Arial" w:eastAsia="Arial" w:hAnsi="Arial"/>
          <w:sz w:val="22"/>
          <w:szCs w:val="22"/>
        </w:rPr>
        <w:t xml:space="preserve">The Central region generates $501,240 in revenue (21.8% of total) but only $39,706 in profit — a 7.92% margin, compared to the West at 14.94% and East at 13.48%. This 7% margin gap on $501K of revenue represents approximately $35,000 in lost profit annually versus what peer regions achieve.</w:t>
      </w:r>
    </w:p>
    <w:p>
      <w:pPr>
        <w:pStyle w:val="Heading3"/>
        <w:spacing w:before="200" w:after="120"/>
      </w:pPr>
      <w:r>
        <w:rPr>
          <w:rFonts w:ascii="Arial" w:cs="Arial" w:eastAsia="Arial" w:hAnsi="Arial"/>
          <w:b/>
          <w:bCs/>
          <w:color w:val="1F4E79"/>
          <w:sz w:val="24"/>
          <w:szCs w:val="24"/>
        </w:rPr>
        <w:t xml:space="preserve">Problem 4: Texas and Pennsylvania Are Loss-Making States</w:t>
      </w:r>
    </w:p>
    <w:p>
      <w:pPr>
        <w:spacing w:after="160"/>
        <w:jc w:val="both"/>
      </w:pPr>
      <w:r>
        <w:rPr>
          <w:rFonts w:ascii="Arial" w:cs="Arial" w:eastAsia="Arial" w:hAnsi="Arial"/>
          <w:sz w:val="22"/>
          <w:szCs w:val="22"/>
        </w:rPr>
        <w:t xml:space="preserve">Despite being among the top five states by revenue, Texas (–$25,729 loss on $170,188 in sales) and Pennsylvania (–$15,560 loss on $116,512 in sales) are net profit destroyers. Together they wipe out over $41,000 in potential profit — money that is being given away through excessive discounts or unfavourable product mix.</w:t>
      </w:r>
    </w:p>
    <w:p>
      <w:pPr>
        <w:pStyle w:val="Heading3"/>
        <w:spacing w:before="200" w:after="120"/>
      </w:pPr>
      <w:r>
        <w:rPr>
          <w:rFonts w:ascii="Arial" w:cs="Arial" w:eastAsia="Arial" w:hAnsi="Arial"/>
          <w:b/>
          <w:bCs/>
          <w:color w:val="1F4E79"/>
          <w:sz w:val="24"/>
          <w:szCs w:val="24"/>
        </w:rPr>
        <w:t xml:space="preserve">Problem 5: Consumer Segment — High Revenue, Lowest Margin</w:t>
      </w:r>
    </w:p>
    <w:p>
      <w:pPr>
        <w:spacing w:after="160"/>
        <w:jc w:val="both"/>
      </w:pPr>
      <w:r>
        <w:rPr>
          <w:rFonts w:ascii="Arial" w:cs="Arial" w:eastAsia="Arial" w:hAnsi="Arial"/>
          <w:sz w:val="22"/>
          <w:szCs w:val="22"/>
        </w:rPr>
        <w:t xml:space="preserve">The Consumer segment accounts for 50.6% of total revenue ($1.16M) but delivers the lowest profit margin of the three segments at 11.55%. The Home Office segment, while smallest in size, achieves 14.03% — 2.5 points higher. This suggests the Consumer segment is either over-discounted or underserved with higher-margin products.</w:t>
      </w:r>
    </w:p>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3. Project Objectives &amp; Scope</w:t>
      </w:r>
    </w:p>
    <w:p>
      <w:pPr>
        <w:pStyle w:val="Heading2"/>
        <w:spacing w:before="300" w:after="160"/>
      </w:pPr>
      <w:r>
        <w:rPr>
          <w:rFonts w:ascii="Arial" w:cs="Arial" w:eastAsia="Arial" w:hAnsi="Arial"/>
          <w:b/>
          <w:bCs/>
          <w:color w:val="2E75B6"/>
          <w:sz w:val="26"/>
          <w:szCs w:val="26"/>
        </w:rPr>
        <w:t xml:space="preserve">3.1 Primary Objectives</w:t>
      </w:r>
    </w:p>
    <w:p>
      <w:pPr>
        <w:pStyle w:val="ListParagraph"/>
        <w:numPr>
          <w:ilvl w:val="0"/>
          <w:numId w:val="2"/>
        </w:numPr>
        <w:spacing w:after="100"/>
      </w:pPr>
      <w:r>
        <w:rPr>
          <w:rFonts w:ascii="Arial" w:cs="Arial" w:eastAsia="Arial" w:hAnsi="Arial"/>
          <w:sz w:val="22"/>
          <w:szCs w:val="22"/>
        </w:rPr>
        <w:t xml:space="preserve">Conduct a full Exploratory Data Analysis (EDA) to understand sales, profit, and discount distributions across all dimensions of the dataset.</w:t>
      </w:r>
    </w:p>
    <w:p>
      <w:pPr>
        <w:pStyle w:val="ListParagraph"/>
        <w:numPr>
          <w:ilvl w:val="0"/>
          <w:numId w:val="2"/>
        </w:numPr>
        <w:spacing w:after="100"/>
      </w:pPr>
      <w:r>
        <w:rPr>
          <w:rFonts w:ascii="Arial" w:cs="Arial" w:eastAsia="Arial" w:hAnsi="Arial"/>
          <w:sz w:val="22"/>
          <w:szCs w:val="22"/>
        </w:rPr>
        <w:t xml:space="preserve">Identify and quantify profit leakages — including loss-making sub-categories, states, discount tiers, and customer segments.</w:t>
      </w:r>
    </w:p>
    <w:p>
      <w:pPr>
        <w:pStyle w:val="ListParagraph"/>
        <w:numPr>
          <w:ilvl w:val="0"/>
          <w:numId w:val="2"/>
        </w:numPr>
        <w:spacing w:after="100"/>
      </w:pPr>
      <w:r>
        <w:rPr>
          <w:rFonts w:ascii="Arial" w:cs="Arial" w:eastAsia="Arial" w:hAnsi="Arial"/>
          <w:sz w:val="22"/>
          <w:szCs w:val="22"/>
        </w:rPr>
        <w:t xml:space="preserve">Analyse the quantitative relationship between discount rates and profit margins to define a data-driven discount policy.</w:t>
      </w:r>
    </w:p>
    <w:p>
      <w:pPr>
        <w:pStyle w:val="ListParagraph"/>
        <w:numPr>
          <w:ilvl w:val="0"/>
          <w:numId w:val="2"/>
        </w:numPr>
        <w:spacing w:after="100"/>
      </w:pPr>
      <w:r>
        <w:rPr>
          <w:rFonts w:ascii="Arial" w:cs="Arial" w:eastAsia="Arial" w:hAnsi="Arial"/>
          <w:sz w:val="22"/>
          <w:szCs w:val="22"/>
        </w:rPr>
        <w:t xml:space="preserve">Examine geographic and temporal sales trends to identify growth opportunities and seasonal demand patterns.</w:t>
      </w:r>
    </w:p>
    <w:p>
      <w:pPr>
        <w:pStyle w:val="ListParagraph"/>
        <w:numPr>
          <w:ilvl w:val="0"/>
          <w:numId w:val="2"/>
        </w:numPr>
        <w:spacing w:after="100"/>
      </w:pPr>
      <w:r>
        <w:rPr>
          <w:rFonts w:ascii="Arial" w:cs="Arial" w:eastAsia="Arial" w:hAnsi="Arial"/>
          <w:sz w:val="22"/>
          <w:szCs w:val="22"/>
        </w:rPr>
        <w:t xml:space="preserve">Develop a set of actionable, prioritised business recommendations with estimated financial impact.</w:t>
      </w:r>
    </w:p>
    <w:p>
      <w:pPr>
        <w:pStyle w:val="ListParagraph"/>
        <w:numPr>
          <w:ilvl w:val="0"/>
          <w:numId w:val="2"/>
        </w:numPr>
        <w:spacing w:after="100"/>
      </w:pPr>
      <w:r>
        <w:rPr>
          <w:rFonts w:ascii="Arial" w:cs="Arial" w:eastAsia="Arial" w:hAnsi="Arial"/>
          <w:sz w:val="22"/>
          <w:szCs w:val="22"/>
        </w:rPr>
        <w:t xml:space="preserve">Build an interactive Power BI dashboard enabling stakeholders to self-serve insights without technical knowledge.</w:t>
      </w:r>
    </w:p>
    <w:p>
      <w:pPr>
        <w:pStyle w:val="ListParagraph"/>
        <w:numPr>
          <w:ilvl w:val="0"/>
          <w:numId w:val="2"/>
        </w:numPr>
        <w:spacing w:after="100"/>
      </w:pPr>
      <w:r>
        <w:rPr>
          <w:rFonts w:ascii="Arial" w:cs="Arial" w:eastAsia="Arial" w:hAnsi="Arial"/>
          <w:sz w:val="22"/>
          <w:szCs w:val="22"/>
        </w:rPr>
        <w:t xml:space="preserve">Develop a predictive sales forecasting model to support quarterly planning.</w:t>
      </w:r>
    </w:p>
    <w:p>
      <w:pPr>
        <w:pStyle w:val="Heading2"/>
        <w:spacing w:before="300" w:after="160"/>
      </w:pPr>
      <w:r>
        <w:rPr>
          <w:rFonts w:ascii="Arial" w:cs="Arial" w:eastAsia="Arial" w:hAnsi="Arial"/>
          <w:b/>
          <w:bCs/>
          <w:color w:val="2E75B6"/>
          <w:sz w:val="26"/>
          <w:szCs w:val="26"/>
        </w:rPr>
        <w:t xml:space="preserve">3.2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Scope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Period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January 2014 – December 2017 (4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9,994 order line items across 5,009 unique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Geography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49 US States across 4 Census Regions (East, West, Central, South)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 categories, 17 sub-categories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Customers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793 unique customers across 3 segments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Analysis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Descriptive, Diagnostic, Prescriptive, Predictive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Out of Scope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Real-time data; competitor pricing; external macro-economic factors</w:t>
            </w:r>
          </w:p>
        </w:tc>
      </w:tr>
    </w:tbl>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4. Dataset Description</w:t>
      </w:r>
    </w:p>
    <w:p>
      <w:pPr>
        <w:pStyle w:val="Heading2"/>
        <w:spacing w:before="300" w:after="160"/>
      </w:pPr>
      <w:r>
        <w:rPr>
          <w:rFonts w:ascii="Arial" w:cs="Arial" w:eastAsia="Arial" w:hAnsi="Arial"/>
          <w:b/>
          <w:bCs/>
          <w:color w:val="2E75B6"/>
          <w:sz w:val="26"/>
          <w:szCs w:val="26"/>
        </w:rPr>
        <w:t xml:space="preserve">4.1 Source &amp; Structure</w:t>
      </w:r>
    </w:p>
    <w:p>
      <w:pPr>
        <w:spacing w:after="160"/>
        <w:jc w:val="both"/>
      </w:pPr>
      <w:r>
        <w:rPr>
          <w:rFonts w:ascii="Arial" w:cs="Arial" w:eastAsia="Arial" w:hAnsi="Arial"/>
          <w:sz w:val="22"/>
          <w:szCs w:val="22"/>
        </w:rPr>
        <w:t xml:space="preserve">The dataset used is the Sample Superstore dataset — a widely adopted retail analytics benchmark originally published by Tableau Software and available publicly on Kaggle. The cleaned version used in this analysis (cleaned_superstore.csv) contains 9,994 rows and 24 columns, after feature engineering added three derived columns: order_year, order_month, and season.</w:t>
      </w:r>
    </w:p>
    <w:p>
      <w:pPr>
        <w:pStyle w:val="Heading2"/>
        <w:spacing w:before="300" w:after="160"/>
      </w:pPr>
      <w:r>
        <w:rPr>
          <w:rFonts w:ascii="Arial" w:cs="Arial" w:eastAsia="Arial" w:hAnsi="Arial"/>
          <w:b/>
          <w:bCs/>
          <w:color w:val="2E75B6"/>
          <w:sz w:val="26"/>
          <w:szCs w:val="26"/>
        </w:rPr>
        <w:t xml:space="preserve">4.2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Data Type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order_id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String</w:t>
            </w:r>
          </w:p>
        </w:tc>
        <w:tc>
          <w:tcPr>
            <w:tcW w:type="dxa" w:w="50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Unique identifier per order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order_date / ship_date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Transaction and fulfilment 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customer_id /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String</w:t>
            </w:r>
          </w:p>
        </w:tc>
        <w:tc>
          <w:tcPr>
            <w:tcW w:type="dxa" w:w="50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Customer identification 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segment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Category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Consumer, Corporate, Home Office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region / state / 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Geography</w:t>
            </w:r>
          </w:p>
        </w:tc>
        <w:tc>
          <w:tcPr>
            <w:tcW w:type="dxa" w:w="50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US geographic hierarchy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category / sub_category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Category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 categories, 17 sub-categories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Float (USD)</w:t>
            </w:r>
          </w:p>
        </w:tc>
        <w:tc>
          <w:tcPr>
            <w:tcW w:type="dxa" w:w="50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Revenue per line 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Units ordered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Float (0.0–0.8)</w:t>
            </w:r>
          </w:p>
        </w:tc>
        <w:tc>
          <w:tcPr>
            <w:tcW w:type="dxa" w:w="50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Discount rate applied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Float (USD)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Net profit/loss per line 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Engineered</w:t>
            </w:r>
          </w:p>
        </w:tc>
        <w:tc>
          <w:tcPr>
            <w:tcW w:type="dxa" w:w="50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Spring, Summer, Monsoon, Autumn, Winter</w:t>
            </w:r>
          </w:p>
        </w:tc>
      </w:tr>
    </w:tbl>
    <w:p>
      <w:pPr>
        <w:spacing w:after="120"/>
      </w:pPr>
      <w:r>
        <w:t xml:space="preserve"/>
      </w:r>
    </w:p>
    <w:p>
      <w:pPr>
        <w:spacing w:after="160"/>
        <w:jc w:val="both"/>
      </w:pPr>
      <w:r>
        <w:rPr>
          <w:rFonts w:ascii="Arial" w:cs="Arial" w:eastAsia="Arial" w:hAnsi="Arial"/>
          <w:sz w:val="22"/>
          <w:szCs w:val="22"/>
        </w:rPr>
        <w:t xml:space="preserve">*Engineered feature derived from order_month using a seasonal mapping function.</w:t>
      </w:r>
    </w:p>
    <w:p>
      <w:pPr>
        <w:pStyle w:val="Heading2"/>
        <w:spacing w:before="300" w:after="160"/>
      </w:pPr>
      <w:r>
        <w:rPr>
          <w:rFonts w:ascii="Arial" w:cs="Arial" w:eastAsia="Arial" w:hAnsi="Arial"/>
          <w:b/>
          <w:bCs/>
          <w:color w:val="2E75B6"/>
          <w:sz w:val="26"/>
          <w:szCs w:val="26"/>
        </w:rPr>
        <w:t xml:space="preserve">4.3 Data Quality</w:t>
      </w:r>
    </w:p>
    <w:p>
      <w:pPr>
        <w:pStyle w:val="ListParagraph"/>
        <w:numPr>
          <w:ilvl w:val="0"/>
          <w:numId w:val="3"/>
        </w:numPr>
        <w:spacing w:after="100"/>
      </w:pPr>
      <w:r>
        <w:rPr>
          <w:rFonts w:ascii="Arial" w:cs="Arial" w:eastAsia="Arial" w:hAnsi="Arial"/>
          <w:sz w:val="22"/>
          <w:szCs w:val="22"/>
        </w:rPr>
        <w:t xml:space="preserve">No null values in financial fields (sales, profit, discount) — confirmed via pandas isnull() check.</w:t>
      </w:r>
    </w:p>
    <w:p>
      <w:pPr>
        <w:pStyle w:val="ListParagraph"/>
        <w:numPr>
          <w:ilvl w:val="0"/>
          <w:numId w:val="3"/>
        </w:numPr>
        <w:spacing w:after="100"/>
      </w:pPr>
      <w:r>
        <w:rPr>
          <w:rFonts w:ascii="Arial" w:cs="Arial" w:eastAsia="Arial" w:hAnsi="Arial"/>
          <w:sz w:val="22"/>
          <w:szCs w:val="22"/>
        </w:rPr>
        <w:t xml:space="preserve">Duplicate row_id entries resolved; referential integrity across order_id and customer_id validated.</w:t>
      </w:r>
    </w:p>
    <w:p>
      <w:pPr>
        <w:pStyle w:val="ListParagraph"/>
        <w:numPr>
          <w:ilvl w:val="0"/>
          <w:numId w:val="3"/>
        </w:numPr>
        <w:spacing w:after="100"/>
      </w:pPr>
      <w:r>
        <w:rPr>
          <w:rFonts w:ascii="Arial" w:cs="Arial" w:eastAsia="Arial" w:hAnsi="Arial"/>
          <w:sz w:val="22"/>
          <w:szCs w:val="22"/>
        </w:rPr>
        <w:t xml:space="preserve">Discount values range from 0.0 to 0.8 (0–80%) — no values outside this range detected.</w:t>
      </w:r>
    </w:p>
    <w:p>
      <w:pPr>
        <w:pStyle w:val="ListParagraph"/>
        <w:numPr>
          <w:ilvl w:val="0"/>
          <w:numId w:val="3"/>
        </w:numPr>
        <w:spacing w:after="100"/>
      </w:pPr>
      <w:r>
        <w:rPr>
          <w:rFonts w:ascii="Arial" w:cs="Arial" w:eastAsia="Arial" w:hAnsi="Arial"/>
          <w:sz w:val="22"/>
          <w:szCs w:val="22"/>
        </w:rPr>
        <w:t xml:space="preserve">Date fields parsed to datetime objects; order_year and order_month extracted for temporal analysis.</w:t>
      </w:r>
    </w:p>
    <w:p>
      <w:pPr>
        <w:pStyle w:val="ListParagraph"/>
        <w:numPr>
          <w:ilvl w:val="0"/>
          <w:numId w:val="3"/>
        </w:numPr>
        <w:spacing w:after="100"/>
      </w:pPr>
      <w:r>
        <w:rPr>
          <w:rFonts w:ascii="Arial" w:cs="Arial" w:eastAsia="Arial" w:hAnsi="Arial"/>
          <w:sz w:val="22"/>
          <w:szCs w:val="22"/>
        </w:rPr>
        <w:t xml:space="preserve">Categorical fields standardised for consistent groupby operations.</w:t>
      </w:r>
    </w:p>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5. Methodology</w:t>
      </w:r>
    </w:p>
    <w:p>
      <w:pPr>
        <w:pStyle w:val="Heading2"/>
        <w:spacing w:before="300" w:after="160"/>
      </w:pPr>
      <w:r>
        <w:rPr>
          <w:rFonts w:ascii="Arial" w:cs="Arial" w:eastAsia="Arial" w:hAnsi="Arial"/>
          <w:b/>
          <w:bCs/>
          <w:color w:val="2E75B6"/>
          <w:sz w:val="26"/>
          <w:szCs w:val="26"/>
        </w:rPr>
        <w:t xml:space="preserve">5.1 Analytical Framework</w:t>
      </w:r>
    </w:p>
    <w:p>
      <w:pPr>
        <w:spacing w:after="160"/>
        <w:jc w:val="both"/>
      </w:pPr>
      <w:r>
        <w:rPr>
          <w:rFonts w:ascii="Arial" w:cs="Arial" w:eastAsia="Arial" w:hAnsi="Arial"/>
          <w:sz w:val="22"/>
          <w:szCs w:val="22"/>
        </w:rPr>
        <w:t xml:space="preserve">The analysis follows the CRISP-DM (Cross-Industry Standard Process for Data Mining) framework, adapted for a business analytics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CRISP-DM Stage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Business Understanding</w:t>
            </w:r>
          </w:p>
        </w:tc>
        <w:tc>
          <w:tcPr>
            <w:tcW w:type="dxa" w:w="4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Define problem, objectives, and success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Understanding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EDA, distributions, correlations, outlier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Preparation</w:t>
            </w:r>
          </w:p>
        </w:tc>
        <w:tc>
          <w:tcPr>
            <w:tcW w:type="dxa" w:w="4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Cleaning, feature engineering, type conversion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Modelling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Statistical analysis, regression, forecasting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Evaluation</w:t>
            </w:r>
          </w:p>
        </w:tc>
        <w:tc>
          <w:tcPr>
            <w:tcW w:type="dxa" w:w="47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Validate findings against business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Deployment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Power BI dashboard, report, recommendations</w:t>
            </w:r>
          </w:p>
        </w:tc>
      </w:tr>
    </w:tbl>
    <w:p>
      <w:pPr>
        <w:spacing w:after="120"/>
      </w:pPr>
      <w:r>
        <w:t xml:space="preserve"/>
      </w:r>
    </w:p>
    <w:p>
      <w:pPr>
        <w:pStyle w:val="Heading2"/>
        <w:spacing w:before="300" w:after="160"/>
      </w:pPr>
      <w:r>
        <w:rPr>
          <w:rFonts w:ascii="Arial" w:cs="Arial" w:eastAsia="Arial" w:hAnsi="Arial"/>
          <w:b/>
          <w:bCs/>
          <w:color w:val="2E75B6"/>
          <w:sz w:val="26"/>
          <w:szCs w:val="26"/>
        </w:rPr>
        <w:t xml:space="preserve">5.2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 / Library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Python 3.x</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Core programming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Pandas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manipulation, grouping, aggregation, pivot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NumPy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Numerical operations and array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Matplotlib / Seaborn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Statistical visualisations, heatmaps, distribution plots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Scikit-learn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Machine learning models, forecasting, evaluation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Jupyter Notebook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Interactive analysis environment and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Power BI Desktop</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Interactive dashboards and stakeholder reporting</w:t>
            </w:r>
          </w:p>
        </w:tc>
      </w:tr>
    </w:tbl>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6. Key Findings &amp; Analysis</w:t>
      </w:r>
    </w:p>
    <w:p>
      <w:pPr>
        <w:pStyle w:val="Heading2"/>
        <w:spacing w:before="300" w:after="160"/>
      </w:pPr>
      <w:r>
        <w:rPr>
          <w:rFonts w:ascii="Arial" w:cs="Arial" w:eastAsia="Arial" w:hAnsi="Arial"/>
          <w:b/>
          <w:bCs/>
          <w:color w:val="2E75B6"/>
          <w:sz w:val="26"/>
          <w:szCs w:val="26"/>
        </w:rPr>
        <w:t xml:space="preserve">6.1 Category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1560"/>
        <w:gridCol w:w="1440"/>
      </w:tblGrid>
      <w:tr>
        <w:tc>
          <w:tcPr>
            <w:tcW w:type="dxa" w:w="2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Sales ($)</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Profit ($)</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Orders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Margin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$836,154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$145,455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1,847</w:t>
            </w:r>
          </w:p>
        </w:tc>
        <w:tc>
          <w:tcPr>
            <w:tcW w:type="dxa" w:w="144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17.40%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Office Supplies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$719,047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$122,491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6,026</w:t>
            </w:r>
          </w:p>
        </w:tc>
        <w:tc>
          <w:tcPr>
            <w:tcW w:type="dxa" w:w="144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17.04%</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Furniture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$741,999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$18,451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2,121</w:t>
            </w:r>
          </w:p>
        </w:tc>
        <w:tc>
          <w:tcPr>
            <w:tcW w:type="dxa" w:w="144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2.49%</w:t>
            </w:r>
          </w:p>
        </w:tc>
      </w:tr>
    </w:tbl>
    <w:p>
      <w:pPr>
        <w:spacing w:after="120"/>
      </w:pPr>
      <w:r>
        <w:t xml:space="preserve"/>
      </w:r>
    </w:p>
    <w:p>
      <w:pPr>
        <w:spacing w:after="160"/>
        <w:jc w:val="both"/>
      </w:pPr>
      <w:r>
        <w:rPr>
          <w:rFonts w:ascii="Arial" w:cs="Arial" w:eastAsia="Arial" w:hAnsi="Arial"/>
          <w:sz w:val="22"/>
          <w:szCs w:val="22"/>
        </w:rPr>
        <w:t xml:space="preserve">Technology is the star performer with a 17.40% margin on $836K revenue. Office Supplies achieves comparable margins with the highest order volume (6,026 orders). Furniture is the critical underperformer: 32.3% of revenue but only 6.4% of total profit.</w:t>
      </w:r>
    </w:p>
    <w:p>
      <w:pPr>
        <w:pStyle w:val="Heading2"/>
        <w:spacing w:before="300" w:after="160"/>
      </w:pPr>
      <w:r>
        <w:rPr>
          <w:rFonts w:ascii="Arial" w:cs="Arial" w:eastAsia="Arial" w:hAnsi="Arial"/>
          <w:b/>
          <w:bCs/>
          <w:color w:val="2E75B6"/>
          <w:sz w:val="26"/>
          <w:szCs w:val="26"/>
        </w:rPr>
        <w:t xml:space="preserve">6.2 Sub-Category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Sub-Category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Sales ($)</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Profit ($)</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Paper (Best Margin)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$78,479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$34,054</w:t>
            </w:r>
          </w:p>
        </w:tc>
        <w:tc>
          <w:tcPr>
            <w:tcW w:type="dxa" w:w="2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43.39%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Copiers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$149,528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$55,618</w:t>
            </w:r>
          </w:p>
        </w:tc>
        <w:tc>
          <w:tcPr>
            <w:tcW w:type="dxa" w:w="2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37.20%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Phones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$330,007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$44,516</w:t>
            </w:r>
          </w:p>
        </w:tc>
        <w:tc>
          <w:tcPr>
            <w:tcW w:type="dxa" w:w="2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13.49%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Machines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$189,239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$3,385</w:t>
            </w:r>
          </w:p>
        </w:tc>
        <w:tc>
          <w:tcPr>
            <w:tcW w:type="dxa" w:w="2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000000"/>
                <w:sz w:val="21"/>
                <w:szCs w:val="21"/>
              </w:rPr>
              <w:t xml:space="preserve">1.79%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Supplies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$46,674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–$1,189</w:t>
            </w:r>
          </w:p>
        </w:tc>
        <w:tc>
          <w:tcPr>
            <w:tcW w:type="dxa" w:w="2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–2.55%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Bookcases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$114,880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–$3,473</w:t>
            </w:r>
          </w:p>
        </w:tc>
        <w:tc>
          <w:tcPr>
            <w:tcW w:type="dxa" w:w="2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–3.02%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Tables (Worst)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$206,966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–$17,725</w:t>
            </w:r>
          </w:p>
        </w:tc>
        <w:tc>
          <w:tcPr>
            <w:tcW w:type="dxa" w:w="2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–8.56% ✗</w:t>
            </w:r>
          </w:p>
        </w:tc>
      </w:tr>
    </w:tbl>
    <w:p>
      <w:pPr>
        <w:pStyle w:val="Heading2"/>
        <w:spacing w:before="300" w:after="160"/>
      </w:pPr>
      <w:r>
        <w:rPr>
          <w:rFonts w:ascii="Arial" w:cs="Arial" w:eastAsia="Arial" w:hAnsi="Arial"/>
          <w:b/>
          <w:bCs/>
          <w:color w:val="2E75B6"/>
          <w:sz w:val="26"/>
          <w:szCs w:val="26"/>
        </w:rPr>
        <w:t xml:space="preserve">6.3 Regional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Region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Sales ($)</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Profit ($)</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Margin</w:t>
            </w:r>
          </w:p>
        </w:tc>
        <w:tc>
          <w:tcPr>
            <w:tcW w:type="dxa" w:w="1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West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$725,458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$108,418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14.94%</w:t>
            </w:r>
          </w:p>
        </w:tc>
        <w:tc>
          <w:tcPr>
            <w:tcW w:type="dxa" w:w="16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East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$678,781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$91,523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13.48%</w:t>
            </w:r>
          </w:p>
        </w:tc>
        <w:tc>
          <w:tcPr>
            <w:tcW w:type="dxa" w:w="16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#2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South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$391,722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$46,749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11.93%</w:t>
            </w:r>
          </w:p>
        </w:tc>
        <w:tc>
          <w:tcPr>
            <w:tcW w:type="dxa" w:w="16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Central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$501,240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$39,706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7.92%</w:t>
            </w:r>
          </w:p>
        </w:tc>
        <w:tc>
          <w:tcPr>
            <w:tcW w:type="dxa" w:w="16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#4 ✗</w:t>
            </w:r>
          </w:p>
        </w:tc>
      </w:tr>
    </w:tbl>
    <w:p>
      <w:pPr>
        <w:pStyle w:val="Heading2"/>
        <w:spacing w:before="300" w:after="160"/>
      </w:pPr>
      <w:r>
        <w:rPr>
          <w:rFonts w:ascii="Arial" w:cs="Arial" w:eastAsia="Arial" w:hAnsi="Arial"/>
          <w:b/>
          <w:bCs/>
          <w:color w:val="2E75B6"/>
          <w:sz w:val="26"/>
          <w:szCs w:val="26"/>
        </w:rPr>
        <w:t xml:space="preserve">6.4 Discount Impact Analysis</w:t>
      </w:r>
    </w:p>
    <w:p>
      <w:pPr>
        <w:spacing w:after="160"/>
        <w:jc w:val="both"/>
      </w:pPr>
      <w:r>
        <w:rPr>
          <w:rFonts w:ascii="Arial" w:cs="Arial" w:eastAsia="Arial" w:hAnsi="Arial"/>
          <w:sz w:val="22"/>
          <w:szCs w:val="22"/>
        </w:rPr>
        <w:t xml:space="preserve">This is the most consequential finding in the entire dataset. The data unambiguously shows that discounting above 20% destroys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Discount 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Orders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Total Profit ($)</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Avg Margin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0% (No Discount)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4,798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$320,988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29.51%</w:t>
            </w:r>
          </w:p>
        </w:tc>
        <w:tc>
          <w:tcPr>
            <w:tcW w:type="dxa" w:w="1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Optimal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$9,029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16.61%</w:t>
            </w:r>
          </w:p>
        </w:tc>
        <w:tc>
          <w:tcPr>
            <w:tcW w:type="dxa" w:w="1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3,709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$91,756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11.58%</w:t>
            </w:r>
          </w:p>
        </w:tc>
        <w:tc>
          <w:tcPr>
            <w:tcW w:type="dxa" w:w="1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000000"/>
                <w:sz w:val="21"/>
                <w:szCs w:val="21"/>
              </w:rPr>
              <w:t xml:space="preserve">Caution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–$10,369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–10.05%</w:t>
            </w:r>
          </w:p>
        </w:tc>
        <w:tc>
          <w:tcPr>
            <w:tcW w:type="dxa" w:w="1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Loss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–$48,448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–24.80%</w:t>
            </w:r>
          </w:p>
        </w:tc>
        <w:tc>
          <w:tcPr>
            <w:tcW w:type="dxa" w:w="1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Severe Loss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856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–$76,559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–119.20%</w:t>
            </w:r>
          </w:p>
        </w:tc>
        <w:tc>
          <w:tcPr>
            <w:tcW w:type="dxa" w:w="1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Critical ✗</w:t>
            </w:r>
          </w:p>
        </w:tc>
      </w:tr>
    </w:tbl>
    <w:p>
      <w:pPr>
        <w:spacing w:after="120"/>
      </w:pPr>
      <w:r>
        <w:t xml:space="preserve"/>
      </w:r>
    </w:p>
    <w:p>
      <w:pPr>
        <w:spacing w:after="160"/>
        <w:jc w:val="both"/>
      </w:pPr>
      <w:r>
        <w:rPr>
          <w:rFonts w:ascii="Arial" w:cs="Arial" w:eastAsia="Arial" w:hAnsi="Arial"/>
          <w:sz w:val="22"/>
          <w:szCs w:val="22"/>
        </w:rPr>
        <w:t xml:space="preserve">Critically, 50%+ discount orders number 856 — almost all loss-making — accounting for –$76,559 in profit destruction. This single discount tier eliminates 26.7% of total potential profit.</w:t>
      </w:r>
    </w:p>
    <w:p>
      <w:pPr>
        <w:pStyle w:val="Heading2"/>
        <w:spacing w:before="300" w:after="160"/>
      </w:pPr>
      <w:r>
        <w:rPr>
          <w:rFonts w:ascii="Arial" w:cs="Arial" w:eastAsia="Arial" w:hAnsi="Arial"/>
          <w:b/>
          <w:bCs/>
          <w:color w:val="2E75B6"/>
          <w:sz w:val="26"/>
          <w:szCs w:val="26"/>
        </w:rPr>
        <w:t xml:space="preserve">6.5 Year-on-Year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Sales ($)</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Profit ($)</w:t>
            </w:r>
          </w:p>
        </w:tc>
        <w:tc>
          <w:tcPr>
            <w:tcW w:type="dxa" w:w="2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YoY Sales 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2014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$484,247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$49,544</w:t>
            </w:r>
          </w:p>
        </w:tc>
        <w:tc>
          <w:tcPr>
            <w:tcW w:type="dxa" w:w="268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$470,533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$61,619</w:t>
            </w:r>
          </w:p>
        </w:tc>
        <w:tc>
          <w:tcPr>
            <w:tcW w:type="dxa" w:w="26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000000"/>
                <w:sz w:val="21"/>
                <w:szCs w:val="21"/>
              </w:rPr>
              <w:t xml:space="preserve">–2.83% (dip)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2016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$609,206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$81,795</w:t>
            </w:r>
          </w:p>
        </w:tc>
        <w:tc>
          <w:tcPr>
            <w:tcW w:type="dxa" w:w="2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+29.47%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$733,215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$93,439</w:t>
            </w:r>
          </w:p>
        </w:tc>
        <w:tc>
          <w:tcPr>
            <w:tcW w:type="dxa" w:w="2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+20.36%</w:t>
            </w:r>
          </w:p>
        </w:tc>
      </w:tr>
    </w:tbl>
    <w:p>
      <w:pPr>
        <w:spacing w:after="120"/>
      </w:pPr>
      <w:r>
        <w:t xml:space="preserve"/>
      </w:r>
    </w:p>
    <w:p>
      <w:pPr>
        <w:spacing w:after="160"/>
        <w:jc w:val="both"/>
      </w:pPr>
      <w:r>
        <w:rPr>
          <w:rFonts w:ascii="Arial" w:cs="Arial" w:eastAsia="Arial" w:hAnsi="Arial"/>
          <w:sz w:val="22"/>
          <w:szCs w:val="22"/>
        </w:rPr>
        <w:t xml:space="preserve">Revenue grew +51.4% from 2014 to 2017, demonstrating strong commercial momentum. However, profit margin improvement has been slower than revenue growth, reinforcing that the discount and product mix issues are suppressing margin expansion.</w:t>
      </w:r>
    </w:p>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7. Business Recommendations</w:t>
      </w:r>
    </w:p>
    <w:p>
      <w:pPr>
        <w:spacing w:after="160"/>
        <w:jc w:val="both"/>
      </w:pPr>
      <w:r>
        <w:rPr>
          <w:rFonts w:ascii="Arial" w:cs="Arial" w:eastAsia="Arial" w:hAnsi="Arial"/>
          <w:sz w:val="22"/>
          <w:szCs w:val="22"/>
        </w:rPr>
        <w:t xml:space="preserve">The following five recommendations are prioritised by estimated financial impact. Each is grounded in specific data findings from this analysis.</w:t>
      </w:r>
    </w:p>
    <w:p>
      <w:pPr>
        <w:spacing w:after="120"/>
      </w:pPr>
      <w:r>
        <w:t xml:space="preserve"/>
      </w:r>
    </w:p>
    <w:p>
      <w:pPr>
        <w:pStyle w:val="Heading2"/>
        <w:spacing w:before="300" w:after="160"/>
      </w:pPr>
      <w:r>
        <w:rPr>
          <w:rFonts w:ascii="Arial" w:cs="Arial" w:eastAsia="Arial" w:hAnsi="Arial"/>
          <w:b/>
          <w:bCs/>
          <w:color w:val="2E75B6"/>
          <w:sz w:val="26"/>
          <w:szCs w:val="26"/>
        </w:rPr>
        <w:t xml:space="preserve">Recommendation 1: Institute a Hard Discount Cap — Immediate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Evidence</w:t>
            </w:r>
          </w:p>
        </w:tc>
        <w:tc>
          <w:tcPr>
            <w:tcW w:type="dxa" w:w="6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856 orders at 50%+ discount generated –$76,559 in losses. 1,393 orders (27.8%) are loss-making.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Cap maximum discount at 20% for all product lines. Any discount above 20% requires CFO/Director approval with a documented profit impact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Sub-category Rule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Tables and Bookcases: maximum 10% discount only, given their existing negative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Projected Impact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Estimated recovery of $50,000–$80,000 in annual profit. This is the single highest-ROI action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Implementation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Update CRM discount rules; implement automated alerts in the order management system for discounts approaching 20%.</w:t>
            </w:r>
          </w:p>
        </w:tc>
      </w:tr>
    </w:tbl>
    <w:p>
      <w:pPr>
        <w:spacing w:after="120"/>
      </w:pPr>
      <w:r>
        <w:t xml:space="preserve"/>
      </w:r>
    </w:p>
    <w:p>
      <w:pPr>
        <w:pStyle w:val="Heading2"/>
        <w:spacing w:before="300" w:after="160"/>
      </w:pPr>
      <w:r>
        <w:rPr>
          <w:rFonts w:ascii="Arial" w:cs="Arial" w:eastAsia="Arial" w:hAnsi="Arial"/>
          <w:b/>
          <w:bCs/>
          <w:color w:val="2E75B6"/>
          <w:sz w:val="26"/>
          <w:szCs w:val="26"/>
        </w:rPr>
        <w:t xml:space="preserve">Recommendation 2: Restructure the Furniture Category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Evidence</w:t>
            </w:r>
          </w:p>
        </w:tc>
        <w:tc>
          <w:tcPr>
            <w:tcW w:type="dxa" w:w="6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Tables: –$17,725 loss (–8.56% margin). Bookcases: –$3,473 loss. Combined: –$21,198 loss on $321K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 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Discontinue or phase out the Tables sub-category, or renegotiate supplier contracts to reduce COGS by at least 12% to reach breakeven.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 B</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Redirect Furniture marketing budget toward Chairs and Furnishings — sub-categories with positive margins within the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 C</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Introduce bundling: pair high-margin Accessories with Furniture purchases to improve blended margin on Furniture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Projected Impact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Eliminating Tables losses alone recovers $17,725/year. Supplier renegotiation could add a further $10,000–$20,000 in margin improvement.</w:t>
            </w:r>
          </w:p>
        </w:tc>
      </w:tr>
    </w:tbl>
    <w:p>
      <w:pPr>
        <w:spacing w:after="120"/>
      </w:pPr>
      <w:r>
        <w:t xml:space="preserve"/>
      </w:r>
    </w:p>
    <w:p>
      <w:pPr>
        <w:pStyle w:val="Heading2"/>
        <w:spacing w:before="300" w:after="160"/>
      </w:pPr>
      <w:r>
        <w:rPr>
          <w:rFonts w:ascii="Arial" w:cs="Arial" w:eastAsia="Arial" w:hAnsi="Arial"/>
          <w:b/>
          <w:bCs/>
          <w:color w:val="2E75B6"/>
          <w:sz w:val="26"/>
          <w:szCs w:val="26"/>
        </w:rPr>
        <w:t xml:space="preserve">Recommendation 3: Fix Central Region &amp; Loss-Making States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Evidence</w:t>
            </w:r>
          </w:p>
        </w:tc>
        <w:tc>
          <w:tcPr>
            <w:tcW w:type="dxa" w:w="656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Central: 7.92% margin vs. West 14.94% — a 7-point gap on $501K revenue. Texas: –$25,729 loss. Pennsylvania: –$15,560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Root Cause Analysis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Conduct a state-level discount audit in Texas and Pennsylvania. Hypothesis: excessive discounting or high Furniture mix driving losses.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Apply regional discount caps stricter than the national policy. Rebalance product mix toward Technology in Central region stores. Review logistics costs per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Projected Impact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Recovering 50% of Texas and Pennsylvania losses = $20,000+/year. Closing half the Central-West margin gap = $35,000+ additional profit.</w:t>
            </w:r>
          </w:p>
        </w:tc>
      </w:tr>
    </w:tbl>
    <w:p>
      <w:pPr>
        <w:spacing w:after="120"/>
      </w:pPr>
      <w:r>
        <w:t xml:space="preserve"/>
      </w:r>
    </w:p>
    <w:p>
      <w:pPr>
        <w:pStyle w:val="Heading2"/>
        <w:spacing w:before="300" w:after="160"/>
      </w:pPr>
      <w:r>
        <w:rPr>
          <w:rFonts w:ascii="Arial" w:cs="Arial" w:eastAsia="Arial" w:hAnsi="Arial"/>
          <w:b/>
          <w:bCs/>
          <w:color w:val="2E75B6"/>
          <w:sz w:val="26"/>
          <w:szCs w:val="26"/>
        </w:rPr>
        <w:t xml:space="preserve">Recommendation 4: Invest in Technology Category Growth —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Evidence</w:t>
            </w:r>
          </w:p>
        </w:tc>
        <w:tc>
          <w:tcPr>
            <w:tcW w:type="dxa" w:w="6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Copiers: 37.20% margin. Accessories: 25.05% margin. Phones: $330K revenue, 13.49% margin — highest absolute profit sub-category ($44.5K).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 A</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Increase inventory and promotional spend on Copiers and Accessories — these deliver the highest margin in the entire portfolio.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 B</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Launch Technology bundle promotions: Phones + Accessories bundles can increase average order value while maintaining healthy blended margins.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Recommendation C</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Target Corporate and Home Office segments with Technology offers — both have higher margins than Consumer and are more likely to purchase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Projected Impact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A 15% revenue uplift in Technology (currently $836K) would generate an additional $18,000–$22,000 in profit at the current margin rate.</w:t>
            </w:r>
          </w:p>
        </w:tc>
      </w:tr>
    </w:tbl>
    <w:p>
      <w:pPr>
        <w:spacing w:after="120"/>
      </w:pPr>
      <w:r>
        <w:t xml:space="preserve"/>
      </w:r>
    </w:p>
    <w:p>
      <w:pPr>
        <w:pStyle w:val="Heading2"/>
        <w:spacing w:before="300" w:after="160"/>
      </w:pPr>
      <w:r>
        <w:rPr>
          <w:rFonts w:ascii="Arial" w:cs="Arial" w:eastAsia="Arial" w:hAnsi="Arial"/>
          <w:b/>
          <w:bCs/>
          <w:color w:val="2E75B6"/>
          <w:sz w:val="26"/>
          <w:szCs w:val="26"/>
        </w:rPr>
        <w:t xml:space="preserve">Recommendation 5: Differentiated Customer Segment Strategy — Medium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Data Evidence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Home Office: 14.03% margin. Corporate: 13.03% margin. Consumer: 11.55% margin (lowest, but 50.6% of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Consumer Strategy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Introduce a loyalty rewards program for the top 20% of Consumer customers (by spend). Reduce blanket discounts; use targeted promotions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Corporate Strategy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Assign dedicated account managers to top 50 Corporate accounts. Offer volume-based pricing agreements that protect margin while incentivising larger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Home Office Strategy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Expand reach to Home Office customers through digital marketing; this segment has the best margin and is underserved (only 148 customers vs. 409 Consumer).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Projected Impact</w:t>
            </w:r>
          </w:p>
        </w:tc>
        <w:tc>
          <w:tcPr>
            <w:tcW w:type="dxa" w:w="65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Shifting 5% of Consumer revenue mix toward higher-margin products could add $10,000–$15,000 in annual profit.</w:t>
            </w:r>
          </w:p>
        </w:tc>
      </w:tr>
    </w:tbl>
    <w:p>
      <w:pPr>
        <w:spacing w:after="120"/>
      </w:pPr>
      <w:r>
        <w:t xml:space="preserve"/>
      </w:r>
    </w:p>
    <w:p>
      <w:pPr>
        <w:pStyle w:val="Heading2"/>
        <w:spacing w:before="300" w:after="160"/>
      </w:pPr>
      <w:r>
        <w:rPr>
          <w:rFonts w:ascii="Arial" w:cs="Arial" w:eastAsia="Arial" w:hAnsi="Arial"/>
          <w:b/>
          <w:bCs/>
          <w:color w:val="2E75B6"/>
          <w:sz w:val="26"/>
          <w:szCs w:val="26"/>
        </w:rPr>
        <w:t xml:space="preserve">7.6 Recommendations Summary &amp;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3200"/>
        <w:gridCol w:w="1500"/>
        <w:gridCol w:w="1500"/>
        <w:gridCol w:w="2820"/>
      </w:tblGrid>
      <w:tr>
        <w:tc>
          <w:tcPr>
            <w:tcW w:type="dxa" w:w="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Recommendation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Effort</w:t>
            </w:r>
          </w:p>
        </w:tc>
        <w:tc>
          <w:tcPr>
            <w:tcW w:type="dxa" w:w="28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Projected Profit Impact</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Discount Cap Policy (max 20%)</w:t>
            </w:r>
          </w:p>
        </w:tc>
        <w:tc>
          <w:tcPr>
            <w:tcW w:type="dxa" w:w="15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Low</w:t>
            </w:r>
          </w:p>
        </w:tc>
        <w:tc>
          <w:tcPr>
            <w:tcW w:type="dxa" w:w="28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$50,000–$80,000/yr</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Furniture Category Restructure</w:t>
            </w:r>
          </w:p>
        </w:tc>
        <w:tc>
          <w:tcPr>
            <w:tcW w:type="dxa" w:w="15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r>
              <w:rPr>
                <w:rFonts w:ascii="Arial" w:cs="Arial" w:eastAsia="Arial" w:hAnsi="Arial"/>
                <w:color w:val="000000"/>
                <w:sz w:val="21"/>
                <w:szCs w:val="21"/>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Medium</w:t>
            </w:r>
          </w:p>
        </w:tc>
        <w:tc>
          <w:tcPr>
            <w:tcW w:type="dxa" w:w="28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$25,000–$40,000/yr</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Central Region &amp; State Fix</w:t>
            </w:r>
          </w:p>
        </w:tc>
        <w:tc>
          <w:tcPr>
            <w:tcW w:type="dxa" w:w="15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color w:val="000000"/>
                <w:sz w:val="21"/>
                <w:szCs w:val="21"/>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Medium</w:t>
            </w:r>
          </w:p>
        </w:tc>
        <w:tc>
          <w:tcPr>
            <w:tcW w:type="dxa" w:w="28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$20,000–$35,000/yr</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Technology Category Investment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Low</w:t>
            </w:r>
          </w:p>
        </w:tc>
        <w:tc>
          <w:tcPr>
            <w:tcW w:type="dxa" w:w="28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$18,000–$22,000/yr</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Customer Segment Strategy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High</w:t>
            </w:r>
          </w:p>
        </w:tc>
        <w:tc>
          <w:tcPr>
            <w:tcW w:type="dxa" w:w="28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000000"/>
                <w:sz w:val="21"/>
                <w:szCs w:val="21"/>
              </w:rPr>
              <w:t xml:space="preserve">$10,000–$15,000/yr</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00000"/>
                <w:sz w:val="21"/>
                <w:szCs w:val="21"/>
              </w:rPr>
              <w:t xml:space="preserve">TOTAL PROJECTED IMPACT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
            </w:r>
          </w:p>
        </w:tc>
        <w:tc>
          <w:tcPr>
            <w:tcW w:type="dxa" w:w="282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000000"/>
                <w:sz w:val="21"/>
                <w:szCs w:val="21"/>
              </w:rPr>
              <w:t xml:space="preserve">$123,000–$192,000/yr</w:t>
            </w:r>
          </w:p>
        </w:tc>
      </w:tr>
    </w:tbl>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8.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600"/>
        <w:gridCol w:w="3060"/>
        <w:gridCol w:w="3360"/>
      </w:tblGrid>
      <w:tr>
        <w:tc>
          <w:tcPr>
            <w:tcW w:type="dxa" w:w="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Cleaned Dataset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cleaned_superstore.csv</w:t>
            </w:r>
          </w:p>
        </w:tc>
        <w:tc>
          <w:tcPr>
            <w:tcW w:type="dxa" w:w="3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9,994 records with 24 features incl. engineered columns</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Jupyter Notebook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Store_Analysis_notebook.ipynb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Full EDA, visualisations, statistical analysis, ML model</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Power BI Dashboard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Superstore_BI.pbix</w:t>
            </w:r>
          </w:p>
        </w:tc>
        <w:tc>
          <w:tcPr>
            <w:tcW w:type="dxa" w:w="3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Interactive 6-page BI report with slicers and KPI cards</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Problem Statement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Problem_Statement.docx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Formal problem definition, scope, and objectives</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 Report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Project_Report.docx</w:t>
            </w:r>
          </w:p>
        </w:tc>
        <w:tc>
          <w:tcPr>
            <w:tcW w:type="dxa" w:w="3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This document — comprehensive findings and recommendations</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Presentation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Superstore_Presentation.pptx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10-slide executive summary deck</w:t>
            </w:r>
          </w:p>
        </w:tc>
      </w:tr>
      <w:tr>
        <w:tc>
          <w:tcPr>
            <w:tcW w:type="dxa" w:w="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GitHub README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1"/>
                <w:szCs w:val="21"/>
              </w:rPr>
              <w:t xml:space="preserve">README.md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40"/>
            </w:tcMar>
          </w:tcPr>
          <w:p>
            <w:r>
              <w:rPr>
                <w:rFonts w:ascii="Arial" w:cs="Arial" w:eastAsia="Arial" w:hAnsi="Arial"/>
                <w:color w:val="000000"/>
                <w:sz w:val="21"/>
                <w:szCs w:val="21"/>
              </w:rPr>
              <w:t xml:space="preserve">Portfolio-ready repository documentation</w:t>
            </w:r>
          </w:p>
        </w:tc>
      </w:tr>
    </w:tbl>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9. Conclusion</w:t>
      </w:r>
    </w:p>
    <w:p>
      <w:pPr>
        <w:spacing w:after="160"/>
        <w:jc w:val="both"/>
      </w:pPr>
      <w:r>
        <w:rPr>
          <w:rFonts w:ascii="Arial" w:cs="Arial" w:eastAsia="Arial" w:hAnsi="Arial"/>
          <w:sz w:val="22"/>
          <w:szCs w:val="22"/>
        </w:rPr>
        <w:t xml:space="preserve">This analysis of 9,994 Superstore transactions across four years establishes a clear, data-grounded picture of where value is created and where it is destroyed within this retail operation. The headline finding is stark: despite strong revenue growth of +51.4% from 2014 to 2017, the overall profit margin of 12.47% is suppressed by a set of controllable, fixable operational practices.</w:t>
      </w:r>
    </w:p>
    <w:p>
      <w:pPr>
        <w:spacing w:after="160"/>
        <w:jc w:val="both"/>
      </w:pPr>
      <w:r>
        <w:rPr>
          <w:rFonts w:ascii="Arial" w:cs="Arial" w:eastAsia="Arial" w:hAnsi="Arial"/>
          <w:sz w:val="22"/>
          <w:szCs w:val="22"/>
        </w:rPr>
        <w:t xml:space="preserve">The five recommendations in this report are not speculative. They are directly traceable to specific numbers in the dataset: 856 orders with 50%+ discounts destroying $76,559 in profit; Tables sub-category generating a –$17,725 loss; Texas alone wiping out $25,729 in potential earnings. These are not edge cases — they are systemic patterns that, once addressed, could realistically add $123,000 to $192,000 in annual profit without a single dollar of additional revenue.</w:t>
      </w:r>
    </w:p>
    <w:p>
      <w:pPr>
        <w:spacing w:after="160"/>
        <w:jc w:val="both"/>
      </w:pPr>
      <w:r>
        <w:rPr>
          <w:rFonts w:ascii="Arial" w:cs="Arial" w:eastAsia="Arial" w:hAnsi="Arial"/>
          <w:sz w:val="22"/>
          <w:szCs w:val="22"/>
        </w:rPr>
        <w:t xml:space="preserve">From a data science and business analytics perspective, this project demonstrates the full value chain of applied analytics: from raw data ingestion and feature engineering, through diagnostic analysis and statistical modelling, to actionable business intelligence delivered via a Power BI dashboard. The methodology is replicable across any retail dataset and the framework established here can serve as a template for ongoing monthly or quarterly performance reviews.</w:t>
      </w:r>
    </w:p>
    <w:p>
      <w:pPr>
        <w:pStyle w:val="Heading2"/>
        <w:spacing w:before="300" w:after="160"/>
      </w:pPr>
      <w:r>
        <w:rPr>
          <w:rFonts w:ascii="Arial" w:cs="Arial" w:eastAsia="Arial" w:hAnsi="Arial"/>
          <w:b/>
          <w:bCs/>
          <w:color w:val="2E75B6"/>
          <w:sz w:val="26"/>
          <w:szCs w:val="26"/>
        </w:rPr>
        <w:t xml:space="preserve">9.1 Future Work</w:t>
      </w:r>
    </w:p>
    <w:p>
      <w:pPr>
        <w:pStyle w:val="ListParagraph"/>
        <w:numPr>
          <w:ilvl w:val="0"/>
          <w:numId w:val="3"/>
        </w:numPr>
        <w:spacing w:after="100"/>
      </w:pPr>
      <w:r>
        <w:rPr>
          <w:rFonts w:ascii="Arial" w:cs="Arial" w:eastAsia="Arial" w:hAnsi="Arial"/>
          <w:sz w:val="22"/>
          <w:szCs w:val="22"/>
        </w:rPr>
        <w:t xml:space="preserve">Incorporate real-time data via Power BI Direct Query for live operational dashboards.</w:t>
      </w:r>
    </w:p>
    <w:p>
      <w:pPr>
        <w:pStyle w:val="ListParagraph"/>
        <w:numPr>
          <w:ilvl w:val="0"/>
          <w:numId w:val="3"/>
        </w:numPr>
        <w:spacing w:after="100"/>
      </w:pPr>
      <w:r>
        <w:rPr>
          <w:rFonts w:ascii="Arial" w:cs="Arial" w:eastAsia="Arial" w:hAnsi="Arial"/>
          <w:sz w:val="22"/>
          <w:szCs w:val="22"/>
        </w:rPr>
        <w:t xml:space="preserve">Build a Customer Lifetime Value (CLV) model to prioritise retention investment by customer profitability tier.</w:t>
      </w:r>
    </w:p>
    <w:p>
      <w:pPr>
        <w:pStyle w:val="ListParagraph"/>
        <w:numPr>
          <w:ilvl w:val="0"/>
          <w:numId w:val="3"/>
        </w:numPr>
        <w:spacing w:after="100"/>
      </w:pPr>
      <w:r>
        <w:rPr>
          <w:rFonts w:ascii="Arial" w:cs="Arial" w:eastAsia="Arial" w:hAnsi="Arial"/>
          <w:sz w:val="22"/>
          <w:szCs w:val="22"/>
        </w:rPr>
        <w:t xml:space="preserve">A/B test the recommended 20% discount cap policy in one region before national rollout.</w:t>
      </w:r>
    </w:p>
    <w:p>
      <w:pPr>
        <w:pStyle w:val="ListParagraph"/>
        <w:numPr>
          <w:ilvl w:val="0"/>
          <w:numId w:val="3"/>
        </w:numPr>
        <w:spacing w:after="100"/>
      </w:pPr>
      <w:r>
        <w:rPr>
          <w:rFonts w:ascii="Arial" w:cs="Arial" w:eastAsia="Arial" w:hAnsi="Arial"/>
          <w:sz w:val="22"/>
          <w:szCs w:val="22"/>
        </w:rPr>
        <w:t xml:space="preserve">Develop a product recommendation engine using collaborative filtering to improve cross-sell conversion.</w:t>
      </w:r>
    </w:p>
    <w:p>
      <w:pPr>
        <w:pStyle w:val="ListParagraph"/>
        <w:numPr>
          <w:ilvl w:val="0"/>
          <w:numId w:val="3"/>
        </w:numPr>
        <w:spacing w:after="100"/>
      </w:pPr>
      <w:r>
        <w:rPr>
          <w:rFonts w:ascii="Arial" w:cs="Arial" w:eastAsia="Arial" w:hAnsi="Arial"/>
          <w:sz w:val="22"/>
          <w:szCs w:val="22"/>
        </w:rPr>
        <w:t xml:space="preserve">Integrate external data (competitor pricing, foot traffic, macroeconomic indicators) for richer forecasting.</w:t>
      </w:r>
    </w:p>
    <w:p>
      <w:pPr>
        <w:pageBreakBefore/>
      </w:pPr>
      <w:r>
        <w:br/>
      </w:r>
    </w:p>
    <w:p>
      <w:pPr>
        <w:pStyle w:val="Heading1"/>
        <w:pBdr>
          <w:bottom w:val="single" w:color="2E75B6" w:sz="6" w:space="1"/>
        </w:pBdr>
        <w:spacing w:before="400" w:after="200"/>
      </w:pPr>
      <w:r>
        <w:rPr>
          <w:rFonts w:ascii="Arial" w:cs="Arial" w:eastAsia="Arial" w:hAnsi="Arial"/>
          <w:b/>
          <w:bCs/>
          <w:color w:val="1F4E79"/>
          <w:sz w:val="32"/>
          <w:szCs w:val="32"/>
        </w:rPr>
        <w:t xml:space="preserve">10. References &amp; Tools</w:t>
      </w:r>
    </w:p>
    <w:p>
      <w:pPr>
        <w:pStyle w:val="ListParagraph"/>
        <w:numPr>
          <w:ilvl w:val="0"/>
          <w:numId w:val="3"/>
        </w:numPr>
        <w:spacing w:after="100"/>
      </w:pPr>
      <w:r>
        <w:rPr>
          <w:rFonts w:ascii="Arial" w:cs="Arial" w:eastAsia="Arial" w:hAnsi="Arial"/>
          <w:sz w:val="22"/>
          <w:szCs w:val="22"/>
        </w:rPr>
        <w:t xml:space="preserve">Dataset: Sample Superstore — available on Tableau Public and Kaggle</w:t>
      </w:r>
    </w:p>
    <w:p>
      <w:pPr>
        <w:pStyle w:val="ListParagraph"/>
        <w:numPr>
          <w:ilvl w:val="0"/>
          <w:numId w:val="3"/>
        </w:numPr>
        <w:spacing w:after="100"/>
      </w:pPr>
      <w:r>
        <w:rPr>
          <w:rFonts w:ascii="Arial" w:cs="Arial" w:eastAsia="Arial" w:hAnsi="Arial"/>
          <w:sz w:val="22"/>
          <w:szCs w:val="22"/>
        </w:rPr>
        <w:t xml:space="preserve">Python 3.x — https://www.python.org</w:t>
      </w:r>
    </w:p>
    <w:p>
      <w:pPr>
        <w:pStyle w:val="ListParagraph"/>
        <w:numPr>
          <w:ilvl w:val="0"/>
          <w:numId w:val="3"/>
        </w:numPr>
        <w:spacing w:after="100"/>
      </w:pPr>
      <w:r>
        <w:rPr>
          <w:rFonts w:ascii="Arial" w:cs="Arial" w:eastAsia="Arial" w:hAnsi="Arial"/>
          <w:sz w:val="22"/>
          <w:szCs w:val="22"/>
        </w:rPr>
        <w:t xml:space="preserve">Pandas Documentation — https://pandas.pydata.org</w:t>
      </w:r>
    </w:p>
    <w:p>
      <w:pPr>
        <w:pStyle w:val="ListParagraph"/>
        <w:numPr>
          <w:ilvl w:val="0"/>
          <w:numId w:val="3"/>
        </w:numPr>
        <w:spacing w:after="100"/>
      </w:pPr>
      <w:r>
        <w:rPr>
          <w:rFonts w:ascii="Arial" w:cs="Arial" w:eastAsia="Arial" w:hAnsi="Arial"/>
          <w:sz w:val="22"/>
          <w:szCs w:val="22"/>
        </w:rPr>
        <w:t xml:space="preserve">Seaborn Documentation — https://seaborn.pydata.org</w:t>
      </w:r>
    </w:p>
    <w:p>
      <w:pPr>
        <w:pStyle w:val="ListParagraph"/>
        <w:numPr>
          <w:ilvl w:val="0"/>
          <w:numId w:val="3"/>
        </w:numPr>
        <w:spacing w:after="100"/>
      </w:pPr>
      <w:r>
        <w:rPr>
          <w:rFonts w:ascii="Arial" w:cs="Arial" w:eastAsia="Arial" w:hAnsi="Arial"/>
          <w:sz w:val="22"/>
          <w:szCs w:val="22"/>
        </w:rPr>
        <w:t xml:space="preserve">Scikit-learn Documentation — https://scikit-learn.org</w:t>
      </w:r>
    </w:p>
    <w:p>
      <w:pPr>
        <w:pStyle w:val="ListParagraph"/>
        <w:numPr>
          <w:ilvl w:val="0"/>
          <w:numId w:val="3"/>
        </w:numPr>
        <w:spacing w:after="100"/>
      </w:pPr>
      <w:r>
        <w:rPr>
          <w:rFonts w:ascii="Arial" w:cs="Arial" w:eastAsia="Arial" w:hAnsi="Arial"/>
          <w:sz w:val="22"/>
          <w:szCs w:val="22"/>
        </w:rPr>
        <w:t xml:space="preserve">Power BI Desktop — https://powerbi.microsoft.com/desktop</w:t>
      </w:r>
    </w:p>
    <w:p>
      <w:pPr>
        <w:pStyle w:val="ListParagraph"/>
        <w:numPr>
          <w:ilvl w:val="0"/>
          <w:numId w:val="3"/>
        </w:numPr>
        <w:spacing w:after="100"/>
      </w:pPr>
      <w:r>
        <w:rPr>
          <w:rFonts w:ascii="Arial" w:cs="Arial" w:eastAsia="Arial" w:hAnsi="Arial"/>
          <w:sz w:val="22"/>
          <w:szCs w:val="22"/>
        </w:rPr>
        <w:t xml:space="preserve">CRISP-DM Methodology — https://www.ibm.com/docs/en/spss-modeler/18.0.0?topic=dm-crisp-help-overview</w:t>
      </w:r>
    </w:p>
    <w:p>
      <w:pPr>
        <w:pStyle w:val="ListParagraph"/>
        <w:numPr>
          <w:ilvl w:val="0"/>
          <w:numId w:val="3"/>
        </w:numPr>
        <w:spacing w:after="100"/>
      </w:pPr>
      <w:r>
        <w:rPr>
          <w:rFonts w:ascii="Arial" w:cs="Arial" w:eastAsia="Arial" w:hAnsi="Arial"/>
          <w:sz w:val="22"/>
          <w:szCs w:val="22"/>
        </w:rPr>
        <w:t xml:space="preserve">Jupyter Notebook — https://jupyter.org</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2026-03-27T06:58:09.077Z</dcterms:created>
  <dcterms:modified xsi:type="dcterms:W3CDTF">2026-03-27T06:58:09.078Z</dcterms:modified>
</cp:coreProperties>
</file>

<file path=docProps/custom.xml><?xml version="1.0" encoding="utf-8"?>
<Properties xmlns="http://schemas.openxmlformats.org/officeDocument/2006/custom-properties" xmlns:vt="http://schemas.openxmlformats.org/officeDocument/2006/docPropsVTypes"/>
</file>