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inline distT="0" distB="0" distL="0" distR="0">
            <wp:extent cx="7343775" cy="950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343775" cy="9505950"/>
                    </a:xfrm>
                    <a:prstGeom prst="rect">
                      <a:avLst/>
                    </a:prstGeom>
                  </pic:spPr>
                </pic:pic>
              </a:graphicData>
            </a:graphic>
          </wp:inline>
        </w:drawing>
      </w:r>
    </w:p>
    <w:p>
      <w:r>
        <w:br w:type="page"/>
      </w:r>
    </w:p>
    <w:p>
      <w:pPr>
        <w:spacing w:after="0"/>
      </w:pPr>
      <w:r>
        <w:drawing>
          <wp:inline distT="0" distB="0" distL="0" distR="0">
            <wp:extent cx="7343775" cy="950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343775" cy="9505950"/>
                    </a:xfrm>
                    <a:prstGeom prst="rect">
                      <a:avLst/>
                    </a:prstGeom>
                  </pic:spPr>
                </pic:pic>
              </a:graphicData>
            </a:graphic>
          </wp:inline>
        </w:drawing>
      </w:r>
    </w:p>
    <w:p>
      <w:pPr>
        <w:sectPr>
          <w:pgSz w:w="12240" w:h="15840" w:orient="portrait"/>
          <w:pgMar w:top="0" w:right="0" w:bottom="0" w:left="0" w:header="708" w:footer="708" w:gutter="0"/>
          <w:pgNumType/>
          <w:docGrid w:linePitch="360"/>
        </w:sectPr>
      </w:pPr>
    </w:p>
    <w:p>
      <w:pPr>
        <w:spacing w:after="40" w:before="200"/>
        <w:jc w:val="center"/>
      </w:pPr>
      <w:r>
        <w:rPr>
          <w:b/>
          <w:bCs/>
          <w:color w:val="1F3864"/>
          <w:sz w:val="30"/>
          <w:szCs w:val="30"/>
        </w:rPr>
        <w:t xml:space="preserve">SIMATS ENGINEERING (SAVEETHA SCHOOL OF ENGINEERING)</w:t>
      </w:r>
    </w:p>
    <w:p>
      <w:pPr>
        <w:spacing w:after="40"/>
        <w:jc w:val="center"/>
      </w:pPr>
      <w:r>
        <w:rPr>
          <w:b/>
          <w:bCs/>
          <w:color w:val="1F3864"/>
          <w:sz w:val="24"/>
          <w:szCs w:val="24"/>
        </w:rPr>
        <w:t xml:space="preserve">Department of Computer Science and Engineering</w:t>
      </w:r>
    </w:p>
    <w:p>
      <w:pPr>
        <w:spacing w:after="300"/>
        <w:jc w:val="center"/>
      </w:pPr>
      <w:r>
        <w:rPr>
          <w:b/>
          <w:bCs/>
          <w:color w:val="B22222"/>
          <w:sz w:val="26"/>
          <w:szCs w:val="26"/>
        </w:rPr>
        <w:t xml:space="preserve">CO4 Assessment Tool 2 – CI/CD Pipeline Design Exercise</w:t>
      </w:r>
    </w:p>
    <w:p>
      <w:pPr>
        <w:spacing w:after="120" w:before="300"/>
        <w:jc w:val="center"/>
      </w:pPr>
      <w:r>
        <w:rPr>
          <w:b/>
          <w:bCs/>
          <w:sz w:val="34"/>
          <w:szCs w:val="34"/>
        </w:rPr>
        <w:t xml:space="preserve">CI/CD PIPELINE DESIGN REPORT</w:t>
      </w:r>
    </w:p>
    <w:p>
      <w:pPr>
        <w:spacing w:after="400"/>
        <w:jc w:val="center"/>
      </w:pPr>
      <w:r>
        <w:rPr>
          <w:b/>
          <w:bCs/>
          <w:i/>
          <w:iCs/>
          <w:sz w:val="24"/>
          <w:szCs w:val="24"/>
        </w:rPr>
        <w:t xml:space="preserve">Problem Statement 38: Intelligent Smart Port Operations and Cargo Management Platform</w:t>
      </w:r>
    </w:p>
    <w:tbl>
      <w:tblPr>
        <w:tblW w:type="dxa" w:w="10080"/>
        <w:jc w:val="center"/>
        <w:tblBorders>
          <w:top w:val="single" w:color="8EA9DB" w:sz="4"/>
          <w:left w:val="single" w:color="8EA9DB" w:sz="4"/>
          <w:bottom w:val="single" w:color="8EA9DB" w:sz="4"/>
          <w:right w:val="single" w:color="8EA9DB" w:sz="4"/>
          <w:insideH w:val="single" w:color="8EA9DB" w:sz="4"/>
          <w:insideV w:val="single" w:color="8EA9DB" w:sz="4"/>
        </w:tblBorders>
      </w:tblPr>
      <w:tblGrid>
        <w:gridCol w:w="100"/>
        <w:gridCol w:w="100"/>
        <w:gridCol w:w="100"/>
        <w:gridCol w:w="100"/>
      </w:tblGrid>
      <w:tr>
        <w:tc>
          <w:tcPr>
            <w:tcW w:type="dxa" w:w="2520"/>
            <w:shd w:fill="DCE6F1" w:color="auto" w:val="clear"/>
            <w:tcMar>
              <w:top w:type="dxa" w:w="40"/>
              <w:left w:type="dxa" w:w="60"/>
              <w:bottom w:type="dxa" w:w="40"/>
              <w:right w:type="dxa" w:w="60"/>
            </w:tcMar>
            <w:vAlign w:val="center"/>
          </w:tcPr>
          <w:p>
            <w:pPr>
              <w:jc w:val="left"/>
            </w:pPr>
            <w:r>
              <w:rPr>
                <w:b/>
                <w:bCs/>
                <w:color w:val="000000"/>
                <w:sz w:val="19"/>
                <w:szCs w:val="19"/>
              </w:rPr>
              <w:t xml:space="preserve">Course Code</w:t>
            </w:r>
          </w:p>
        </w:tc>
        <w:tc>
          <w:tcPr>
            <w:tcW w:type="dxa" w:w="2520"/>
            <w:tcMar>
              <w:top w:type="dxa" w:w="40"/>
              <w:left w:type="dxa" w:w="60"/>
              <w:bottom w:type="dxa" w:w="40"/>
              <w:right w:type="dxa" w:w="60"/>
            </w:tcMar>
            <w:vAlign w:val="center"/>
          </w:tcPr>
          <w:p>
            <w:pPr>
              <w:jc w:val="left"/>
            </w:pPr>
            <w:r>
              <w:rPr>
                <w:b w:val="false"/>
                <w:bCs w:val="false"/>
                <w:color w:val="000000"/>
                <w:sz w:val="19"/>
                <w:szCs w:val="19"/>
              </w:rPr>
              <w:t xml:space="preserve">CSA1013</w:t>
            </w:r>
          </w:p>
        </w:tc>
        <w:tc>
          <w:tcPr>
            <w:tcW w:type="dxa" w:w="2520"/>
            <w:shd w:fill="DCE6F1" w:color="auto" w:val="clear"/>
            <w:tcMar>
              <w:top w:type="dxa" w:w="40"/>
              <w:left w:type="dxa" w:w="60"/>
              <w:bottom w:type="dxa" w:w="40"/>
              <w:right w:type="dxa" w:w="60"/>
            </w:tcMar>
            <w:vAlign w:val="center"/>
          </w:tcPr>
          <w:p>
            <w:pPr>
              <w:jc w:val="left"/>
            </w:pPr>
            <w:r>
              <w:rPr>
                <w:b/>
                <w:bCs/>
                <w:color w:val="000000"/>
                <w:sz w:val="19"/>
                <w:szCs w:val="19"/>
              </w:rPr>
              <w:t xml:space="preserve">Course Title</w:t>
            </w:r>
          </w:p>
        </w:tc>
        <w:tc>
          <w:tcPr>
            <w:tcW w:type="dxa" w:w="2520"/>
            <w:tcMar>
              <w:top w:type="dxa" w:w="40"/>
              <w:left w:type="dxa" w:w="60"/>
              <w:bottom w:type="dxa" w:w="40"/>
              <w:right w:type="dxa" w:w="60"/>
            </w:tcMar>
            <w:vAlign w:val="center"/>
          </w:tcPr>
          <w:p>
            <w:pPr>
              <w:jc w:val="left"/>
            </w:pPr>
            <w:r>
              <w:rPr>
                <w:b w:val="false"/>
                <w:bCs w:val="false"/>
                <w:color w:val="000000"/>
                <w:sz w:val="19"/>
                <w:szCs w:val="19"/>
              </w:rPr>
              <w:t xml:space="preserve">Software Engineering</w:t>
            </w:r>
          </w:p>
        </w:tc>
      </w:tr>
      <w:tr>
        <w:tc>
          <w:tcPr>
            <w:tcW w:type="dxa" w:w="2520"/>
            <w:shd w:fill="DCE6F1" w:color="auto" w:val="clear"/>
            <w:tcMar>
              <w:top w:type="dxa" w:w="40"/>
              <w:left w:type="dxa" w:w="60"/>
              <w:bottom w:type="dxa" w:w="40"/>
              <w:right w:type="dxa" w:w="60"/>
            </w:tcMar>
            <w:vAlign w:val="center"/>
          </w:tcPr>
          <w:p>
            <w:pPr>
              <w:jc w:val="left"/>
            </w:pPr>
            <w:r>
              <w:rPr>
                <w:b/>
                <w:bCs/>
                <w:color w:val="000000"/>
                <w:sz w:val="19"/>
                <w:szCs w:val="19"/>
              </w:rPr>
              <w:t xml:space="preserve">CO Assessed</w:t>
            </w:r>
          </w:p>
        </w:tc>
        <w:tc>
          <w:tcPr>
            <w:tcW w:type="dxa" w:w="2520"/>
            <w:tcMar>
              <w:top w:type="dxa" w:w="40"/>
              <w:left w:type="dxa" w:w="60"/>
              <w:bottom w:type="dxa" w:w="40"/>
              <w:right w:type="dxa" w:w="60"/>
            </w:tcMar>
            <w:vAlign w:val="center"/>
          </w:tcPr>
          <w:p>
            <w:pPr>
              <w:jc w:val="left"/>
            </w:pPr>
            <w:r>
              <w:rPr>
                <w:b w:val="false"/>
                <w:bCs w:val="false"/>
                <w:color w:val="000000"/>
                <w:sz w:val="19"/>
                <w:szCs w:val="19"/>
              </w:rPr>
              <w:t xml:space="preserve">CO4</w:t>
            </w:r>
          </w:p>
        </w:tc>
        <w:tc>
          <w:tcPr>
            <w:tcW w:type="dxa" w:w="2520"/>
            <w:shd w:fill="DCE6F1" w:color="auto" w:val="clear"/>
            <w:tcMar>
              <w:top w:type="dxa" w:w="40"/>
              <w:left w:type="dxa" w:w="60"/>
              <w:bottom w:type="dxa" w:w="40"/>
              <w:right w:type="dxa" w:w="60"/>
            </w:tcMar>
            <w:vAlign w:val="center"/>
          </w:tcPr>
          <w:p>
            <w:pPr>
              <w:jc w:val="left"/>
            </w:pPr>
            <w:r>
              <w:rPr>
                <w:b/>
                <w:bCs/>
                <w:color w:val="000000"/>
                <w:sz w:val="19"/>
                <w:szCs w:val="19"/>
              </w:rPr>
              <w:t xml:space="preserve">Assessment</w:t>
            </w:r>
          </w:p>
        </w:tc>
        <w:tc>
          <w:tcPr>
            <w:tcW w:type="dxa" w:w="2520"/>
            <w:tcMar>
              <w:top w:type="dxa" w:w="40"/>
              <w:left w:type="dxa" w:w="60"/>
              <w:bottom w:type="dxa" w:w="40"/>
              <w:right w:type="dxa" w:w="60"/>
            </w:tcMar>
            <w:vAlign w:val="center"/>
          </w:tcPr>
          <w:p>
            <w:pPr>
              <w:jc w:val="left"/>
            </w:pPr>
            <w:r>
              <w:rPr>
                <w:b w:val="false"/>
                <w:bCs w:val="false"/>
                <w:color w:val="000000"/>
                <w:sz w:val="19"/>
                <w:szCs w:val="19"/>
              </w:rPr>
              <w:t xml:space="preserve">Assessment Tool 2 – CI/CD Pipeline Design</w:t>
            </w:r>
          </w:p>
        </w:tc>
      </w:tr>
      <w:tr>
        <w:tc>
          <w:tcPr>
            <w:tcW w:type="dxa" w:w="2520"/>
            <w:shd w:fill="DCE6F1" w:color="auto" w:val="clear"/>
            <w:tcMar>
              <w:top w:type="dxa" w:w="40"/>
              <w:left w:type="dxa" w:w="60"/>
              <w:bottom w:type="dxa" w:w="40"/>
              <w:right w:type="dxa" w:w="60"/>
            </w:tcMar>
            <w:vAlign w:val="center"/>
          </w:tcPr>
          <w:p>
            <w:pPr>
              <w:jc w:val="left"/>
            </w:pPr>
            <w:r>
              <w:rPr>
                <w:b/>
                <w:bCs/>
                <w:color w:val="000000"/>
                <w:sz w:val="19"/>
                <w:szCs w:val="19"/>
              </w:rPr>
              <w:t xml:space="preserve">Student Name</w:t>
            </w:r>
          </w:p>
        </w:tc>
        <w:tc>
          <w:tcPr>
            <w:tcW w:type="dxa" w:w="2520"/>
            <w:tcMar>
              <w:top w:type="dxa" w:w="40"/>
              <w:left w:type="dxa" w:w="60"/>
              <w:bottom w:type="dxa" w:w="40"/>
              <w:right w:type="dxa" w:w="60"/>
            </w:tcMar>
            <w:vAlign w:val="center"/>
          </w:tcPr>
          <w:p>
            <w:pPr>
              <w:jc w:val="left"/>
            </w:pPr>
            <w:r>
              <w:rPr>
                <w:b w:val="false"/>
                <w:bCs w:val="false"/>
                <w:color w:val="000000"/>
                <w:sz w:val="19"/>
                <w:szCs w:val="19"/>
              </w:rPr>
              <w:t xml:space="preserve">Spandana</w:t>
            </w:r>
          </w:p>
        </w:tc>
        <w:tc>
          <w:tcPr>
            <w:tcW w:type="dxa" w:w="2520"/>
            <w:shd w:fill="DCE6F1" w:color="auto" w:val="clear"/>
            <w:tcMar>
              <w:top w:type="dxa" w:w="40"/>
              <w:left w:type="dxa" w:w="60"/>
              <w:bottom w:type="dxa" w:w="40"/>
              <w:right w:type="dxa" w:w="60"/>
            </w:tcMar>
            <w:vAlign w:val="center"/>
          </w:tcPr>
          <w:p>
            <w:pPr>
              <w:jc w:val="left"/>
            </w:pPr>
            <w:r>
              <w:rPr>
                <w:b/>
                <w:bCs/>
                <w:color w:val="000000"/>
                <w:sz w:val="19"/>
                <w:szCs w:val="19"/>
              </w:rPr>
              <w:t xml:space="preserve">Registration Number</w:t>
            </w:r>
          </w:p>
        </w:tc>
        <w:tc>
          <w:tcPr>
            <w:tcW w:type="dxa" w:w="2520"/>
            <w:tcMar>
              <w:top w:type="dxa" w:w="40"/>
              <w:left w:type="dxa" w:w="60"/>
              <w:bottom w:type="dxa" w:w="40"/>
              <w:right w:type="dxa" w:w="60"/>
            </w:tcMar>
            <w:vAlign w:val="center"/>
          </w:tcPr>
          <w:p>
            <w:pPr>
              <w:jc w:val="left"/>
            </w:pPr>
            <w:r>
              <w:rPr>
                <w:b w:val="false"/>
                <w:bCs w:val="false"/>
                <w:color w:val="000000"/>
                <w:sz w:val="19"/>
                <w:szCs w:val="19"/>
              </w:rPr>
              <w:t xml:space="preserve">192525160</w:t>
            </w:r>
          </w:p>
        </w:tc>
      </w:tr>
      <w:tr>
        <w:tc>
          <w:tcPr>
            <w:tcW w:type="dxa" w:w="2520"/>
            <w:shd w:fill="DCE6F1" w:color="auto" w:val="clear"/>
            <w:tcMar>
              <w:top w:type="dxa" w:w="40"/>
              <w:left w:type="dxa" w:w="60"/>
              <w:bottom w:type="dxa" w:w="40"/>
              <w:right w:type="dxa" w:w="60"/>
            </w:tcMar>
            <w:vAlign w:val="center"/>
          </w:tcPr>
          <w:p>
            <w:pPr>
              <w:jc w:val="left"/>
            </w:pPr>
            <w:r>
              <w:rPr>
                <w:b/>
                <w:bCs/>
                <w:color w:val="000000"/>
                <w:sz w:val="19"/>
                <w:szCs w:val="19"/>
              </w:rPr>
              <w:t xml:space="preserve">Faculty In-Charge</w:t>
            </w:r>
          </w:p>
        </w:tc>
        <w:tc>
          <w:tcPr>
            <w:tcW w:type="dxa" w:w="2520"/>
            <w:tcMar>
              <w:top w:type="dxa" w:w="40"/>
              <w:left w:type="dxa" w:w="60"/>
              <w:bottom w:type="dxa" w:w="40"/>
              <w:right w:type="dxa" w:w="60"/>
            </w:tcMar>
            <w:vAlign w:val="center"/>
          </w:tcPr>
          <w:p>
            <w:pPr>
              <w:jc w:val="left"/>
            </w:pPr>
            <w:r>
              <w:rPr>
                <w:b w:val="false"/>
                <w:bCs w:val="false"/>
                <w:color w:val="000000"/>
                <w:sz w:val="19"/>
                <w:szCs w:val="19"/>
              </w:rPr>
              <w:t xml:space="preserve">Latha</w:t>
            </w:r>
          </w:p>
        </w:tc>
        <w:tc>
          <w:tcPr>
            <w:tcW w:type="dxa" w:w="2520"/>
            <w:shd w:fill="DCE6F1" w:color="auto" w:val="clear"/>
            <w:tcMar>
              <w:top w:type="dxa" w:w="40"/>
              <w:left w:type="dxa" w:w="60"/>
              <w:bottom w:type="dxa" w:w="40"/>
              <w:right w:type="dxa" w:w="60"/>
            </w:tcMar>
            <w:vAlign w:val="center"/>
          </w:tcPr>
          <w:p>
            <w:pPr>
              <w:jc w:val="left"/>
            </w:pPr>
            <w:r>
              <w:rPr>
                <w:b/>
                <w:bCs/>
                <w:color w:val="000000"/>
                <w:sz w:val="19"/>
                <w:szCs w:val="19"/>
              </w:rPr>
              <w:t xml:space="preserve">Weightage / Marks</w:t>
            </w:r>
          </w:p>
        </w:tc>
        <w:tc>
          <w:tcPr>
            <w:tcW w:type="dxa" w:w="2520"/>
            <w:tcMar>
              <w:top w:type="dxa" w:w="40"/>
              <w:left w:type="dxa" w:w="60"/>
              <w:bottom w:type="dxa" w:w="40"/>
              <w:right w:type="dxa" w:w="60"/>
            </w:tcMar>
            <w:vAlign w:val="center"/>
          </w:tcPr>
          <w:p>
            <w:pPr>
              <w:jc w:val="left"/>
            </w:pPr>
            <w:r>
              <w:rPr>
                <w:b w:val="false"/>
                <w:bCs w:val="false"/>
                <w:color w:val="000000"/>
                <w:sz w:val="19"/>
                <w:szCs w:val="19"/>
              </w:rPr>
              <w:t xml:space="preserve">20% / 25</w:t>
            </w:r>
          </w:p>
        </w:tc>
      </w:tr>
    </w:tbl>
    <w:p>
      <w:r>
        <w:br w:type="page"/>
      </w:r>
    </w:p>
    <w:p>
      <w:pPr>
        <w:pStyle w:val="Heading1"/>
        <w:pBdr>
          <w:bottom w:val="single" w:color="1F3864" w:sz="6" w:space="4"/>
        </w:pBdr>
        <w:spacing w:after="160" w:before="360"/>
      </w:pPr>
      <w:r>
        <w:rPr>
          <w:b/>
          <w:bCs/>
          <w:color w:val="1F3864"/>
          <w:sz w:val="28"/>
          <w:szCs w:val="28"/>
        </w:rPr>
        <w:t xml:space="preserve">1. Problem Statement Summary</w:t>
      </w:r>
    </w:p>
    <w:p>
      <w:pPr>
        <w:spacing w:after="100" w:before="200"/>
      </w:pPr>
      <w:r>
        <w:rPr>
          <w:b/>
          <w:bCs/>
          <w:color w:val="B22222"/>
          <w:sz w:val="22"/>
          <w:szCs w:val="22"/>
        </w:rPr>
        <w:t xml:space="preserve">1.1 Industry Context</w:t>
      </w:r>
    </w:p>
    <w:p>
      <w:pPr>
        <w:spacing w:after="120"/>
      </w:pPr>
      <w:r>
        <w:rPr>
          <w:sz w:val="21"/>
          <w:szCs w:val="21"/>
        </w:rPr>
        <w:t xml:space="preserve">Modern seaports manage high volumes of cargo and vessel traffic, requiring efficient logistics coordination and real-time operational monitoring. AI, IoT, RFID, GPS, and cloud technologies enable intelligent cargo tracking, automated scheduling, and predictive analytics, improving port productivity and reducing operational delays.</w:t>
      </w:r>
    </w:p>
    <w:p>
      <w:pPr>
        <w:spacing w:after="100" w:before="200"/>
      </w:pPr>
      <w:r>
        <w:rPr>
          <w:b/>
          <w:bCs/>
          <w:color w:val="B22222"/>
          <w:sz w:val="22"/>
          <w:szCs w:val="22"/>
        </w:rPr>
        <w:t xml:space="preserve">1.2 Problem Statement</w:t>
      </w:r>
    </w:p>
    <w:p>
      <w:pPr>
        <w:spacing w:after="120"/>
      </w:pPr>
      <w:r>
        <w:rPr>
          <w:sz w:val="21"/>
          <w:szCs w:val="21"/>
        </w:rPr>
        <w:t xml:space="preserve">Port authorities often experience operational inefficiencies due to cargo congestion, manual documentation, delayed vessel scheduling, and limited visibility of cargo movement. These challenges increase turnaround time and logistics costs. The Intelligent Smart Port Operations and Cargo Management Platform is required to monitor cargo movement using IoT devices, optimize berth allocation, predict cargo handling delays using AI, automate documentation processes, and provide real-time operational dashboards, while enhancing logistics efficiency and supporting secure, transparent port operations.</w:t>
      </w:r>
    </w:p>
    <w:p>
      <w:pPr>
        <w:spacing w:after="100" w:before="200"/>
      </w:pPr>
      <w:r>
        <w:rPr>
          <w:b/>
          <w:bCs/>
          <w:color w:val="B22222"/>
          <w:sz w:val="22"/>
          <w:szCs w:val="22"/>
        </w:rPr>
        <w:t xml:space="preserve">1.3 Objectives</w:t>
      </w:r>
    </w:p>
    <w:p>
      <w:pPr>
        <w:pStyle w:val="ListParagraph"/>
        <w:numPr>
          <w:ilvl w:val="0"/>
          <w:numId w:val="2"/>
        </w:numPr>
        <w:spacing w:after="60"/>
      </w:pPr>
      <w:r>
        <w:rPr>
          <w:sz w:val="21"/>
          <w:szCs w:val="21"/>
        </w:rPr>
        <w:t xml:space="preserve">Monitor cargo movement in real time.</w:t>
      </w:r>
    </w:p>
    <w:p>
      <w:pPr>
        <w:pStyle w:val="ListParagraph"/>
        <w:numPr>
          <w:ilvl w:val="0"/>
          <w:numId w:val="2"/>
        </w:numPr>
        <w:spacing w:after="60"/>
      </w:pPr>
      <w:r>
        <w:rPr>
          <w:sz w:val="21"/>
          <w:szCs w:val="21"/>
        </w:rPr>
        <w:t xml:space="preserve">Optimize berth and vessel scheduling.</w:t>
      </w:r>
    </w:p>
    <w:p>
      <w:pPr>
        <w:pStyle w:val="ListParagraph"/>
        <w:numPr>
          <w:ilvl w:val="0"/>
          <w:numId w:val="2"/>
        </w:numPr>
        <w:spacing w:after="60"/>
      </w:pPr>
      <w:r>
        <w:rPr>
          <w:sz w:val="21"/>
          <w:szCs w:val="21"/>
        </w:rPr>
        <w:t xml:space="preserve">Predict cargo handling delays using AI.</w:t>
      </w:r>
    </w:p>
    <w:p>
      <w:pPr>
        <w:pStyle w:val="ListParagraph"/>
        <w:numPr>
          <w:ilvl w:val="0"/>
          <w:numId w:val="2"/>
        </w:numPr>
        <w:spacing w:after="60"/>
      </w:pPr>
      <w:r>
        <w:rPr>
          <w:sz w:val="21"/>
          <w:szCs w:val="21"/>
        </w:rPr>
        <w:t xml:space="preserve">Automate logistics documentation.</w:t>
      </w:r>
    </w:p>
    <w:p>
      <w:pPr>
        <w:pStyle w:val="ListParagraph"/>
        <w:numPr>
          <w:ilvl w:val="0"/>
          <w:numId w:val="2"/>
        </w:numPr>
        <w:spacing w:after="60"/>
      </w:pPr>
      <w:r>
        <w:rPr>
          <w:sz w:val="21"/>
          <w:szCs w:val="21"/>
        </w:rPr>
        <w:t xml:space="preserve">Improve warehouse coordination.</w:t>
      </w:r>
    </w:p>
    <w:p>
      <w:pPr>
        <w:pStyle w:val="ListParagraph"/>
        <w:numPr>
          <w:ilvl w:val="0"/>
          <w:numId w:val="2"/>
        </w:numPr>
        <w:spacing w:after="60"/>
      </w:pPr>
      <w:r>
        <w:rPr>
          <w:sz w:val="21"/>
          <w:szCs w:val="21"/>
        </w:rPr>
        <w:t xml:space="preserve">Generate operational performance reports.</w:t>
      </w:r>
    </w:p>
    <w:p>
      <w:pPr>
        <w:pStyle w:val="ListParagraph"/>
        <w:numPr>
          <w:ilvl w:val="0"/>
          <w:numId w:val="2"/>
        </w:numPr>
        <w:spacing w:after="60"/>
      </w:pPr>
      <w:r>
        <w:rPr>
          <w:sz w:val="21"/>
          <w:szCs w:val="21"/>
        </w:rPr>
        <w:t xml:space="preserve">Enhance cargo security.</w:t>
      </w:r>
    </w:p>
    <w:p>
      <w:pPr>
        <w:pStyle w:val="ListParagraph"/>
        <w:numPr>
          <w:ilvl w:val="0"/>
          <w:numId w:val="2"/>
        </w:numPr>
        <w:spacing w:after="60"/>
      </w:pPr>
      <w:r>
        <w:rPr>
          <w:sz w:val="21"/>
          <w:szCs w:val="21"/>
        </w:rPr>
        <w:t xml:space="preserve">Increase port operational efficiency.</w:t>
      </w:r>
    </w:p>
    <w:p>
      <w:pPr>
        <w:pStyle w:val="Heading1"/>
        <w:pBdr>
          <w:bottom w:val="single" w:color="1F3864" w:sz="6" w:space="4"/>
        </w:pBdr>
        <w:spacing w:after="160" w:before="360"/>
      </w:pPr>
      <w:r>
        <w:rPr>
          <w:b/>
          <w:bCs/>
          <w:color w:val="1F3864"/>
          <w:sz w:val="28"/>
          <w:szCs w:val="28"/>
        </w:rPr>
        <w:t xml:space="preserve">2. Requirement &amp; Pipeline Analysis</w:t>
      </w:r>
    </w:p>
    <w:p>
      <w:pPr>
        <w:spacing w:after="120"/>
      </w:pPr>
      <w:r>
        <w:rPr>
          <w:sz w:val="21"/>
          <w:szCs w:val="21"/>
        </w:rPr>
        <w:t xml:space="preserve">Based on the functional requirements (real-time cargo tracking, berth/vessel scheduling, AI-based delay prediction, automated documentation, warehouse coordination, reporting, and security) and non-functional requirements (performance, scalability, reliability, security, availability, auditability) of the Intelligent Smart Port Operations and Cargo Management Platform, the following CI/CD needs were identified:</w:t>
      </w:r>
    </w:p>
    <w:tbl>
      <w:tblPr>
        <w:tblW w:type="dxa" w:w="10080"/>
        <w:tblBorders>
          <w:top w:val="single" w:color="8EA9DB" w:sz="4"/>
          <w:left w:val="single" w:color="8EA9DB" w:sz="4"/>
          <w:bottom w:val="single" w:color="8EA9DB" w:sz="4"/>
          <w:right w:val="single" w:color="8EA9DB" w:sz="4"/>
          <w:insideH w:val="single" w:color="8EA9DB" w:sz="4"/>
          <w:insideV w:val="single" w:color="8EA9DB" w:sz="4"/>
        </w:tblBorders>
      </w:tblPr>
      <w:tblGrid>
        <w:gridCol w:w="100"/>
        <w:gridCol w:w="100"/>
      </w:tblGrid>
      <w:tr>
        <w:trPr>
          <w:tblHeader/>
        </w:trPr>
        <w:tc>
          <w:tcPr>
            <w:tcW w:type="dxa" w:w="2600"/>
            <w:shd w:fill="1F3864" w:color="auto" w:val="clear"/>
            <w:tcMar>
              <w:top w:type="dxa" w:w="40"/>
              <w:left w:type="dxa" w:w="60"/>
              <w:bottom w:type="dxa" w:w="40"/>
              <w:right w:type="dxa" w:w="60"/>
            </w:tcMar>
            <w:vAlign w:val="center"/>
          </w:tcPr>
          <w:p>
            <w:pPr>
              <w:jc w:val="center"/>
            </w:pPr>
            <w:r>
              <w:rPr>
                <w:b/>
                <w:bCs/>
                <w:color w:val="FFFFFF"/>
                <w:sz w:val="18"/>
                <w:szCs w:val="18"/>
              </w:rPr>
              <w:t xml:space="preserve">CI/CD Need</w:t>
            </w:r>
          </w:p>
        </w:tc>
        <w:tc>
          <w:tcPr>
            <w:tcW w:type="dxa" w:w="7480"/>
            <w:shd w:fill="1F3864" w:color="auto" w:val="clear"/>
            <w:tcMar>
              <w:top w:type="dxa" w:w="40"/>
              <w:left w:type="dxa" w:w="60"/>
              <w:bottom w:type="dxa" w:w="40"/>
              <w:right w:type="dxa" w:w="60"/>
            </w:tcMar>
            <w:vAlign w:val="center"/>
          </w:tcPr>
          <w:p>
            <w:pPr>
              <w:jc w:val="center"/>
            </w:pPr>
            <w:r>
              <w:rPr>
                <w:b/>
                <w:bCs/>
                <w:color w:val="FFFFFF"/>
                <w:sz w:val="18"/>
                <w:szCs w:val="18"/>
              </w:rPr>
              <w:t xml:space="preserve">Justification</w:t>
            </w:r>
          </w:p>
        </w:tc>
      </w:tr>
      <w:tr>
        <w:tc>
          <w:tcPr>
            <w:tcW w:type="dxa" w:w="2600"/>
            <w:tcMar>
              <w:top w:type="dxa" w:w="40"/>
              <w:left w:type="dxa" w:w="60"/>
              <w:bottom w:type="dxa" w:w="40"/>
              <w:right w:type="dxa" w:w="60"/>
            </w:tcMar>
            <w:vAlign w:val="center"/>
          </w:tcPr>
          <w:p>
            <w:pPr>
              <w:jc w:val="left"/>
            </w:pPr>
            <w:r>
              <w:rPr>
                <w:b/>
                <w:bCs/>
                <w:color w:val="000000"/>
                <w:sz w:val="18"/>
                <w:szCs w:val="18"/>
              </w:rPr>
              <w:t xml:space="preserve">Frequent, independent module updates</w:t>
            </w:r>
          </w:p>
        </w:tc>
        <w:tc>
          <w:tcPr>
            <w:tcW w:type="dxa" w:w="7480"/>
            <w:tcMar>
              <w:top w:type="dxa" w:w="40"/>
              <w:left w:type="dxa" w:w="60"/>
              <w:bottom w:type="dxa" w:w="40"/>
              <w:right w:type="dxa" w:w="60"/>
            </w:tcMar>
            <w:vAlign w:val="center"/>
          </w:tcPr>
          <w:p>
            <w:pPr>
              <w:jc w:val="left"/>
            </w:pPr>
            <w:r>
              <w:rPr>
                <w:b w:val="false"/>
                <w:bCs w:val="false"/>
                <w:color w:val="000000"/>
                <w:sz w:val="18"/>
                <w:szCs w:val="18"/>
              </w:rPr>
              <w:t xml:space="preserve">The platform spans cargo tracking, berth allocation, AI prediction, documentation, warehouse, and security modules that are best built as independently deployable microservices, requiring CI/CD to integrate and release changes safely and frequently.</w:t>
            </w:r>
          </w:p>
        </w:tc>
      </w:tr>
      <w:tr>
        <w:tc>
          <w:tcPr>
            <w:tcW w:type="dxa" w:w="2600"/>
            <w:tcMar>
              <w:top w:type="dxa" w:w="40"/>
              <w:left w:type="dxa" w:w="60"/>
              <w:bottom w:type="dxa" w:w="40"/>
              <w:right w:type="dxa" w:w="60"/>
            </w:tcMar>
            <w:vAlign w:val="center"/>
          </w:tcPr>
          <w:p>
            <w:pPr>
              <w:jc w:val="left"/>
            </w:pPr>
            <w:r>
              <w:rPr>
                <w:b/>
                <w:bCs/>
                <w:color w:val="000000"/>
                <w:sz w:val="18"/>
                <w:szCs w:val="18"/>
              </w:rPr>
              <w:t xml:space="preserve">Continuous IoT/AI model integration</w:t>
            </w:r>
          </w:p>
        </w:tc>
        <w:tc>
          <w:tcPr>
            <w:tcW w:type="dxa" w:w="7480"/>
            <w:tcMar>
              <w:top w:type="dxa" w:w="40"/>
              <w:left w:type="dxa" w:w="60"/>
              <w:bottom w:type="dxa" w:w="40"/>
              <w:right w:type="dxa" w:w="60"/>
            </w:tcMar>
            <w:vAlign w:val="center"/>
          </w:tcPr>
          <w:p>
            <w:pPr>
              <w:jc w:val="left"/>
            </w:pPr>
            <w:r>
              <w:rPr>
                <w:b w:val="false"/>
                <w:bCs w:val="false"/>
                <w:color w:val="000000"/>
                <w:sz w:val="18"/>
                <w:szCs w:val="18"/>
              </w:rPr>
              <w:t xml:space="preserve">IoT sensor firmware updates and periodically retrained AI delay-prediction models must be integrated, tested, and rolled out without disrupting live port operations.</w:t>
            </w:r>
          </w:p>
        </w:tc>
      </w:tr>
      <w:tr>
        <w:tc>
          <w:tcPr>
            <w:tcW w:type="dxa" w:w="2600"/>
            <w:tcMar>
              <w:top w:type="dxa" w:w="40"/>
              <w:left w:type="dxa" w:w="60"/>
              <w:bottom w:type="dxa" w:w="40"/>
              <w:right w:type="dxa" w:w="60"/>
            </w:tcMar>
            <w:vAlign w:val="center"/>
          </w:tcPr>
          <w:p>
            <w:pPr>
              <w:jc w:val="left"/>
            </w:pPr>
            <w:r>
              <w:rPr>
                <w:b/>
                <w:bCs/>
                <w:color w:val="000000"/>
                <w:sz w:val="18"/>
                <w:szCs w:val="18"/>
              </w:rPr>
              <w:t xml:space="preserve">High reliability &amp; near-zero downtime</w:t>
            </w:r>
          </w:p>
        </w:tc>
        <w:tc>
          <w:tcPr>
            <w:tcW w:type="dxa" w:w="7480"/>
            <w:tcMar>
              <w:top w:type="dxa" w:w="40"/>
              <w:left w:type="dxa" w:w="60"/>
              <w:bottom w:type="dxa" w:w="40"/>
              <w:right w:type="dxa" w:w="60"/>
            </w:tcMar>
            <w:vAlign w:val="center"/>
          </w:tcPr>
          <w:p>
            <w:pPr>
              <w:jc w:val="left"/>
            </w:pPr>
            <w:r>
              <w:rPr>
                <w:b w:val="false"/>
                <w:bCs w:val="false"/>
                <w:color w:val="000000"/>
                <w:sz w:val="18"/>
                <w:szCs w:val="18"/>
              </w:rPr>
              <w:t xml:space="preserve">Port operations run 24/7 (NFR7); the pipeline must support zero/near-zero-downtime deployment strategies (blue-green/canary) and automated rollback on failure.</w:t>
            </w:r>
          </w:p>
        </w:tc>
      </w:tr>
      <w:tr>
        <w:tc>
          <w:tcPr>
            <w:tcW w:type="dxa" w:w="2600"/>
            <w:tcMar>
              <w:top w:type="dxa" w:w="40"/>
              <w:left w:type="dxa" w:w="60"/>
              <w:bottom w:type="dxa" w:w="40"/>
              <w:right w:type="dxa" w:w="60"/>
            </w:tcMar>
            <w:vAlign w:val="center"/>
          </w:tcPr>
          <w:p>
            <w:pPr>
              <w:jc w:val="left"/>
            </w:pPr>
            <w:r>
              <w:rPr>
                <w:b/>
                <w:bCs/>
                <w:color w:val="000000"/>
                <w:sz w:val="18"/>
                <w:szCs w:val="18"/>
              </w:rPr>
              <w:t xml:space="preserve">Strong security &amp; compliance needs</w:t>
            </w:r>
          </w:p>
        </w:tc>
        <w:tc>
          <w:tcPr>
            <w:tcW w:type="dxa" w:w="7480"/>
            <w:tcMar>
              <w:top w:type="dxa" w:w="40"/>
              <w:left w:type="dxa" w:w="60"/>
              <w:bottom w:type="dxa" w:w="40"/>
              <w:right w:type="dxa" w:w="60"/>
            </w:tcMar>
            <w:vAlign w:val="center"/>
          </w:tcPr>
          <w:p>
            <w:pPr>
              <w:jc w:val="left"/>
            </w:pPr>
            <w:r>
              <w:rPr>
                <w:b w:val="false"/>
                <w:bCs w:val="false"/>
                <w:color w:val="000000"/>
                <w:sz w:val="18"/>
                <w:szCs w:val="18"/>
              </w:rPr>
              <w:t xml:space="preserve">The system handles sensitive cargo, customs, and vessel data (NFR4), so the pipeline must enforce automated security scanning, secrets management, and access control at every stage.</w:t>
            </w:r>
          </w:p>
        </w:tc>
      </w:tr>
      <w:tr>
        <w:tc>
          <w:tcPr>
            <w:tcW w:type="dxa" w:w="2600"/>
            <w:tcMar>
              <w:top w:type="dxa" w:w="40"/>
              <w:left w:type="dxa" w:w="60"/>
              <w:bottom w:type="dxa" w:w="40"/>
              <w:right w:type="dxa" w:w="60"/>
            </w:tcMar>
            <w:vAlign w:val="center"/>
          </w:tcPr>
          <w:p>
            <w:pPr>
              <w:jc w:val="left"/>
            </w:pPr>
            <w:r>
              <w:rPr>
                <w:b/>
                <w:bCs/>
                <w:color w:val="000000"/>
                <w:sz w:val="18"/>
                <w:szCs w:val="18"/>
              </w:rPr>
              <w:t xml:space="preserve">Rapid, safe bug fixes &amp; feature delivery</w:t>
            </w:r>
          </w:p>
        </w:tc>
        <w:tc>
          <w:tcPr>
            <w:tcW w:type="dxa" w:w="7480"/>
            <w:tcMar>
              <w:top w:type="dxa" w:w="40"/>
              <w:left w:type="dxa" w:w="60"/>
              <w:bottom w:type="dxa" w:w="40"/>
              <w:right w:type="dxa" w:w="60"/>
            </w:tcMar>
            <w:vAlign w:val="center"/>
          </w:tcPr>
          <w:p>
            <w:pPr>
              <w:jc w:val="left"/>
            </w:pPr>
            <w:r>
              <w:rPr>
                <w:b w:val="false"/>
                <w:bCs w:val="false"/>
                <w:color w:val="000000"/>
                <w:sz w:val="18"/>
                <w:szCs w:val="18"/>
              </w:rPr>
              <w:t xml:space="preserve">Operational inefficiencies (congestion, scheduling delays) must be addressed quickly; CI/CD shortens the feedback loop from code commit to production fix.</w:t>
            </w:r>
          </w:p>
        </w:tc>
      </w:tr>
      <w:tr>
        <w:tc>
          <w:tcPr>
            <w:tcW w:type="dxa" w:w="2600"/>
            <w:tcMar>
              <w:top w:type="dxa" w:w="40"/>
              <w:left w:type="dxa" w:w="60"/>
              <w:bottom w:type="dxa" w:w="40"/>
              <w:right w:type="dxa" w:w="60"/>
            </w:tcMar>
            <w:vAlign w:val="center"/>
          </w:tcPr>
          <w:p>
            <w:pPr>
              <w:jc w:val="left"/>
            </w:pPr>
            <w:r>
              <w:rPr>
                <w:b/>
                <w:bCs/>
                <w:color w:val="000000"/>
                <w:sz w:val="18"/>
                <w:szCs w:val="18"/>
              </w:rPr>
              <w:t xml:space="preserve">Consistent multi-environment testing</w:t>
            </w:r>
          </w:p>
        </w:tc>
        <w:tc>
          <w:tcPr>
            <w:tcW w:type="dxa" w:w="7480"/>
            <w:tcMar>
              <w:top w:type="dxa" w:w="40"/>
              <w:left w:type="dxa" w:w="60"/>
              <w:bottom w:type="dxa" w:w="40"/>
              <w:right w:type="dxa" w:w="60"/>
            </w:tcMar>
            <w:vAlign w:val="center"/>
          </w:tcPr>
          <w:p>
            <w:pPr>
              <w:jc w:val="left"/>
            </w:pPr>
            <w:r>
              <w:rPr>
                <w:b w:val="false"/>
                <w:bCs w:val="false"/>
                <w:color w:val="000000"/>
                <w:sz w:val="18"/>
                <w:szCs w:val="18"/>
              </w:rPr>
              <w:t xml:space="preserve">Berth allocation and AI prediction logic must be validated in staging environments that mirror production before reaching live port operations, minimizing risk to real cargo/vessel scheduling.</w:t>
            </w:r>
          </w:p>
        </w:tc>
      </w:tr>
      <w:tr>
        <w:tc>
          <w:tcPr>
            <w:tcW w:type="dxa" w:w="2600"/>
            <w:tcMar>
              <w:top w:type="dxa" w:w="40"/>
              <w:left w:type="dxa" w:w="60"/>
              <w:bottom w:type="dxa" w:w="40"/>
              <w:right w:type="dxa" w:w="60"/>
            </w:tcMar>
            <w:vAlign w:val="center"/>
          </w:tcPr>
          <w:p>
            <w:pPr>
              <w:jc w:val="left"/>
            </w:pPr>
            <w:r>
              <w:rPr>
                <w:b/>
                <w:bCs/>
                <w:color w:val="000000"/>
                <w:sz w:val="18"/>
                <w:szCs w:val="18"/>
              </w:rPr>
              <w:t xml:space="preserve">Traceable, auditable releases</w:t>
            </w:r>
          </w:p>
        </w:tc>
        <w:tc>
          <w:tcPr>
            <w:tcW w:type="dxa" w:w="7480"/>
            <w:tcMar>
              <w:top w:type="dxa" w:w="40"/>
              <w:left w:type="dxa" w:w="60"/>
              <w:bottom w:type="dxa" w:w="40"/>
              <w:right w:type="dxa" w:w="60"/>
            </w:tcMar>
            <w:vAlign w:val="center"/>
          </w:tcPr>
          <w:p>
            <w:pPr>
              <w:jc w:val="left"/>
            </w:pPr>
            <w:r>
              <w:rPr>
                <w:b w:val="false"/>
                <w:bCs w:val="false"/>
                <w:color w:val="000000"/>
                <w:sz w:val="18"/>
                <w:szCs w:val="18"/>
              </w:rPr>
              <w:t xml:space="preserve">NFR8 (auditability) requires every deployment and configuration change to be logged, versioned, and traceable back to a specific commit and approver.</w:t>
            </w:r>
          </w:p>
        </w:tc>
      </w:tr>
    </w:tbl>
    <w:p>
      <w:pPr>
        <w:pStyle w:val="Heading1"/>
        <w:pBdr>
          <w:bottom w:val="single" w:color="1F3864" w:sz="6" w:space="4"/>
        </w:pBdr>
        <w:spacing w:after="160" w:before="360"/>
      </w:pPr>
      <w:r>
        <w:rPr>
          <w:b/>
          <w:bCs/>
          <w:color w:val="1F3864"/>
          <w:sz w:val="28"/>
          <w:szCs w:val="28"/>
        </w:rPr>
        <w:t xml:space="preserve">3. Pipeline Architecture &amp; Workflow</w:t>
      </w:r>
    </w:p>
    <w:p>
      <w:pPr>
        <w:spacing w:after="120"/>
      </w:pPr>
      <w:r>
        <w:rPr>
          <w:sz w:val="21"/>
          <w:szCs w:val="21"/>
        </w:rPr>
        <w:t xml:space="preserve">The CI/CD pipeline for the Intelligent Smart Port Operations and Cargo Management Platform follows a five-phase workflow: Source &amp; Commit, Continuous Integration, Packaging, Continuous Deployment, and Monitoring &amp; Feedback, as illustrated below.</w:t>
      </w:r>
    </w:p>
    <w:p>
      <w:pPr>
        <w:spacing w:after="120" w:before="120"/>
        <w:jc w:val="center"/>
      </w:pPr>
      <w:r>
        <w:drawing>
          <wp:inline distT="0" distB="0" distL="0" distR="0">
            <wp:extent cx="590550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381125"/>
                    </a:xfrm>
                    <a:prstGeom prst="rect">
                      <a:avLst/>
                    </a:prstGeom>
                  </pic:spPr>
                </pic:pic>
              </a:graphicData>
            </a:graphic>
          </wp:inline>
        </w:drawing>
      </w:r>
    </w:p>
    <w:p>
      <w:pPr>
        <w:spacing w:after="100" w:before="200"/>
      </w:pPr>
      <w:r>
        <w:rPr>
          <w:b/>
          <w:bCs/>
          <w:color w:val="B22222"/>
          <w:sz w:val="22"/>
          <w:szCs w:val="22"/>
        </w:rPr>
        <w:t xml:space="preserve">3.1 Pipeline Stages</w:t>
      </w:r>
    </w:p>
    <w:p>
      <w:pPr>
        <w:spacing w:after="120"/>
      </w:pPr>
      <w:r>
        <w:rPr>
          <w:b/>
          <w:bCs/>
          <w:color w:val="1F3864"/>
          <w:sz w:val="20"/>
          <w:szCs w:val="20"/>
        </w:rPr>
        <w:t xml:space="preserve">1. Source Code Management: </w:t>
      </w:r>
      <w:r>
        <w:rPr>
          <w:sz w:val="20"/>
          <w:szCs w:val="20"/>
        </w:rPr>
        <w:t xml:space="preserve">Developers commit code to feature branches; pull requests are reviewed and merged into the main/develop branch, triggering the pipeline via a webhook.</w:t>
      </w:r>
    </w:p>
    <w:p>
      <w:pPr>
        <w:spacing w:after="120"/>
      </w:pPr>
      <w:r>
        <w:rPr>
          <w:b/>
          <w:bCs/>
          <w:color w:val="1F3864"/>
          <w:sz w:val="20"/>
          <w:szCs w:val="20"/>
        </w:rPr>
        <w:t xml:space="preserve">2. Build: </w:t>
      </w:r>
      <w:r>
        <w:rPr>
          <w:sz w:val="20"/>
          <w:szCs w:val="20"/>
        </w:rPr>
        <w:t xml:space="preserve">The application (microservices for tracking, berth allocation, AI prediction, documentation, etc.) is compiled and built into deployable artifacts/Docker images.</w:t>
      </w:r>
    </w:p>
    <w:p>
      <w:pPr>
        <w:spacing w:after="120"/>
      </w:pPr>
      <w:r>
        <w:rPr>
          <w:b/>
          <w:bCs/>
          <w:color w:val="1F3864"/>
          <w:sz w:val="20"/>
          <w:szCs w:val="20"/>
        </w:rPr>
        <w:t xml:space="preserve">3. Automated Testing: </w:t>
      </w:r>
      <w:r>
        <w:rPr>
          <w:sz w:val="20"/>
          <w:szCs w:val="20"/>
        </w:rPr>
        <w:t xml:space="preserve">Unit tests and integration tests run automatically against the build to verify individual module correctness and inter-module communication (e.g., IoT data ingestion to dashboard).</w:t>
      </w:r>
    </w:p>
    <w:p>
      <w:pPr>
        <w:spacing w:after="120"/>
      </w:pPr>
      <w:r>
        <w:rPr>
          <w:b/>
          <w:bCs/>
          <w:color w:val="1F3864"/>
          <w:sz w:val="20"/>
          <w:szCs w:val="20"/>
        </w:rPr>
        <w:t xml:space="preserve">4. Code Quality &amp; Security Analysis: </w:t>
      </w:r>
      <w:r>
        <w:rPr>
          <w:sz w:val="20"/>
          <w:szCs w:val="20"/>
        </w:rPr>
        <w:t xml:space="preserve">Static code analysis, code-coverage checks, and security/vulnerability scanning are performed to catch defects, code smells, and security issues (e.g., insecure API endpoints, dependency vulnerabilities) before packaging.</w:t>
      </w:r>
    </w:p>
    <w:p>
      <w:pPr>
        <w:spacing w:after="120"/>
      </w:pPr>
      <w:r>
        <w:rPr>
          <w:b/>
          <w:bCs/>
          <w:color w:val="1F3864"/>
          <w:sz w:val="20"/>
          <w:szCs w:val="20"/>
        </w:rPr>
        <w:t xml:space="preserve">5. Packaging: </w:t>
      </w:r>
      <w:r>
        <w:rPr>
          <w:sz w:val="20"/>
          <w:szCs w:val="20"/>
        </w:rPr>
        <w:t xml:space="preserve">Validated builds are containerized (Docker images) and versioned/tagged, then pushed to a container registry.</w:t>
      </w:r>
    </w:p>
    <w:p>
      <w:pPr>
        <w:spacing w:after="120"/>
      </w:pPr>
      <w:r>
        <w:rPr>
          <w:b/>
          <w:bCs/>
          <w:color w:val="1F3864"/>
          <w:sz w:val="20"/>
          <w:szCs w:val="20"/>
        </w:rPr>
        <w:t xml:space="preserve">6. Deployment - Development: </w:t>
      </w:r>
      <w:r>
        <w:rPr>
          <w:sz w:val="20"/>
          <w:szCs w:val="20"/>
        </w:rPr>
        <w:t xml:space="preserve">The packaged artifact is automatically deployed to a development environment for early smoke testing.</w:t>
      </w:r>
    </w:p>
    <w:p>
      <w:pPr>
        <w:spacing w:after="120"/>
      </w:pPr>
      <w:r>
        <w:rPr>
          <w:b/>
          <w:bCs/>
          <w:color w:val="1F3864"/>
          <w:sz w:val="20"/>
          <w:szCs w:val="20"/>
        </w:rPr>
        <w:t xml:space="preserve">7. Deployment - Staging/UAT: </w:t>
      </w:r>
      <w:r>
        <w:rPr>
          <w:sz w:val="20"/>
          <w:szCs w:val="20"/>
        </w:rPr>
        <w:t xml:space="preserve">The build is deployed to a staging environment that mirrors production, where automated regression, performance, and user-acceptance tests run; a manual approval gate follows successful staging validation.</w:t>
      </w:r>
    </w:p>
    <w:p>
      <w:pPr>
        <w:spacing w:after="120"/>
      </w:pPr>
      <w:r>
        <w:rPr>
          <w:b/>
          <w:bCs/>
          <w:color w:val="1F3864"/>
          <w:sz w:val="20"/>
          <w:szCs w:val="20"/>
        </w:rPr>
        <w:t xml:space="preserve">8. Deployment - Production: </w:t>
      </w:r>
      <w:r>
        <w:rPr>
          <w:sz w:val="20"/>
          <w:szCs w:val="20"/>
        </w:rPr>
        <w:t xml:space="preserve">On approval, the release is deployed to production using a blue-green or canary strategy to minimize risk and downtime to live port operations.</w:t>
      </w:r>
    </w:p>
    <w:p>
      <w:pPr>
        <w:spacing w:after="120"/>
      </w:pPr>
      <w:r>
        <w:rPr>
          <w:b/>
          <w:bCs/>
          <w:color w:val="1F3864"/>
          <w:sz w:val="20"/>
          <w:szCs w:val="20"/>
        </w:rPr>
        <w:t xml:space="preserve">9. Monitoring &amp; Feedback: </w:t>
      </w:r>
      <w:r>
        <w:rPr>
          <w:sz w:val="20"/>
          <w:szCs w:val="20"/>
        </w:rPr>
        <w:t xml:space="preserve">Post-deployment, the system is continuously monitored (logs, metrics, alerts); notifications are sent to the DevOps team, and automatic rollback is triggered on failure.</w:t>
      </w:r>
    </w:p>
    <w:p>
      <w:pPr>
        <w:pStyle w:val="Heading1"/>
        <w:pBdr>
          <w:bottom w:val="single" w:color="1F3864" w:sz="6" w:space="4"/>
        </w:pBdr>
        <w:spacing w:after="160" w:before="360"/>
      </w:pPr>
      <w:r>
        <w:rPr>
          <w:b/>
          <w:bCs/>
          <w:color w:val="1F3864"/>
          <w:sz w:val="28"/>
          <w:szCs w:val="28"/>
        </w:rPr>
        <w:t xml:space="preserve">4. Tools and Technology Selection</w:t>
      </w:r>
    </w:p>
    <w:tbl>
      <w:tblPr>
        <w:tblW w:type="dxa" w:w="10080"/>
        <w:tblBorders>
          <w:top w:val="single" w:color="8EA9DB" w:sz="4"/>
          <w:left w:val="single" w:color="8EA9DB" w:sz="4"/>
          <w:bottom w:val="single" w:color="8EA9DB" w:sz="4"/>
          <w:right w:val="single" w:color="8EA9DB" w:sz="4"/>
          <w:insideH w:val="single" w:color="8EA9DB" w:sz="4"/>
          <w:insideV w:val="single" w:color="8EA9DB" w:sz="4"/>
        </w:tblBorders>
      </w:tblPr>
      <w:tblGrid>
        <w:gridCol w:w="100"/>
        <w:gridCol w:w="100"/>
        <w:gridCol w:w="100"/>
      </w:tblGrid>
      <w:tr>
        <w:trPr>
          <w:tblHeader/>
        </w:trPr>
        <w:tc>
          <w:tcPr>
            <w:tcW w:type="dxa" w:w="1900"/>
            <w:shd w:fill="1F3864" w:color="auto" w:val="clear"/>
            <w:tcMar>
              <w:top w:type="dxa" w:w="40"/>
              <w:left w:type="dxa" w:w="60"/>
              <w:bottom w:type="dxa" w:w="40"/>
              <w:right w:type="dxa" w:w="60"/>
            </w:tcMar>
            <w:vAlign w:val="center"/>
          </w:tcPr>
          <w:p>
            <w:pPr>
              <w:jc w:val="center"/>
            </w:pPr>
            <w:r>
              <w:rPr>
                <w:b/>
                <w:bCs/>
                <w:color w:val="FFFFFF"/>
                <w:sz w:val="18"/>
                <w:szCs w:val="18"/>
              </w:rPr>
              <w:t xml:space="preserve">Pipeline Stage</w:t>
            </w:r>
          </w:p>
        </w:tc>
        <w:tc>
          <w:tcPr>
            <w:tcW w:type="dxa" w:w="2000"/>
            <w:shd w:fill="1F3864" w:color="auto" w:val="clear"/>
            <w:tcMar>
              <w:top w:type="dxa" w:w="40"/>
              <w:left w:type="dxa" w:w="60"/>
              <w:bottom w:type="dxa" w:w="40"/>
              <w:right w:type="dxa" w:w="60"/>
            </w:tcMar>
            <w:vAlign w:val="center"/>
          </w:tcPr>
          <w:p>
            <w:pPr>
              <w:jc w:val="center"/>
            </w:pPr>
            <w:r>
              <w:rPr>
                <w:b/>
                <w:bCs/>
                <w:color w:val="FFFFFF"/>
                <w:sz w:val="18"/>
                <w:szCs w:val="18"/>
              </w:rPr>
              <w:t xml:space="preserve">Tool(s) Selected</w:t>
            </w:r>
          </w:p>
        </w:tc>
        <w:tc>
          <w:tcPr>
            <w:tcW w:type="dxa" w:w="6180"/>
            <w:shd w:fill="1F3864" w:color="auto" w:val="clear"/>
            <w:tcMar>
              <w:top w:type="dxa" w:w="40"/>
              <w:left w:type="dxa" w:w="60"/>
              <w:bottom w:type="dxa" w:w="40"/>
              <w:right w:type="dxa" w:w="60"/>
            </w:tcMar>
            <w:vAlign w:val="center"/>
          </w:tcPr>
          <w:p>
            <w:pPr>
              <w:jc w:val="center"/>
            </w:pPr>
            <w:r>
              <w:rPr>
                <w:b/>
                <w:bCs/>
                <w:color w:val="FFFFFF"/>
                <w:sz w:val="18"/>
                <w:szCs w:val="18"/>
              </w:rPr>
              <w:t xml:space="preserve">Justification</w:t>
            </w:r>
          </w:p>
        </w:tc>
      </w:tr>
      <w:tr>
        <w:tc>
          <w:tcPr>
            <w:tcW w:type="dxa" w:w="1900"/>
            <w:tcMar>
              <w:top w:type="dxa" w:w="40"/>
              <w:left w:type="dxa" w:w="60"/>
              <w:bottom w:type="dxa" w:w="40"/>
              <w:right w:type="dxa" w:w="60"/>
            </w:tcMar>
            <w:vAlign w:val="center"/>
          </w:tcPr>
          <w:p>
            <w:pPr>
              <w:jc w:val="left"/>
            </w:pPr>
            <w:r>
              <w:rPr>
                <w:b/>
                <w:bCs/>
                <w:color w:val="000000"/>
                <w:sz w:val="17"/>
                <w:szCs w:val="17"/>
              </w:rPr>
              <w:t xml:space="preserve">Source Code Management</w:t>
            </w:r>
          </w:p>
        </w:tc>
        <w:tc>
          <w:tcPr>
            <w:tcW w:type="dxa" w:w="2000"/>
            <w:tcMar>
              <w:top w:type="dxa" w:w="40"/>
              <w:left w:type="dxa" w:w="60"/>
              <w:bottom w:type="dxa" w:w="40"/>
              <w:right w:type="dxa" w:w="60"/>
            </w:tcMar>
            <w:vAlign w:val="center"/>
          </w:tcPr>
          <w:p>
            <w:pPr>
              <w:jc w:val="left"/>
            </w:pPr>
            <w:r>
              <w:rPr>
                <w:b w:val="false"/>
                <w:bCs w:val="false"/>
                <w:color w:val="000000"/>
                <w:sz w:val="17"/>
                <w:szCs w:val="17"/>
              </w:rPr>
              <w:t xml:space="preserve">Git + GitHub / GitLab</w:t>
            </w:r>
          </w:p>
        </w:tc>
        <w:tc>
          <w:tcPr>
            <w:tcW w:type="dxa" w:w="6180"/>
            <w:tcMar>
              <w:top w:type="dxa" w:w="40"/>
              <w:left w:type="dxa" w:w="60"/>
              <w:bottom w:type="dxa" w:w="40"/>
              <w:right w:type="dxa" w:w="60"/>
            </w:tcMar>
            <w:vAlign w:val="center"/>
          </w:tcPr>
          <w:p>
            <w:pPr>
              <w:jc w:val="left"/>
            </w:pPr>
            <w:r>
              <w:rPr>
                <w:b w:val="false"/>
                <w:bCs w:val="false"/>
                <w:color w:val="000000"/>
                <w:sz w:val="17"/>
                <w:szCs w:val="17"/>
              </w:rPr>
              <w:t xml:space="preserve">Industry-standard distributed version control with built-in webhook support, pull-request review workflow, and branch protection for safe collaboration across microservice teams.</w:t>
            </w:r>
          </w:p>
        </w:tc>
      </w:tr>
      <w:tr>
        <w:tc>
          <w:tcPr>
            <w:tcW w:type="dxa" w:w="1900"/>
            <w:tcMar>
              <w:top w:type="dxa" w:w="40"/>
              <w:left w:type="dxa" w:w="60"/>
              <w:bottom w:type="dxa" w:w="40"/>
              <w:right w:type="dxa" w:w="60"/>
            </w:tcMar>
            <w:vAlign w:val="center"/>
          </w:tcPr>
          <w:p>
            <w:pPr>
              <w:jc w:val="left"/>
            </w:pPr>
            <w:r>
              <w:rPr>
                <w:b/>
                <w:bCs/>
                <w:color w:val="000000"/>
                <w:sz w:val="17"/>
                <w:szCs w:val="17"/>
              </w:rPr>
              <w:t xml:space="preserve">CI Orchestration</w:t>
            </w:r>
          </w:p>
        </w:tc>
        <w:tc>
          <w:tcPr>
            <w:tcW w:type="dxa" w:w="2000"/>
            <w:tcMar>
              <w:top w:type="dxa" w:w="40"/>
              <w:left w:type="dxa" w:w="60"/>
              <w:bottom w:type="dxa" w:w="40"/>
              <w:right w:type="dxa" w:w="60"/>
            </w:tcMar>
            <w:vAlign w:val="center"/>
          </w:tcPr>
          <w:p>
            <w:pPr>
              <w:jc w:val="left"/>
            </w:pPr>
            <w:r>
              <w:rPr>
                <w:b w:val="false"/>
                <w:bCs w:val="false"/>
                <w:color w:val="000000"/>
                <w:sz w:val="17"/>
                <w:szCs w:val="17"/>
              </w:rPr>
              <w:t xml:space="preserve">Jenkins / GitHub Actions</w:t>
            </w:r>
          </w:p>
        </w:tc>
        <w:tc>
          <w:tcPr>
            <w:tcW w:type="dxa" w:w="6180"/>
            <w:tcMar>
              <w:top w:type="dxa" w:w="40"/>
              <w:left w:type="dxa" w:w="60"/>
              <w:bottom w:type="dxa" w:w="40"/>
              <w:right w:type="dxa" w:w="60"/>
            </w:tcMar>
            <w:vAlign w:val="center"/>
          </w:tcPr>
          <w:p>
            <w:pPr>
              <w:jc w:val="left"/>
            </w:pPr>
            <w:r>
              <w:rPr>
                <w:b w:val="false"/>
                <w:bCs w:val="false"/>
                <w:color w:val="000000"/>
                <w:sz w:val="17"/>
                <w:szCs w:val="17"/>
              </w:rPr>
              <w:t xml:space="preserve">Widely adopted, highly extensible automation servers that trigger and orchestrate the build-test-deploy pipeline on every commit/PR, with rich plugin ecosystems for IoT and cloud integrations.</w:t>
            </w:r>
          </w:p>
        </w:tc>
      </w:tr>
      <w:tr>
        <w:tc>
          <w:tcPr>
            <w:tcW w:type="dxa" w:w="1900"/>
            <w:tcMar>
              <w:top w:type="dxa" w:w="40"/>
              <w:left w:type="dxa" w:w="60"/>
              <w:bottom w:type="dxa" w:w="40"/>
              <w:right w:type="dxa" w:w="60"/>
            </w:tcMar>
            <w:vAlign w:val="center"/>
          </w:tcPr>
          <w:p>
            <w:pPr>
              <w:jc w:val="left"/>
            </w:pPr>
            <w:r>
              <w:rPr>
                <w:b/>
                <w:bCs/>
                <w:color w:val="000000"/>
                <w:sz w:val="17"/>
                <w:szCs w:val="17"/>
              </w:rPr>
              <w:t xml:space="preserve">Build Tool</w:t>
            </w:r>
          </w:p>
        </w:tc>
        <w:tc>
          <w:tcPr>
            <w:tcW w:type="dxa" w:w="2000"/>
            <w:tcMar>
              <w:top w:type="dxa" w:w="40"/>
              <w:left w:type="dxa" w:w="60"/>
              <w:bottom w:type="dxa" w:w="40"/>
              <w:right w:type="dxa" w:w="60"/>
            </w:tcMar>
            <w:vAlign w:val="center"/>
          </w:tcPr>
          <w:p>
            <w:pPr>
              <w:jc w:val="left"/>
            </w:pPr>
            <w:r>
              <w:rPr>
                <w:b w:val="false"/>
                <w:bCs w:val="false"/>
                <w:color w:val="000000"/>
                <w:sz w:val="17"/>
                <w:szCs w:val="17"/>
              </w:rPr>
              <w:t xml:space="preserve">Maven / Docker Build</w:t>
            </w:r>
          </w:p>
        </w:tc>
        <w:tc>
          <w:tcPr>
            <w:tcW w:type="dxa" w:w="6180"/>
            <w:tcMar>
              <w:top w:type="dxa" w:w="40"/>
              <w:left w:type="dxa" w:w="60"/>
              <w:bottom w:type="dxa" w:w="40"/>
              <w:right w:type="dxa" w:w="60"/>
            </w:tcMar>
            <w:vAlign w:val="center"/>
          </w:tcPr>
          <w:p>
            <w:pPr>
              <w:jc w:val="left"/>
            </w:pPr>
            <w:r>
              <w:rPr>
                <w:b w:val="false"/>
                <w:bCs w:val="false"/>
                <w:color w:val="000000"/>
                <w:sz w:val="17"/>
                <w:szCs w:val="17"/>
              </w:rPr>
              <w:t xml:space="preserve">Maven manages Java-based service builds and dependencies; Docker builds produce consistent, portable container images across dev, staging, and production.</w:t>
            </w:r>
          </w:p>
        </w:tc>
      </w:tr>
      <w:tr>
        <w:tc>
          <w:tcPr>
            <w:tcW w:type="dxa" w:w="1900"/>
            <w:tcMar>
              <w:top w:type="dxa" w:w="40"/>
              <w:left w:type="dxa" w:w="60"/>
              <w:bottom w:type="dxa" w:w="40"/>
              <w:right w:type="dxa" w:w="60"/>
            </w:tcMar>
            <w:vAlign w:val="center"/>
          </w:tcPr>
          <w:p>
            <w:pPr>
              <w:jc w:val="left"/>
            </w:pPr>
            <w:r>
              <w:rPr>
                <w:b/>
                <w:bCs/>
                <w:color w:val="000000"/>
                <w:sz w:val="17"/>
                <w:szCs w:val="17"/>
              </w:rPr>
              <w:t xml:space="preserve">Unit / Integration Testing</w:t>
            </w:r>
          </w:p>
        </w:tc>
        <w:tc>
          <w:tcPr>
            <w:tcW w:type="dxa" w:w="2000"/>
            <w:tcMar>
              <w:top w:type="dxa" w:w="40"/>
              <w:left w:type="dxa" w:w="60"/>
              <w:bottom w:type="dxa" w:w="40"/>
              <w:right w:type="dxa" w:w="60"/>
            </w:tcMar>
            <w:vAlign w:val="center"/>
          </w:tcPr>
          <w:p>
            <w:pPr>
              <w:jc w:val="left"/>
            </w:pPr>
            <w:r>
              <w:rPr>
                <w:b w:val="false"/>
                <w:bCs w:val="false"/>
                <w:color w:val="000000"/>
                <w:sz w:val="17"/>
                <w:szCs w:val="17"/>
              </w:rPr>
              <w:t xml:space="preserve">JUnit / PyTest + Postman/Newman</w:t>
            </w:r>
          </w:p>
        </w:tc>
        <w:tc>
          <w:tcPr>
            <w:tcW w:type="dxa" w:w="6180"/>
            <w:tcMar>
              <w:top w:type="dxa" w:w="40"/>
              <w:left w:type="dxa" w:w="60"/>
              <w:bottom w:type="dxa" w:w="40"/>
              <w:right w:type="dxa" w:w="60"/>
            </w:tcMar>
            <w:vAlign w:val="center"/>
          </w:tcPr>
          <w:p>
            <w:pPr>
              <w:jc w:val="left"/>
            </w:pPr>
            <w:r>
              <w:rPr>
                <w:b w:val="false"/>
                <w:bCs w:val="false"/>
                <w:color w:val="000000"/>
                <w:sz w:val="17"/>
                <w:szCs w:val="17"/>
              </w:rPr>
              <w:t xml:space="preserve">JUnit and PyTest automate unit tests for backend services (Java/Python); Postman/Newman automates API/integration tests for cargo-tracking and berth-allocation endpoints.</w:t>
            </w:r>
          </w:p>
        </w:tc>
      </w:tr>
      <w:tr>
        <w:tc>
          <w:tcPr>
            <w:tcW w:type="dxa" w:w="1900"/>
            <w:tcMar>
              <w:top w:type="dxa" w:w="40"/>
              <w:left w:type="dxa" w:w="60"/>
              <w:bottom w:type="dxa" w:w="40"/>
              <w:right w:type="dxa" w:w="60"/>
            </w:tcMar>
            <w:vAlign w:val="center"/>
          </w:tcPr>
          <w:p>
            <w:pPr>
              <w:jc w:val="left"/>
            </w:pPr>
            <w:r>
              <w:rPr>
                <w:b/>
                <w:bCs/>
                <w:color w:val="000000"/>
                <w:sz w:val="17"/>
                <w:szCs w:val="17"/>
              </w:rPr>
              <w:t xml:space="preserve">Code Quality Analysis</w:t>
            </w:r>
          </w:p>
        </w:tc>
        <w:tc>
          <w:tcPr>
            <w:tcW w:type="dxa" w:w="2000"/>
            <w:tcMar>
              <w:top w:type="dxa" w:w="40"/>
              <w:left w:type="dxa" w:w="60"/>
              <w:bottom w:type="dxa" w:w="40"/>
              <w:right w:type="dxa" w:w="60"/>
            </w:tcMar>
            <w:vAlign w:val="center"/>
          </w:tcPr>
          <w:p>
            <w:pPr>
              <w:jc w:val="left"/>
            </w:pPr>
            <w:r>
              <w:rPr>
                <w:b w:val="false"/>
                <w:bCs w:val="false"/>
                <w:color w:val="000000"/>
                <w:sz w:val="17"/>
                <w:szCs w:val="17"/>
              </w:rPr>
              <w:t xml:space="preserve">SonarQube</w:t>
            </w:r>
          </w:p>
        </w:tc>
        <w:tc>
          <w:tcPr>
            <w:tcW w:type="dxa" w:w="6180"/>
            <w:tcMar>
              <w:top w:type="dxa" w:w="40"/>
              <w:left w:type="dxa" w:w="60"/>
              <w:bottom w:type="dxa" w:w="40"/>
              <w:right w:type="dxa" w:w="60"/>
            </w:tcMar>
            <w:vAlign w:val="center"/>
          </w:tcPr>
          <w:p>
            <w:pPr>
              <w:jc w:val="left"/>
            </w:pPr>
            <w:r>
              <w:rPr>
                <w:b w:val="false"/>
                <w:bCs w:val="false"/>
                <w:color w:val="000000"/>
                <w:sz w:val="17"/>
                <w:szCs w:val="17"/>
              </w:rPr>
              <w:t xml:space="preserve">Provides automated static code analysis, code-coverage tracking, and maintainability/reliability ratings, enforcing a quality gate before code proceeds further.</w:t>
            </w:r>
          </w:p>
        </w:tc>
      </w:tr>
      <w:tr>
        <w:tc>
          <w:tcPr>
            <w:tcW w:type="dxa" w:w="1900"/>
            <w:tcMar>
              <w:top w:type="dxa" w:w="40"/>
              <w:left w:type="dxa" w:w="60"/>
              <w:bottom w:type="dxa" w:w="40"/>
              <w:right w:type="dxa" w:w="60"/>
            </w:tcMar>
            <w:vAlign w:val="center"/>
          </w:tcPr>
          <w:p>
            <w:pPr>
              <w:jc w:val="left"/>
            </w:pPr>
            <w:r>
              <w:rPr>
                <w:b/>
                <w:bCs/>
                <w:color w:val="000000"/>
                <w:sz w:val="17"/>
                <w:szCs w:val="17"/>
              </w:rPr>
              <w:t xml:space="preserve">Security Scanning</w:t>
            </w:r>
          </w:p>
        </w:tc>
        <w:tc>
          <w:tcPr>
            <w:tcW w:type="dxa" w:w="2000"/>
            <w:tcMar>
              <w:top w:type="dxa" w:w="40"/>
              <w:left w:type="dxa" w:w="60"/>
              <w:bottom w:type="dxa" w:w="40"/>
              <w:right w:type="dxa" w:w="60"/>
            </w:tcMar>
            <w:vAlign w:val="center"/>
          </w:tcPr>
          <w:p>
            <w:pPr>
              <w:jc w:val="left"/>
            </w:pPr>
            <w:r>
              <w:rPr>
                <w:b w:val="false"/>
                <w:bCs w:val="false"/>
                <w:color w:val="000000"/>
                <w:sz w:val="17"/>
                <w:szCs w:val="17"/>
              </w:rPr>
              <w:t xml:space="preserve">Snyk / OWASP ZAP / Trivy</w:t>
            </w:r>
          </w:p>
        </w:tc>
        <w:tc>
          <w:tcPr>
            <w:tcW w:type="dxa" w:w="6180"/>
            <w:tcMar>
              <w:top w:type="dxa" w:w="40"/>
              <w:left w:type="dxa" w:w="60"/>
              <w:bottom w:type="dxa" w:w="40"/>
              <w:right w:type="dxa" w:w="60"/>
            </w:tcMar>
            <w:vAlign w:val="center"/>
          </w:tcPr>
          <w:p>
            <w:pPr>
              <w:jc w:val="left"/>
            </w:pPr>
            <w:r>
              <w:rPr>
                <w:b w:val="false"/>
                <w:bCs w:val="false"/>
                <w:color w:val="000000"/>
                <w:sz w:val="17"/>
                <w:szCs w:val="17"/>
              </w:rPr>
              <w:t xml:space="preserve">Snyk/Trivy scan dependencies and container images for known vulnerabilities; OWASP ZAP performs dynamic security testing on exposed APIs handling cargo/customs data (NFR4).</w:t>
            </w:r>
          </w:p>
        </w:tc>
      </w:tr>
      <w:tr>
        <w:tc>
          <w:tcPr>
            <w:tcW w:type="dxa" w:w="1900"/>
            <w:tcMar>
              <w:top w:type="dxa" w:w="40"/>
              <w:left w:type="dxa" w:w="60"/>
              <w:bottom w:type="dxa" w:w="40"/>
              <w:right w:type="dxa" w:w="60"/>
            </w:tcMar>
            <w:vAlign w:val="center"/>
          </w:tcPr>
          <w:p>
            <w:pPr>
              <w:jc w:val="left"/>
            </w:pPr>
            <w:r>
              <w:rPr>
                <w:b/>
                <w:bCs/>
                <w:color w:val="000000"/>
                <w:sz w:val="17"/>
                <w:szCs w:val="17"/>
              </w:rPr>
              <w:t xml:space="preserve">Containerization &amp; Registry</w:t>
            </w:r>
          </w:p>
        </w:tc>
        <w:tc>
          <w:tcPr>
            <w:tcW w:type="dxa" w:w="2000"/>
            <w:tcMar>
              <w:top w:type="dxa" w:w="40"/>
              <w:left w:type="dxa" w:w="60"/>
              <w:bottom w:type="dxa" w:w="40"/>
              <w:right w:type="dxa" w:w="60"/>
            </w:tcMar>
            <w:vAlign w:val="center"/>
          </w:tcPr>
          <w:p>
            <w:pPr>
              <w:jc w:val="left"/>
            </w:pPr>
            <w:r>
              <w:rPr>
                <w:b w:val="false"/>
                <w:bCs w:val="false"/>
                <w:color w:val="000000"/>
                <w:sz w:val="17"/>
                <w:szCs w:val="17"/>
              </w:rPr>
              <w:t xml:space="preserve">Docker + Amazon ECR / Docker Hub</w:t>
            </w:r>
          </w:p>
        </w:tc>
        <w:tc>
          <w:tcPr>
            <w:tcW w:type="dxa" w:w="6180"/>
            <w:tcMar>
              <w:top w:type="dxa" w:w="40"/>
              <w:left w:type="dxa" w:w="60"/>
              <w:bottom w:type="dxa" w:w="40"/>
              <w:right w:type="dxa" w:w="60"/>
            </w:tcMar>
            <w:vAlign w:val="center"/>
          </w:tcPr>
          <w:p>
            <w:pPr>
              <w:jc w:val="left"/>
            </w:pPr>
            <w:r>
              <w:rPr>
                <w:b w:val="false"/>
                <w:bCs w:val="false"/>
                <w:color w:val="000000"/>
                <w:sz w:val="17"/>
                <w:szCs w:val="17"/>
              </w:rPr>
              <w:t xml:space="preserve">Ensures consistent runtime environments across all stages and provides versioned, centrally accessible image storage for deployments.</w:t>
            </w:r>
          </w:p>
        </w:tc>
      </w:tr>
      <w:tr>
        <w:tc>
          <w:tcPr>
            <w:tcW w:type="dxa" w:w="1900"/>
            <w:tcMar>
              <w:top w:type="dxa" w:w="40"/>
              <w:left w:type="dxa" w:w="60"/>
              <w:bottom w:type="dxa" w:w="40"/>
              <w:right w:type="dxa" w:w="60"/>
            </w:tcMar>
            <w:vAlign w:val="center"/>
          </w:tcPr>
          <w:p>
            <w:pPr>
              <w:jc w:val="left"/>
            </w:pPr>
            <w:r>
              <w:rPr>
                <w:b/>
                <w:bCs/>
                <w:color w:val="000000"/>
                <w:sz w:val="17"/>
                <w:szCs w:val="17"/>
              </w:rPr>
              <w:t xml:space="preserve">Deployment / Orchestration</w:t>
            </w:r>
          </w:p>
        </w:tc>
        <w:tc>
          <w:tcPr>
            <w:tcW w:type="dxa" w:w="2000"/>
            <w:tcMar>
              <w:top w:type="dxa" w:w="40"/>
              <w:left w:type="dxa" w:w="60"/>
              <w:bottom w:type="dxa" w:w="40"/>
              <w:right w:type="dxa" w:w="60"/>
            </w:tcMar>
            <w:vAlign w:val="center"/>
          </w:tcPr>
          <w:p>
            <w:pPr>
              <w:jc w:val="left"/>
            </w:pPr>
            <w:r>
              <w:rPr>
                <w:b w:val="false"/>
                <w:bCs w:val="false"/>
                <w:color w:val="000000"/>
                <w:sz w:val="17"/>
                <w:szCs w:val="17"/>
              </w:rPr>
              <w:t xml:space="preserve">Kubernetes + Helm</w:t>
            </w:r>
          </w:p>
        </w:tc>
        <w:tc>
          <w:tcPr>
            <w:tcW w:type="dxa" w:w="6180"/>
            <w:tcMar>
              <w:top w:type="dxa" w:w="40"/>
              <w:left w:type="dxa" w:w="60"/>
              <w:bottom w:type="dxa" w:w="40"/>
              <w:right w:type="dxa" w:w="60"/>
            </w:tcMar>
            <w:vAlign w:val="center"/>
          </w:tcPr>
          <w:p>
            <w:pPr>
              <w:jc w:val="left"/>
            </w:pPr>
            <w:r>
              <w:rPr>
                <w:b w:val="false"/>
                <w:bCs w:val="false"/>
                <w:color w:val="000000"/>
                <w:sz w:val="17"/>
                <w:szCs w:val="17"/>
              </w:rPr>
              <w:t xml:space="preserve">Automates scalable, self-healing deployment of microservices across environments and supports blue-green/canary rollout strategies needed for near-zero-downtime (NFR7).</w:t>
            </w:r>
          </w:p>
        </w:tc>
      </w:tr>
      <w:tr>
        <w:tc>
          <w:tcPr>
            <w:tcW w:type="dxa" w:w="1900"/>
            <w:tcMar>
              <w:top w:type="dxa" w:w="40"/>
              <w:left w:type="dxa" w:w="60"/>
              <w:bottom w:type="dxa" w:w="40"/>
              <w:right w:type="dxa" w:w="60"/>
            </w:tcMar>
            <w:vAlign w:val="center"/>
          </w:tcPr>
          <w:p>
            <w:pPr>
              <w:jc w:val="left"/>
            </w:pPr>
            <w:r>
              <w:rPr>
                <w:b/>
                <w:bCs/>
                <w:color w:val="000000"/>
                <w:sz w:val="17"/>
                <w:szCs w:val="17"/>
              </w:rPr>
              <w:t xml:space="preserve">Infrastructure as Code</w:t>
            </w:r>
          </w:p>
        </w:tc>
        <w:tc>
          <w:tcPr>
            <w:tcW w:type="dxa" w:w="2000"/>
            <w:tcMar>
              <w:top w:type="dxa" w:w="40"/>
              <w:left w:type="dxa" w:w="60"/>
              <w:bottom w:type="dxa" w:w="40"/>
              <w:right w:type="dxa" w:w="60"/>
            </w:tcMar>
            <w:vAlign w:val="center"/>
          </w:tcPr>
          <w:p>
            <w:pPr>
              <w:jc w:val="left"/>
            </w:pPr>
            <w:r>
              <w:rPr>
                <w:b w:val="false"/>
                <w:bCs w:val="false"/>
                <w:color w:val="000000"/>
                <w:sz w:val="17"/>
                <w:szCs w:val="17"/>
              </w:rPr>
              <w:t xml:space="preserve">Terraform</w:t>
            </w:r>
          </w:p>
        </w:tc>
        <w:tc>
          <w:tcPr>
            <w:tcW w:type="dxa" w:w="6180"/>
            <w:tcMar>
              <w:top w:type="dxa" w:w="40"/>
              <w:left w:type="dxa" w:w="60"/>
              <w:bottom w:type="dxa" w:w="40"/>
              <w:right w:type="dxa" w:w="60"/>
            </w:tcMar>
            <w:vAlign w:val="center"/>
          </w:tcPr>
          <w:p>
            <w:pPr>
              <w:jc w:val="left"/>
            </w:pPr>
            <w:r>
              <w:rPr>
                <w:b w:val="false"/>
                <w:bCs w:val="false"/>
                <w:color w:val="000000"/>
                <w:sz w:val="17"/>
                <w:szCs w:val="17"/>
              </w:rPr>
              <w:t xml:space="preserve">Provisions and version-controls cloud infrastructure (compute, networking, IoT gateways) consistently across dev, staging, and production.</w:t>
            </w:r>
          </w:p>
        </w:tc>
      </w:tr>
      <w:tr>
        <w:tc>
          <w:tcPr>
            <w:tcW w:type="dxa" w:w="1900"/>
            <w:tcMar>
              <w:top w:type="dxa" w:w="40"/>
              <w:left w:type="dxa" w:w="60"/>
              <w:bottom w:type="dxa" w:w="40"/>
              <w:right w:type="dxa" w:w="60"/>
            </w:tcMar>
            <w:vAlign w:val="center"/>
          </w:tcPr>
          <w:p>
            <w:pPr>
              <w:jc w:val="left"/>
            </w:pPr>
            <w:r>
              <w:rPr>
                <w:b/>
                <w:bCs/>
                <w:color w:val="000000"/>
                <w:sz w:val="17"/>
                <w:szCs w:val="17"/>
              </w:rPr>
              <w:t xml:space="preserve">Monitoring &amp; Logging</w:t>
            </w:r>
          </w:p>
        </w:tc>
        <w:tc>
          <w:tcPr>
            <w:tcW w:type="dxa" w:w="2000"/>
            <w:tcMar>
              <w:top w:type="dxa" w:w="40"/>
              <w:left w:type="dxa" w:w="60"/>
              <w:bottom w:type="dxa" w:w="40"/>
              <w:right w:type="dxa" w:w="60"/>
            </w:tcMar>
            <w:vAlign w:val="center"/>
          </w:tcPr>
          <w:p>
            <w:pPr>
              <w:jc w:val="left"/>
            </w:pPr>
            <w:r>
              <w:rPr>
                <w:b w:val="false"/>
                <w:bCs w:val="false"/>
                <w:color w:val="000000"/>
                <w:sz w:val="17"/>
                <w:szCs w:val="17"/>
              </w:rPr>
              <w:t xml:space="preserve">Prometheus + Grafana + ELK Stack</w:t>
            </w:r>
          </w:p>
        </w:tc>
        <w:tc>
          <w:tcPr>
            <w:tcW w:type="dxa" w:w="6180"/>
            <w:tcMar>
              <w:top w:type="dxa" w:w="40"/>
              <w:left w:type="dxa" w:w="60"/>
              <w:bottom w:type="dxa" w:w="40"/>
              <w:right w:type="dxa" w:w="60"/>
            </w:tcMar>
            <w:vAlign w:val="center"/>
          </w:tcPr>
          <w:p>
            <w:pPr>
              <w:jc w:val="left"/>
            </w:pPr>
            <w:r>
              <w:rPr>
                <w:b w:val="false"/>
                <w:bCs w:val="false"/>
                <w:color w:val="000000"/>
                <w:sz w:val="17"/>
                <w:szCs w:val="17"/>
              </w:rPr>
              <w:t xml:space="preserve">Provides real-time performance dashboards (aligned with FR9), metrics-based alerting, and centralized log analysis for troubleshooting and audit trails (NFR8).</w:t>
            </w:r>
          </w:p>
        </w:tc>
      </w:tr>
      <w:tr>
        <w:tc>
          <w:tcPr>
            <w:tcW w:type="dxa" w:w="1900"/>
            <w:tcMar>
              <w:top w:type="dxa" w:w="40"/>
              <w:left w:type="dxa" w:w="60"/>
              <w:bottom w:type="dxa" w:w="40"/>
              <w:right w:type="dxa" w:w="60"/>
            </w:tcMar>
            <w:vAlign w:val="center"/>
          </w:tcPr>
          <w:p>
            <w:pPr>
              <w:jc w:val="left"/>
            </w:pPr>
            <w:r>
              <w:rPr>
                <w:b/>
                <w:bCs/>
                <w:color w:val="000000"/>
                <w:sz w:val="17"/>
                <w:szCs w:val="17"/>
              </w:rPr>
              <w:t xml:space="preserve">Notifications</w:t>
            </w:r>
          </w:p>
        </w:tc>
        <w:tc>
          <w:tcPr>
            <w:tcW w:type="dxa" w:w="2000"/>
            <w:tcMar>
              <w:top w:type="dxa" w:w="40"/>
              <w:left w:type="dxa" w:w="60"/>
              <w:bottom w:type="dxa" w:w="40"/>
              <w:right w:type="dxa" w:w="60"/>
            </w:tcMar>
            <w:vAlign w:val="center"/>
          </w:tcPr>
          <w:p>
            <w:pPr>
              <w:jc w:val="left"/>
            </w:pPr>
            <w:r>
              <w:rPr>
                <w:b w:val="false"/>
                <w:bCs w:val="false"/>
                <w:color w:val="000000"/>
                <w:sz w:val="17"/>
                <w:szCs w:val="17"/>
              </w:rPr>
              <w:t xml:space="preserve">Slack / MS Teams / Email (via webhook)</w:t>
            </w:r>
          </w:p>
        </w:tc>
        <w:tc>
          <w:tcPr>
            <w:tcW w:type="dxa" w:w="6180"/>
            <w:tcMar>
              <w:top w:type="dxa" w:w="40"/>
              <w:left w:type="dxa" w:w="60"/>
              <w:bottom w:type="dxa" w:w="40"/>
              <w:right w:type="dxa" w:w="60"/>
            </w:tcMar>
            <w:vAlign w:val="center"/>
          </w:tcPr>
          <w:p>
            <w:pPr>
              <w:jc w:val="left"/>
            </w:pPr>
            <w:r>
              <w:rPr>
                <w:b w:val="false"/>
                <w:bCs w:val="false"/>
                <w:color w:val="000000"/>
                <w:sz w:val="17"/>
                <w:szCs w:val="17"/>
              </w:rPr>
              <w:t xml:space="preserve">Sends real-time build, test, and deployment status alerts to the DevOps and port-operations teams for fast issue response.</w:t>
            </w:r>
          </w:p>
        </w:tc>
      </w:tr>
      <w:tr>
        <w:tc>
          <w:tcPr>
            <w:tcW w:type="dxa" w:w="1900"/>
            <w:tcMar>
              <w:top w:type="dxa" w:w="40"/>
              <w:left w:type="dxa" w:w="60"/>
              <w:bottom w:type="dxa" w:w="40"/>
              <w:right w:type="dxa" w:w="60"/>
            </w:tcMar>
            <w:vAlign w:val="center"/>
          </w:tcPr>
          <w:p>
            <w:pPr>
              <w:jc w:val="left"/>
            </w:pPr>
            <w:r>
              <w:rPr>
                <w:b/>
                <w:bCs/>
                <w:color w:val="000000"/>
                <w:sz w:val="17"/>
                <w:szCs w:val="17"/>
              </w:rPr>
              <w:t xml:space="preserve">Secrets Management</w:t>
            </w:r>
          </w:p>
        </w:tc>
        <w:tc>
          <w:tcPr>
            <w:tcW w:type="dxa" w:w="2000"/>
            <w:tcMar>
              <w:top w:type="dxa" w:w="40"/>
              <w:left w:type="dxa" w:w="60"/>
              <w:bottom w:type="dxa" w:w="40"/>
              <w:right w:type="dxa" w:w="60"/>
            </w:tcMar>
            <w:vAlign w:val="center"/>
          </w:tcPr>
          <w:p>
            <w:pPr>
              <w:jc w:val="left"/>
            </w:pPr>
            <w:r>
              <w:rPr>
                <w:b w:val="false"/>
                <w:bCs w:val="false"/>
                <w:color w:val="000000"/>
                <w:sz w:val="17"/>
                <w:szCs w:val="17"/>
              </w:rPr>
              <w:t xml:space="preserve">HashiCorp Vault / AWS Secrets Manager</w:t>
            </w:r>
          </w:p>
        </w:tc>
        <w:tc>
          <w:tcPr>
            <w:tcW w:type="dxa" w:w="6180"/>
            <w:tcMar>
              <w:top w:type="dxa" w:w="40"/>
              <w:left w:type="dxa" w:w="60"/>
              <w:bottom w:type="dxa" w:w="40"/>
              <w:right w:type="dxa" w:w="60"/>
            </w:tcMar>
            <w:vAlign w:val="center"/>
          </w:tcPr>
          <w:p>
            <w:pPr>
              <w:jc w:val="left"/>
            </w:pPr>
            <w:r>
              <w:rPr>
                <w:b w:val="false"/>
                <w:bCs w:val="false"/>
                <w:color w:val="000000"/>
                <w:sz w:val="17"/>
                <w:szCs w:val="17"/>
              </w:rPr>
              <w:t xml:space="preserve">Secures API keys, database credentials, and IoT device certificates used across pipeline stages, supporting the platform's security requirements (NFR4).</w:t>
            </w:r>
          </w:p>
        </w:tc>
      </w:tr>
    </w:tbl>
    <w:p>
      <w:pPr>
        <w:pStyle w:val="Heading1"/>
        <w:pBdr>
          <w:bottom w:val="single" w:color="1F3864" w:sz="6" w:space="4"/>
        </w:pBdr>
        <w:spacing w:after="160" w:before="360"/>
      </w:pPr>
      <w:r>
        <w:rPr>
          <w:b/>
          <w:bCs/>
          <w:color w:val="1F3864"/>
          <w:sz w:val="28"/>
          <w:szCs w:val="28"/>
        </w:rPr>
        <w:t xml:space="preserve">5. Automated Testing and Quality Integration</w:t>
      </w:r>
    </w:p>
    <w:p>
      <w:pPr>
        <w:spacing w:after="120"/>
      </w:pPr>
      <w:r>
        <w:rPr>
          <w:sz w:val="21"/>
          <w:szCs w:val="21"/>
        </w:rPr>
        <w:t xml:space="preserve">A multi-layered automated testing strategy is embedded directly into the pipeline so that defects are caught as early as possible, minimizing the risk of faulty berth-allocation, scheduling, or AI-prediction logic reaching production.</w:t>
      </w:r>
    </w:p>
    <w:tbl>
      <w:tblPr>
        <w:tblW w:type="dxa" w:w="10080"/>
        <w:tblBorders>
          <w:top w:val="single" w:color="8EA9DB" w:sz="4"/>
          <w:left w:val="single" w:color="8EA9DB" w:sz="4"/>
          <w:bottom w:val="single" w:color="8EA9DB" w:sz="4"/>
          <w:right w:val="single" w:color="8EA9DB" w:sz="4"/>
          <w:insideH w:val="single" w:color="8EA9DB" w:sz="4"/>
          <w:insideV w:val="single" w:color="8EA9DB" w:sz="4"/>
        </w:tblBorders>
      </w:tblPr>
      <w:tblGrid>
        <w:gridCol w:w="100"/>
        <w:gridCol w:w="100"/>
        <w:gridCol w:w="100"/>
        <w:gridCol w:w="100"/>
      </w:tblGrid>
      <w:tr>
        <w:trPr>
          <w:tblHeader/>
        </w:trPr>
        <w:tc>
          <w:tcPr>
            <w:tcW w:type="dxa" w:w="1700"/>
            <w:shd w:fill="1F3864" w:color="auto" w:val="clear"/>
            <w:tcMar>
              <w:top w:type="dxa" w:w="40"/>
              <w:left w:type="dxa" w:w="60"/>
              <w:bottom w:type="dxa" w:w="40"/>
              <w:right w:type="dxa" w:w="60"/>
            </w:tcMar>
            <w:vAlign w:val="center"/>
          </w:tcPr>
          <w:p>
            <w:pPr>
              <w:jc w:val="center"/>
            </w:pPr>
            <w:r>
              <w:rPr>
                <w:b/>
                <w:bCs/>
                <w:color w:val="FFFFFF"/>
                <w:sz w:val="18"/>
                <w:szCs w:val="18"/>
              </w:rPr>
              <w:t xml:space="preserve">Test Type</w:t>
            </w:r>
          </w:p>
        </w:tc>
        <w:tc>
          <w:tcPr>
            <w:tcW w:type="dxa" w:w="2100"/>
            <w:shd w:fill="1F3864" w:color="auto" w:val="clear"/>
            <w:tcMar>
              <w:top w:type="dxa" w:w="40"/>
              <w:left w:type="dxa" w:w="60"/>
              <w:bottom w:type="dxa" w:w="40"/>
              <w:right w:type="dxa" w:w="60"/>
            </w:tcMar>
            <w:vAlign w:val="center"/>
          </w:tcPr>
          <w:p>
            <w:pPr>
              <w:jc w:val="center"/>
            </w:pPr>
            <w:r>
              <w:rPr>
                <w:b/>
                <w:bCs/>
                <w:color w:val="FFFFFF"/>
                <w:sz w:val="18"/>
                <w:szCs w:val="18"/>
              </w:rPr>
              <w:t xml:space="preserve">Tool(s)</w:t>
            </w:r>
          </w:p>
        </w:tc>
        <w:tc>
          <w:tcPr>
            <w:tcW w:type="dxa" w:w="1600"/>
            <w:shd w:fill="1F3864" w:color="auto" w:val="clear"/>
            <w:tcMar>
              <w:top w:type="dxa" w:w="40"/>
              <w:left w:type="dxa" w:w="60"/>
              <w:bottom w:type="dxa" w:w="40"/>
              <w:right w:type="dxa" w:w="60"/>
            </w:tcMar>
            <w:vAlign w:val="center"/>
          </w:tcPr>
          <w:p>
            <w:pPr>
              <w:jc w:val="center"/>
            </w:pPr>
            <w:r>
              <w:rPr>
                <w:b/>
                <w:bCs/>
                <w:color w:val="FFFFFF"/>
                <w:sz w:val="18"/>
                <w:szCs w:val="18"/>
              </w:rPr>
              <w:t xml:space="preserve">Trigger Point</w:t>
            </w:r>
          </w:p>
        </w:tc>
        <w:tc>
          <w:tcPr>
            <w:tcW w:type="dxa" w:w="4680"/>
            <w:shd w:fill="1F3864" w:color="auto" w:val="clear"/>
            <w:tcMar>
              <w:top w:type="dxa" w:w="40"/>
              <w:left w:type="dxa" w:w="60"/>
              <w:bottom w:type="dxa" w:w="40"/>
              <w:right w:type="dxa" w:w="60"/>
            </w:tcMar>
            <w:vAlign w:val="center"/>
          </w:tcPr>
          <w:p>
            <w:pPr>
              <w:jc w:val="center"/>
            </w:pPr>
            <w:r>
              <w:rPr>
                <w:b/>
                <w:bCs/>
                <w:color w:val="FFFFFF"/>
                <w:sz w:val="18"/>
                <w:szCs w:val="18"/>
              </w:rPr>
              <w:t xml:space="preserve">Purpose</w:t>
            </w:r>
          </w:p>
        </w:tc>
      </w:tr>
      <w:tr>
        <w:tc>
          <w:tcPr>
            <w:tcW w:type="dxa" w:w="1700"/>
            <w:tcMar>
              <w:top w:type="dxa" w:w="40"/>
              <w:left w:type="dxa" w:w="60"/>
              <w:bottom w:type="dxa" w:w="40"/>
              <w:right w:type="dxa" w:w="60"/>
            </w:tcMar>
            <w:vAlign w:val="center"/>
          </w:tcPr>
          <w:p>
            <w:pPr>
              <w:jc w:val="left"/>
            </w:pPr>
            <w:r>
              <w:rPr>
                <w:b/>
                <w:bCs/>
                <w:color w:val="000000"/>
                <w:sz w:val="17"/>
                <w:szCs w:val="17"/>
              </w:rPr>
              <w:t xml:space="preserve">Unit Testing</w:t>
            </w:r>
          </w:p>
        </w:tc>
        <w:tc>
          <w:tcPr>
            <w:tcW w:type="dxa" w:w="2100"/>
            <w:tcMar>
              <w:top w:type="dxa" w:w="40"/>
              <w:left w:type="dxa" w:w="60"/>
              <w:bottom w:type="dxa" w:w="40"/>
              <w:right w:type="dxa" w:w="60"/>
            </w:tcMar>
            <w:vAlign w:val="center"/>
          </w:tcPr>
          <w:p>
            <w:pPr>
              <w:jc w:val="left"/>
            </w:pPr>
            <w:r>
              <w:rPr>
                <w:b w:val="false"/>
                <w:bCs w:val="false"/>
                <w:color w:val="000000"/>
                <w:sz w:val="17"/>
                <w:szCs w:val="17"/>
              </w:rPr>
              <w:t xml:space="preserve">JUnit / PyTest</w:t>
            </w:r>
          </w:p>
        </w:tc>
        <w:tc>
          <w:tcPr>
            <w:tcW w:type="dxa" w:w="1600"/>
            <w:tcMar>
              <w:top w:type="dxa" w:w="40"/>
              <w:left w:type="dxa" w:w="60"/>
              <w:bottom w:type="dxa" w:w="40"/>
              <w:right w:type="dxa" w:w="60"/>
            </w:tcMar>
            <w:vAlign w:val="center"/>
          </w:tcPr>
          <w:p>
            <w:pPr>
              <w:jc w:val="center"/>
            </w:pPr>
            <w:r>
              <w:rPr>
                <w:b w:val="false"/>
                <w:bCs w:val="false"/>
                <w:color w:val="000000"/>
                <w:sz w:val="17"/>
                <w:szCs w:val="17"/>
              </w:rPr>
              <w:t xml:space="preserve">Every CI build</w:t>
            </w:r>
          </w:p>
        </w:tc>
        <w:tc>
          <w:tcPr>
            <w:tcW w:type="dxa" w:w="4680"/>
            <w:tcMar>
              <w:top w:type="dxa" w:w="40"/>
              <w:left w:type="dxa" w:w="60"/>
              <w:bottom w:type="dxa" w:w="40"/>
              <w:right w:type="dxa" w:w="60"/>
            </w:tcMar>
            <w:vAlign w:val="center"/>
          </w:tcPr>
          <w:p>
            <w:pPr>
              <w:jc w:val="left"/>
            </w:pPr>
            <w:r>
              <w:rPr>
                <w:b w:val="false"/>
                <w:bCs w:val="false"/>
                <w:color w:val="000000"/>
                <w:sz w:val="17"/>
                <w:szCs w:val="17"/>
              </w:rPr>
              <w:t xml:space="preserve">Validates individual functions/modules (e.g., berth-allocation logic, delay-prediction calculation) in isolation before integration.</w:t>
            </w:r>
          </w:p>
        </w:tc>
      </w:tr>
      <w:tr>
        <w:tc>
          <w:tcPr>
            <w:tcW w:type="dxa" w:w="1700"/>
            <w:tcMar>
              <w:top w:type="dxa" w:w="40"/>
              <w:left w:type="dxa" w:w="60"/>
              <w:bottom w:type="dxa" w:w="40"/>
              <w:right w:type="dxa" w:w="60"/>
            </w:tcMar>
            <w:vAlign w:val="center"/>
          </w:tcPr>
          <w:p>
            <w:pPr>
              <w:jc w:val="left"/>
            </w:pPr>
            <w:r>
              <w:rPr>
                <w:b/>
                <w:bCs/>
                <w:color w:val="000000"/>
                <w:sz w:val="17"/>
                <w:szCs w:val="17"/>
              </w:rPr>
              <w:t xml:space="preserve">Integration / API Testing</w:t>
            </w:r>
          </w:p>
        </w:tc>
        <w:tc>
          <w:tcPr>
            <w:tcW w:type="dxa" w:w="2100"/>
            <w:tcMar>
              <w:top w:type="dxa" w:w="40"/>
              <w:left w:type="dxa" w:w="60"/>
              <w:bottom w:type="dxa" w:w="40"/>
              <w:right w:type="dxa" w:w="60"/>
            </w:tcMar>
            <w:vAlign w:val="center"/>
          </w:tcPr>
          <w:p>
            <w:pPr>
              <w:jc w:val="left"/>
            </w:pPr>
            <w:r>
              <w:rPr>
                <w:b w:val="false"/>
                <w:bCs w:val="false"/>
                <w:color w:val="000000"/>
                <w:sz w:val="17"/>
                <w:szCs w:val="17"/>
              </w:rPr>
              <w:t xml:space="preserve">Postman / Newman, REST-assured</w:t>
            </w:r>
          </w:p>
        </w:tc>
        <w:tc>
          <w:tcPr>
            <w:tcW w:type="dxa" w:w="1600"/>
            <w:tcMar>
              <w:top w:type="dxa" w:w="40"/>
              <w:left w:type="dxa" w:w="60"/>
              <w:bottom w:type="dxa" w:w="40"/>
              <w:right w:type="dxa" w:w="60"/>
            </w:tcMar>
            <w:vAlign w:val="center"/>
          </w:tcPr>
          <w:p>
            <w:pPr>
              <w:jc w:val="center"/>
            </w:pPr>
            <w:r>
              <w:rPr>
                <w:b w:val="false"/>
                <w:bCs w:val="false"/>
                <w:color w:val="000000"/>
                <w:sz w:val="17"/>
                <w:szCs w:val="17"/>
              </w:rPr>
              <w:t xml:space="preserve">Every CI build</w:t>
            </w:r>
          </w:p>
        </w:tc>
        <w:tc>
          <w:tcPr>
            <w:tcW w:type="dxa" w:w="4680"/>
            <w:tcMar>
              <w:top w:type="dxa" w:w="40"/>
              <w:left w:type="dxa" w:w="60"/>
              <w:bottom w:type="dxa" w:w="40"/>
              <w:right w:type="dxa" w:w="60"/>
            </w:tcMar>
            <w:vAlign w:val="center"/>
          </w:tcPr>
          <w:p>
            <w:pPr>
              <w:jc w:val="left"/>
            </w:pPr>
            <w:r>
              <w:rPr>
                <w:b w:val="false"/>
                <w:bCs w:val="false"/>
                <w:color w:val="000000"/>
                <w:sz w:val="17"/>
                <w:szCs w:val="17"/>
              </w:rPr>
              <w:t xml:space="preserve">Verifies communication between microservices, e.g., IoT tracking service -&gt; dashboard API -&gt; notification service.</w:t>
            </w:r>
          </w:p>
        </w:tc>
      </w:tr>
      <w:tr>
        <w:tc>
          <w:tcPr>
            <w:tcW w:type="dxa" w:w="1700"/>
            <w:tcMar>
              <w:top w:type="dxa" w:w="40"/>
              <w:left w:type="dxa" w:w="60"/>
              <w:bottom w:type="dxa" w:w="40"/>
              <w:right w:type="dxa" w:w="60"/>
            </w:tcMar>
            <w:vAlign w:val="center"/>
          </w:tcPr>
          <w:p>
            <w:pPr>
              <w:jc w:val="left"/>
            </w:pPr>
            <w:r>
              <w:rPr>
                <w:b/>
                <w:bCs/>
                <w:color w:val="000000"/>
                <w:sz w:val="17"/>
                <w:szCs w:val="17"/>
              </w:rPr>
              <w:t xml:space="preserve">Static Code Analysis</w:t>
            </w:r>
          </w:p>
        </w:tc>
        <w:tc>
          <w:tcPr>
            <w:tcW w:type="dxa" w:w="2100"/>
            <w:tcMar>
              <w:top w:type="dxa" w:w="40"/>
              <w:left w:type="dxa" w:w="60"/>
              <w:bottom w:type="dxa" w:w="40"/>
              <w:right w:type="dxa" w:w="60"/>
            </w:tcMar>
            <w:vAlign w:val="center"/>
          </w:tcPr>
          <w:p>
            <w:pPr>
              <w:jc w:val="left"/>
            </w:pPr>
            <w:r>
              <w:rPr>
                <w:b w:val="false"/>
                <w:bCs w:val="false"/>
                <w:color w:val="000000"/>
                <w:sz w:val="17"/>
                <w:szCs w:val="17"/>
              </w:rPr>
              <w:t xml:space="preserve">SonarQube (quality gate)</w:t>
            </w:r>
          </w:p>
        </w:tc>
        <w:tc>
          <w:tcPr>
            <w:tcW w:type="dxa" w:w="1600"/>
            <w:tcMar>
              <w:top w:type="dxa" w:w="40"/>
              <w:left w:type="dxa" w:w="60"/>
              <w:bottom w:type="dxa" w:w="40"/>
              <w:right w:type="dxa" w:w="60"/>
            </w:tcMar>
            <w:vAlign w:val="center"/>
          </w:tcPr>
          <w:p>
            <w:pPr>
              <w:jc w:val="center"/>
            </w:pPr>
            <w:r>
              <w:rPr>
                <w:b w:val="false"/>
                <w:bCs w:val="false"/>
                <w:color w:val="000000"/>
                <w:sz w:val="17"/>
                <w:szCs w:val="17"/>
              </w:rPr>
              <w:t xml:space="preserve">Every CI build</w:t>
            </w:r>
          </w:p>
        </w:tc>
        <w:tc>
          <w:tcPr>
            <w:tcW w:type="dxa" w:w="4680"/>
            <w:tcMar>
              <w:top w:type="dxa" w:w="40"/>
              <w:left w:type="dxa" w:w="60"/>
              <w:bottom w:type="dxa" w:w="40"/>
              <w:right w:type="dxa" w:w="60"/>
            </w:tcMar>
            <w:vAlign w:val="center"/>
          </w:tcPr>
          <w:p>
            <w:pPr>
              <w:jc w:val="left"/>
            </w:pPr>
            <w:r>
              <w:rPr>
                <w:b w:val="false"/>
                <w:bCs w:val="false"/>
                <w:color w:val="000000"/>
                <w:sz w:val="17"/>
                <w:szCs w:val="17"/>
              </w:rPr>
              <w:t xml:space="preserve">Enforces coding standards, detects code smells/duplication, and blocks merges below the defined maintainability threshold.</w:t>
            </w:r>
          </w:p>
        </w:tc>
      </w:tr>
      <w:tr>
        <w:tc>
          <w:tcPr>
            <w:tcW w:type="dxa" w:w="1700"/>
            <w:tcMar>
              <w:top w:type="dxa" w:w="40"/>
              <w:left w:type="dxa" w:w="60"/>
              <w:bottom w:type="dxa" w:w="40"/>
              <w:right w:type="dxa" w:w="60"/>
            </w:tcMar>
            <w:vAlign w:val="center"/>
          </w:tcPr>
          <w:p>
            <w:pPr>
              <w:jc w:val="left"/>
            </w:pPr>
            <w:r>
              <w:rPr>
                <w:b/>
                <w:bCs/>
                <w:color w:val="000000"/>
                <w:sz w:val="17"/>
                <w:szCs w:val="17"/>
              </w:rPr>
              <w:t xml:space="preserve">Security / Dependency Scanning</w:t>
            </w:r>
          </w:p>
        </w:tc>
        <w:tc>
          <w:tcPr>
            <w:tcW w:type="dxa" w:w="2100"/>
            <w:tcMar>
              <w:top w:type="dxa" w:w="40"/>
              <w:left w:type="dxa" w:w="60"/>
              <w:bottom w:type="dxa" w:w="40"/>
              <w:right w:type="dxa" w:w="60"/>
            </w:tcMar>
            <w:vAlign w:val="center"/>
          </w:tcPr>
          <w:p>
            <w:pPr>
              <w:jc w:val="left"/>
            </w:pPr>
            <w:r>
              <w:rPr>
                <w:b w:val="false"/>
                <w:bCs w:val="false"/>
                <w:color w:val="000000"/>
                <w:sz w:val="17"/>
                <w:szCs w:val="17"/>
              </w:rPr>
              <w:t xml:space="preserve">Snyk, Trivy, OWASP ZAP</w:t>
            </w:r>
          </w:p>
        </w:tc>
        <w:tc>
          <w:tcPr>
            <w:tcW w:type="dxa" w:w="1600"/>
            <w:tcMar>
              <w:top w:type="dxa" w:w="40"/>
              <w:left w:type="dxa" w:w="60"/>
              <w:bottom w:type="dxa" w:w="40"/>
              <w:right w:type="dxa" w:w="60"/>
            </w:tcMar>
            <w:vAlign w:val="center"/>
          </w:tcPr>
          <w:p>
            <w:pPr>
              <w:jc w:val="center"/>
            </w:pPr>
            <w:r>
              <w:rPr>
                <w:b w:val="false"/>
                <w:bCs w:val="false"/>
                <w:color w:val="000000"/>
                <w:sz w:val="17"/>
                <w:szCs w:val="17"/>
              </w:rPr>
              <w:t xml:space="preserve">Every CI build + nightly</w:t>
            </w:r>
          </w:p>
        </w:tc>
        <w:tc>
          <w:tcPr>
            <w:tcW w:type="dxa" w:w="4680"/>
            <w:tcMar>
              <w:top w:type="dxa" w:w="40"/>
              <w:left w:type="dxa" w:w="60"/>
              <w:bottom w:type="dxa" w:w="40"/>
              <w:right w:type="dxa" w:w="60"/>
            </w:tcMar>
            <w:vAlign w:val="center"/>
          </w:tcPr>
          <w:p>
            <w:pPr>
              <w:jc w:val="left"/>
            </w:pPr>
            <w:r>
              <w:rPr>
                <w:b w:val="false"/>
                <w:bCs w:val="false"/>
                <w:color w:val="000000"/>
                <w:sz w:val="17"/>
                <w:szCs w:val="17"/>
              </w:rPr>
              <w:t xml:space="preserve">Scans dependencies, container images, and exposed APIs (cargo/customs data endpoints) for known vulnerabilities.</w:t>
            </w:r>
          </w:p>
        </w:tc>
      </w:tr>
      <w:tr>
        <w:tc>
          <w:tcPr>
            <w:tcW w:type="dxa" w:w="1700"/>
            <w:tcMar>
              <w:top w:type="dxa" w:w="40"/>
              <w:left w:type="dxa" w:w="60"/>
              <w:bottom w:type="dxa" w:w="40"/>
              <w:right w:type="dxa" w:w="60"/>
            </w:tcMar>
            <w:vAlign w:val="center"/>
          </w:tcPr>
          <w:p>
            <w:pPr>
              <w:jc w:val="left"/>
            </w:pPr>
            <w:r>
              <w:rPr>
                <w:b/>
                <w:bCs/>
                <w:color w:val="000000"/>
                <w:sz w:val="17"/>
                <w:szCs w:val="17"/>
              </w:rPr>
              <w:t xml:space="preserve">Regression Testing</w:t>
            </w:r>
          </w:p>
        </w:tc>
        <w:tc>
          <w:tcPr>
            <w:tcW w:type="dxa" w:w="2100"/>
            <w:tcMar>
              <w:top w:type="dxa" w:w="40"/>
              <w:left w:type="dxa" w:w="60"/>
              <w:bottom w:type="dxa" w:w="40"/>
              <w:right w:type="dxa" w:w="60"/>
            </w:tcMar>
            <w:vAlign w:val="center"/>
          </w:tcPr>
          <w:p>
            <w:pPr>
              <w:jc w:val="left"/>
            </w:pPr>
            <w:r>
              <w:rPr>
                <w:b w:val="false"/>
                <w:bCs w:val="false"/>
                <w:color w:val="000000"/>
                <w:sz w:val="17"/>
                <w:szCs w:val="17"/>
              </w:rPr>
              <w:t xml:space="preserve">Selenium / Cypress (automated UI suite)</w:t>
            </w:r>
          </w:p>
        </w:tc>
        <w:tc>
          <w:tcPr>
            <w:tcW w:type="dxa" w:w="1600"/>
            <w:tcMar>
              <w:top w:type="dxa" w:w="40"/>
              <w:left w:type="dxa" w:w="60"/>
              <w:bottom w:type="dxa" w:w="40"/>
              <w:right w:type="dxa" w:w="60"/>
            </w:tcMar>
            <w:vAlign w:val="center"/>
          </w:tcPr>
          <w:p>
            <w:pPr>
              <w:jc w:val="center"/>
            </w:pPr>
            <w:r>
              <w:rPr>
                <w:b w:val="false"/>
                <w:bCs w:val="false"/>
                <w:color w:val="000000"/>
                <w:sz w:val="17"/>
                <w:szCs w:val="17"/>
              </w:rPr>
              <w:t xml:space="preserve">Staging deployment</w:t>
            </w:r>
          </w:p>
        </w:tc>
        <w:tc>
          <w:tcPr>
            <w:tcW w:type="dxa" w:w="4680"/>
            <w:tcMar>
              <w:top w:type="dxa" w:w="40"/>
              <w:left w:type="dxa" w:w="60"/>
              <w:bottom w:type="dxa" w:w="40"/>
              <w:right w:type="dxa" w:w="60"/>
            </w:tcMar>
            <w:vAlign w:val="center"/>
          </w:tcPr>
          <w:p>
            <w:pPr>
              <w:jc w:val="left"/>
            </w:pPr>
            <w:r>
              <w:rPr>
                <w:b w:val="false"/>
                <w:bCs w:val="false"/>
                <w:color w:val="000000"/>
                <w:sz w:val="17"/>
                <w:szCs w:val="17"/>
              </w:rPr>
              <w:t xml:space="preserve">Confirms existing dashboard/reporting features still work correctly after new changes.</w:t>
            </w:r>
          </w:p>
        </w:tc>
      </w:tr>
      <w:tr>
        <w:tc>
          <w:tcPr>
            <w:tcW w:type="dxa" w:w="1700"/>
            <w:tcMar>
              <w:top w:type="dxa" w:w="40"/>
              <w:left w:type="dxa" w:w="60"/>
              <w:bottom w:type="dxa" w:w="40"/>
              <w:right w:type="dxa" w:w="60"/>
            </w:tcMar>
            <w:vAlign w:val="center"/>
          </w:tcPr>
          <w:p>
            <w:pPr>
              <w:jc w:val="left"/>
            </w:pPr>
            <w:r>
              <w:rPr>
                <w:b/>
                <w:bCs/>
                <w:color w:val="000000"/>
                <w:sz w:val="17"/>
                <w:szCs w:val="17"/>
              </w:rPr>
              <w:t xml:space="preserve">Performance / Load Testing</w:t>
            </w:r>
          </w:p>
        </w:tc>
        <w:tc>
          <w:tcPr>
            <w:tcW w:type="dxa" w:w="2100"/>
            <w:tcMar>
              <w:top w:type="dxa" w:w="40"/>
              <w:left w:type="dxa" w:w="60"/>
              <w:bottom w:type="dxa" w:w="40"/>
              <w:right w:type="dxa" w:w="60"/>
            </w:tcMar>
            <w:vAlign w:val="center"/>
          </w:tcPr>
          <w:p>
            <w:pPr>
              <w:jc w:val="left"/>
            </w:pPr>
            <w:r>
              <w:rPr>
                <w:b w:val="false"/>
                <w:bCs w:val="false"/>
                <w:color w:val="000000"/>
                <w:sz w:val="17"/>
                <w:szCs w:val="17"/>
              </w:rPr>
              <w:t xml:space="preserve">Apache JMeter / k6</w:t>
            </w:r>
          </w:p>
        </w:tc>
        <w:tc>
          <w:tcPr>
            <w:tcW w:type="dxa" w:w="1600"/>
            <w:tcMar>
              <w:top w:type="dxa" w:w="40"/>
              <w:left w:type="dxa" w:w="60"/>
              <w:bottom w:type="dxa" w:w="40"/>
              <w:right w:type="dxa" w:w="60"/>
            </w:tcMar>
            <w:vAlign w:val="center"/>
          </w:tcPr>
          <w:p>
            <w:pPr>
              <w:jc w:val="center"/>
            </w:pPr>
            <w:r>
              <w:rPr>
                <w:b w:val="false"/>
                <w:bCs w:val="false"/>
                <w:color w:val="000000"/>
                <w:sz w:val="17"/>
                <w:szCs w:val="17"/>
              </w:rPr>
              <w:t xml:space="preserve">Staging deployment</w:t>
            </w:r>
          </w:p>
        </w:tc>
        <w:tc>
          <w:tcPr>
            <w:tcW w:type="dxa" w:w="4680"/>
            <w:tcMar>
              <w:top w:type="dxa" w:w="40"/>
              <w:left w:type="dxa" w:w="60"/>
              <w:bottom w:type="dxa" w:w="40"/>
              <w:right w:type="dxa" w:w="60"/>
            </w:tcMar>
            <w:vAlign w:val="center"/>
          </w:tcPr>
          <w:p>
            <w:pPr>
              <w:jc w:val="left"/>
            </w:pPr>
            <w:r>
              <w:rPr>
                <w:b w:val="false"/>
                <w:bCs w:val="false"/>
                <w:color w:val="000000"/>
                <w:sz w:val="17"/>
                <w:szCs w:val="17"/>
              </w:rPr>
              <w:t xml:space="preserve">Validates NFR1 (5-second dashboard refresh) and NFR2 (5,000 concurrent cargo units) under simulated peak load.</w:t>
            </w:r>
          </w:p>
        </w:tc>
      </w:tr>
      <w:tr>
        <w:tc>
          <w:tcPr>
            <w:tcW w:type="dxa" w:w="1700"/>
            <w:tcMar>
              <w:top w:type="dxa" w:w="40"/>
              <w:left w:type="dxa" w:w="60"/>
              <w:bottom w:type="dxa" w:w="40"/>
              <w:right w:type="dxa" w:w="60"/>
            </w:tcMar>
            <w:vAlign w:val="center"/>
          </w:tcPr>
          <w:p>
            <w:pPr>
              <w:jc w:val="left"/>
            </w:pPr>
            <w:r>
              <w:rPr>
                <w:b/>
                <w:bCs/>
                <w:color w:val="000000"/>
                <w:sz w:val="17"/>
                <w:szCs w:val="17"/>
              </w:rPr>
              <w:t xml:space="preserve">User Acceptance Testing (UAT)</w:t>
            </w:r>
          </w:p>
        </w:tc>
        <w:tc>
          <w:tcPr>
            <w:tcW w:type="dxa" w:w="2100"/>
            <w:tcMar>
              <w:top w:type="dxa" w:w="40"/>
              <w:left w:type="dxa" w:w="60"/>
              <w:bottom w:type="dxa" w:w="40"/>
              <w:right w:type="dxa" w:w="60"/>
            </w:tcMar>
            <w:vAlign w:val="center"/>
          </w:tcPr>
          <w:p>
            <w:pPr>
              <w:jc w:val="left"/>
            </w:pPr>
            <w:r>
              <w:rPr>
                <w:b w:val="false"/>
                <w:bCs w:val="false"/>
                <w:color w:val="000000"/>
                <w:sz w:val="17"/>
                <w:szCs w:val="17"/>
              </w:rPr>
              <w:t xml:space="preserve">Manual + automated staging suite</w:t>
            </w:r>
          </w:p>
        </w:tc>
        <w:tc>
          <w:tcPr>
            <w:tcW w:type="dxa" w:w="1600"/>
            <w:tcMar>
              <w:top w:type="dxa" w:w="40"/>
              <w:left w:type="dxa" w:w="60"/>
              <w:bottom w:type="dxa" w:w="40"/>
              <w:right w:type="dxa" w:w="60"/>
            </w:tcMar>
            <w:vAlign w:val="center"/>
          </w:tcPr>
          <w:p>
            <w:pPr>
              <w:jc w:val="center"/>
            </w:pPr>
            <w:r>
              <w:rPr>
                <w:b w:val="false"/>
                <w:bCs w:val="false"/>
                <w:color w:val="000000"/>
                <w:sz w:val="17"/>
                <w:szCs w:val="17"/>
              </w:rPr>
              <w:t xml:space="preserve">Staging deployment</w:t>
            </w:r>
          </w:p>
        </w:tc>
        <w:tc>
          <w:tcPr>
            <w:tcW w:type="dxa" w:w="4680"/>
            <w:tcMar>
              <w:top w:type="dxa" w:w="40"/>
              <w:left w:type="dxa" w:w="60"/>
              <w:bottom w:type="dxa" w:w="40"/>
              <w:right w:type="dxa" w:w="60"/>
            </w:tcMar>
            <w:vAlign w:val="center"/>
          </w:tcPr>
          <w:p>
            <w:pPr>
              <w:jc w:val="left"/>
            </w:pPr>
            <w:r>
              <w:rPr>
                <w:b w:val="false"/>
                <w:bCs w:val="false"/>
                <w:color w:val="000000"/>
                <w:sz w:val="17"/>
                <w:szCs w:val="17"/>
              </w:rPr>
              <w:t xml:space="preserve">Port-operations stakeholders validate berth allocation and scheduling workflows before production release.</w:t>
            </w:r>
          </w:p>
        </w:tc>
      </w:tr>
      <w:tr>
        <w:tc>
          <w:tcPr>
            <w:tcW w:type="dxa" w:w="1700"/>
            <w:tcMar>
              <w:top w:type="dxa" w:w="40"/>
              <w:left w:type="dxa" w:w="60"/>
              <w:bottom w:type="dxa" w:w="40"/>
              <w:right w:type="dxa" w:w="60"/>
            </w:tcMar>
            <w:vAlign w:val="center"/>
          </w:tcPr>
          <w:p>
            <w:pPr>
              <w:jc w:val="left"/>
            </w:pPr>
            <w:r>
              <w:rPr>
                <w:b/>
                <w:bCs/>
                <w:color w:val="000000"/>
                <w:sz w:val="17"/>
                <w:szCs w:val="17"/>
              </w:rPr>
              <w:t xml:space="preserve">Smoke Testing</w:t>
            </w:r>
          </w:p>
        </w:tc>
        <w:tc>
          <w:tcPr>
            <w:tcW w:type="dxa" w:w="2100"/>
            <w:tcMar>
              <w:top w:type="dxa" w:w="40"/>
              <w:left w:type="dxa" w:w="60"/>
              <w:bottom w:type="dxa" w:w="40"/>
              <w:right w:type="dxa" w:w="60"/>
            </w:tcMar>
            <w:vAlign w:val="center"/>
          </w:tcPr>
          <w:p>
            <w:pPr>
              <w:jc w:val="left"/>
            </w:pPr>
            <w:r>
              <w:rPr>
                <w:b w:val="false"/>
                <w:bCs w:val="false"/>
                <w:color w:val="000000"/>
                <w:sz w:val="17"/>
                <w:szCs w:val="17"/>
              </w:rPr>
              <w:t xml:space="preserve">Automated post-deploy health checks</w:t>
            </w:r>
          </w:p>
        </w:tc>
        <w:tc>
          <w:tcPr>
            <w:tcW w:type="dxa" w:w="1600"/>
            <w:tcMar>
              <w:top w:type="dxa" w:w="40"/>
              <w:left w:type="dxa" w:w="60"/>
              <w:bottom w:type="dxa" w:w="40"/>
              <w:right w:type="dxa" w:w="60"/>
            </w:tcMar>
            <w:vAlign w:val="center"/>
          </w:tcPr>
          <w:p>
            <w:pPr>
              <w:jc w:val="center"/>
            </w:pPr>
            <w:r>
              <w:rPr>
                <w:b w:val="false"/>
                <w:bCs w:val="false"/>
                <w:color w:val="000000"/>
                <w:sz w:val="17"/>
                <w:szCs w:val="17"/>
              </w:rPr>
              <w:t xml:space="preserve">Every environment, post-deploy</w:t>
            </w:r>
          </w:p>
        </w:tc>
        <w:tc>
          <w:tcPr>
            <w:tcW w:type="dxa" w:w="4680"/>
            <w:tcMar>
              <w:top w:type="dxa" w:w="40"/>
              <w:left w:type="dxa" w:w="60"/>
              <w:bottom w:type="dxa" w:w="40"/>
              <w:right w:type="dxa" w:w="60"/>
            </w:tcMar>
            <w:vAlign w:val="center"/>
          </w:tcPr>
          <w:p>
            <w:pPr>
              <w:jc w:val="left"/>
            </w:pPr>
            <w:r>
              <w:rPr>
                <w:b w:val="false"/>
                <w:bCs w:val="false"/>
                <w:color w:val="000000"/>
                <w:sz w:val="17"/>
                <w:szCs w:val="17"/>
              </w:rPr>
              <w:t xml:space="preserve">Quick automated checks confirm core services (tracking, dashboard, documentation) are healthy immediately after deployment.</w:t>
            </w:r>
          </w:p>
        </w:tc>
      </w:tr>
    </w:tbl>
    <w:p>
      <w:pPr>
        <w:spacing w:after="120"/>
      </w:pPr>
    </w:p>
    <w:p>
      <w:pPr>
        <w:spacing w:after="120"/>
      </w:pPr>
      <w:r>
        <w:rPr>
          <w:sz w:val="21"/>
          <w:szCs w:val="21"/>
        </w:rPr>
        <w:t xml:space="preserve">A quality gate is enforced after the code-quality and security-scan stage: if code coverage falls below 80%, critical vulnerabilities are detected, or the SonarQube quality gate fails, the pipeline automatically halts and notifies the responsible developer, preventing the build from proceeding to packaging.</w:t>
      </w:r>
    </w:p>
    <w:p>
      <w:pPr>
        <w:pStyle w:val="Heading1"/>
        <w:pBdr>
          <w:bottom w:val="single" w:color="1F3864" w:sz="6" w:space="4"/>
        </w:pBdr>
        <w:spacing w:after="160" w:before="360"/>
      </w:pPr>
      <w:r>
        <w:rPr>
          <w:b/>
          <w:bCs/>
          <w:color w:val="1F3864"/>
          <w:sz w:val="28"/>
          <w:szCs w:val="28"/>
        </w:rPr>
        <w:t xml:space="preserve">6. Deployment, Security and Rollback Strategy</w:t>
      </w:r>
    </w:p>
    <w:p>
      <w:pPr>
        <w:spacing w:after="100" w:before="200"/>
      </w:pPr>
      <w:r>
        <w:rPr>
          <w:b/>
          <w:bCs/>
          <w:color w:val="B22222"/>
          <w:sz w:val="22"/>
          <w:szCs w:val="22"/>
        </w:rPr>
        <w:t xml:space="preserve">6.1 Deployment Environments</w:t>
      </w:r>
    </w:p>
    <w:tbl>
      <w:tblPr>
        <w:tblW w:type="dxa" w:w="10080"/>
        <w:tblBorders>
          <w:top w:val="single" w:color="8EA9DB" w:sz="4"/>
          <w:left w:val="single" w:color="8EA9DB" w:sz="4"/>
          <w:bottom w:val="single" w:color="8EA9DB" w:sz="4"/>
          <w:right w:val="single" w:color="8EA9DB" w:sz="4"/>
          <w:insideH w:val="single" w:color="8EA9DB" w:sz="4"/>
          <w:insideV w:val="single" w:color="8EA9DB" w:sz="4"/>
        </w:tblBorders>
      </w:tblPr>
      <w:tblGrid>
        <w:gridCol w:w="100"/>
        <w:gridCol w:w="100"/>
        <w:gridCol w:w="100"/>
        <w:gridCol w:w="100"/>
      </w:tblGrid>
      <w:tr>
        <w:trPr>
          <w:tblHeader/>
        </w:trPr>
        <w:tc>
          <w:tcPr>
            <w:tcW w:type="dxa" w:w="1500"/>
            <w:shd w:fill="1F3864" w:color="auto" w:val="clear"/>
            <w:tcMar>
              <w:top w:type="dxa" w:w="40"/>
              <w:left w:type="dxa" w:w="60"/>
              <w:bottom w:type="dxa" w:w="40"/>
              <w:right w:type="dxa" w:w="60"/>
            </w:tcMar>
            <w:vAlign w:val="center"/>
          </w:tcPr>
          <w:p>
            <w:pPr>
              <w:jc w:val="center"/>
            </w:pPr>
            <w:r>
              <w:rPr>
                <w:b/>
                <w:bCs/>
                <w:color w:val="FFFFFF"/>
                <w:sz w:val="18"/>
                <w:szCs w:val="18"/>
              </w:rPr>
              <w:t xml:space="preserve">Environment</w:t>
            </w:r>
          </w:p>
        </w:tc>
        <w:tc>
          <w:tcPr>
            <w:tcW w:type="dxa" w:w="2000"/>
            <w:shd w:fill="1F3864" w:color="auto" w:val="clear"/>
            <w:tcMar>
              <w:top w:type="dxa" w:w="40"/>
              <w:left w:type="dxa" w:w="60"/>
              <w:bottom w:type="dxa" w:w="40"/>
              <w:right w:type="dxa" w:w="60"/>
            </w:tcMar>
            <w:vAlign w:val="center"/>
          </w:tcPr>
          <w:p>
            <w:pPr>
              <w:jc w:val="center"/>
            </w:pPr>
            <w:r>
              <w:rPr>
                <w:b/>
                <w:bCs/>
                <w:color w:val="FFFFFF"/>
                <w:sz w:val="18"/>
                <w:szCs w:val="18"/>
              </w:rPr>
              <w:t xml:space="preserve">Deployment Trigger</w:t>
            </w:r>
          </w:p>
        </w:tc>
        <w:tc>
          <w:tcPr>
            <w:tcW w:type="dxa" w:w="2200"/>
            <w:shd w:fill="1F3864" w:color="auto" w:val="clear"/>
            <w:tcMar>
              <w:top w:type="dxa" w:w="40"/>
              <w:left w:type="dxa" w:w="60"/>
              <w:bottom w:type="dxa" w:w="40"/>
              <w:right w:type="dxa" w:w="60"/>
            </w:tcMar>
            <w:vAlign w:val="center"/>
          </w:tcPr>
          <w:p>
            <w:pPr>
              <w:jc w:val="center"/>
            </w:pPr>
            <w:r>
              <w:rPr>
                <w:b/>
                <w:bCs/>
                <w:color w:val="FFFFFF"/>
                <w:sz w:val="18"/>
                <w:szCs w:val="18"/>
              </w:rPr>
              <w:t xml:space="preserve">Validation Performed</w:t>
            </w:r>
          </w:p>
        </w:tc>
        <w:tc>
          <w:tcPr>
            <w:tcW w:type="dxa" w:w="4380"/>
            <w:shd w:fill="1F3864" w:color="auto" w:val="clear"/>
            <w:tcMar>
              <w:top w:type="dxa" w:w="40"/>
              <w:left w:type="dxa" w:w="60"/>
              <w:bottom w:type="dxa" w:w="40"/>
              <w:right w:type="dxa" w:w="60"/>
            </w:tcMar>
            <w:vAlign w:val="center"/>
          </w:tcPr>
          <w:p>
            <w:pPr>
              <w:jc w:val="center"/>
            </w:pPr>
            <w:r>
              <w:rPr>
                <w:b/>
                <w:bCs/>
                <w:color w:val="FFFFFF"/>
                <w:sz w:val="18"/>
                <w:szCs w:val="18"/>
              </w:rPr>
              <w:t xml:space="preserve">Characteristics</w:t>
            </w:r>
          </w:p>
        </w:tc>
      </w:tr>
      <w:tr>
        <w:tc>
          <w:tcPr>
            <w:tcW w:type="dxa" w:w="1500"/>
            <w:tcMar>
              <w:top w:type="dxa" w:w="40"/>
              <w:left w:type="dxa" w:w="60"/>
              <w:bottom w:type="dxa" w:w="40"/>
              <w:right w:type="dxa" w:w="60"/>
            </w:tcMar>
            <w:vAlign w:val="center"/>
          </w:tcPr>
          <w:p>
            <w:pPr>
              <w:jc w:val="left"/>
            </w:pPr>
            <w:r>
              <w:rPr>
                <w:b/>
                <w:bCs/>
                <w:color w:val="000000"/>
                <w:sz w:val="17"/>
                <w:szCs w:val="17"/>
              </w:rPr>
              <w:t xml:space="preserve">Development</w:t>
            </w:r>
          </w:p>
        </w:tc>
        <w:tc>
          <w:tcPr>
            <w:tcW w:type="dxa" w:w="2000"/>
            <w:tcMar>
              <w:top w:type="dxa" w:w="40"/>
              <w:left w:type="dxa" w:w="60"/>
              <w:bottom w:type="dxa" w:w="40"/>
              <w:right w:type="dxa" w:w="60"/>
            </w:tcMar>
            <w:vAlign w:val="center"/>
          </w:tcPr>
          <w:p>
            <w:pPr>
              <w:jc w:val="left"/>
            </w:pPr>
            <w:r>
              <w:rPr>
                <w:b w:val="false"/>
                <w:bCs w:val="false"/>
                <w:color w:val="000000"/>
                <w:sz w:val="17"/>
                <w:szCs w:val="17"/>
              </w:rPr>
              <w:t xml:space="preserve">Continuous, on every merge to develop branch</w:t>
            </w:r>
          </w:p>
        </w:tc>
        <w:tc>
          <w:tcPr>
            <w:tcW w:type="dxa" w:w="2200"/>
            <w:tcMar>
              <w:top w:type="dxa" w:w="40"/>
              <w:left w:type="dxa" w:w="60"/>
              <w:bottom w:type="dxa" w:w="40"/>
              <w:right w:type="dxa" w:w="60"/>
            </w:tcMar>
            <w:vAlign w:val="center"/>
          </w:tcPr>
          <w:p>
            <w:pPr>
              <w:jc w:val="left"/>
            </w:pPr>
            <w:r>
              <w:rPr>
                <w:b w:val="false"/>
                <w:bCs w:val="false"/>
                <w:color w:val="000000"/>
                <w:sz w:val="17"/>
                <w:szCs w:val="17"/>
              </w:rPr>
              <w:t xml:space="preserve">Automated unit/integration tests, smoke tests</w:t>
            </w:r>
          </w:p>
        </w:tc>
        <w:tc>
          <w:tcPr>
            <w:tcW w:type="dxa" w:w="4380"/>
            <w:tcMar>
              <w:top w:type="dxa" w:w="40"/>
              <w:left w:type="dxa" w:w="60"/>
              <w:bottom w:type="dxa" w:w="40"/>
              <w:right w:type="dxa" w:w="60"/>
            </w:tcMar>
            <w:vAlign w:val="center"/>
          </w:tcPr>
          <w:p>
            <w:pPr>
              <w:jc w:val="left"/>
            </w:pPr>
            <w:r>
              <w:rPr>
                <w:b w:val="false"/>
                <w:bCs w:val="false"/>
                <w:color w:val="000000"/>
                <w:sz w:val="17"/>
                <w:szCs w:val="17"/>
              </w:rPr>
              <w:t xml:space="preserve">Sandbox cloud namespace; synthetic/mock IoT data; no access to live vessel/customs systems.</w:t>
            </w:r>
          </w:p>
        </w:tc>
      </w:tr>
      <w:tr>
        <w:tc>
          <w:tcPr>
            <w:tcW w:type="dxa" w:w="1500"/>
            <w:tcMar>
              <w:top w:type="dxa" w:w="40"/>
              <w:left w:type="dxa" w:w="60"/>
              <w:bottom w:type="dxa" w:w="40"/>
              <w:right w:type="dxa" w:w="60"/>
            </w:tcMar>
            <w:vAlign w:val="center"/>
          </w:tcPr>
          <w:p>
            <w:pPr>
              <w:jc w:val="left"/>
            </w:pPr>
            <w:r>
              <w:rPr>
                <w:b/>
                <w:bCs/>
                <w:color w:val="000000"/>
                <w:sz w:val="17"/>
                <w:szCs w:val="17"/>
              </w:rPr>
              <w:t xml:space="preserve">Staging / UAT</w:t>
            </w:r>
          </w:p>
        </w:tc>
        <w:tc>
          <w:tcPr>
            <w:tcW w:type="dxa" w:w="2000"/>
            <w:tcMar>
              <w:top w:type="dxa" w:w="40"/>
              <w:left w:type="dxa" w:w="60"/>
              <w:bottom w:type="dxa" w:w="40"/>
              <w:right w:type="dxa" w:w="60"/>
            </w:tcMar>
            <w:vAlign w:val="center"/>
          </w:tcPr>
          <w:p>
            <w:pPr>
              <w:jc w:val="left"/>
            </w:pPr>
            <w:r>
              <w:rPr>
                <w:b w:val="false"/>
                <w:bCs w:val="false"/>
                <w:color w:val="000000"/>
                <w:sz w:val="17"/>
                <w:szCs w:val="17"/>
              </w:rPr>
              <w:t xml:space="preserve">On successful CI build + manual trigger</w:t>
            </w:r>
          </w:p>
        </w:tc>
        <w:tc>
          <w:tcPr>
            <w:tcW w:type="dxa" w:w="2200"/>
            <w:tcMar>
              <w:top w:type="dxa" w:w="40"/>
              <w:left w:type="dxa" w:w="60"/>
              <w:bottom w:type="dxa" w:w="40"/>
              <w:right w:type="dxa" w:w="60"/>
            </w:tcMar>
            <w:vAlign w:val="center"/>
          </w:tcPr>
          <w:p>
            <w:pPr>
              <w:jc w:val="left"/>
            </w:pPr>
            <w:r>
              <w:rPr>
                <w:b w:val="false"/>
                <w:bCs w:val="false"/>
                <w:color w:val="000000"/>
                <w:sz w:val="17"/>
                <w:szCs w:val="17"/>
              </w:rPr>
              <w:t xml:space="preserve">Regression, performance, security, UAT</w:t>
            </w:r>
          </w:p>
        </w:tc>
        <w:tc>
          <w:tcPr>
            <w:tcW w:type="dxa" w:w="4380"/>
            <w:tcMar>
              <w:top w:type="dxa" w:w="40"/>
              <w:left w:type="dxa" w:w="60"/>
              <w:bottom w:type="dxa" w:w="40"/>
              <w:right w:type="dxa" w:w="60"/>
            </w:tcMar>
            <w:vAlign w:val="center"/>
          </w:tcPr>
          <w:p>
            <w:pPr>
              <w:jc w:val="left"/>
            </w:pPr>
            <w:r>
              <w:rPr>
                <w:b w:val="false"/>
                <w:bCs w:val="false"/>
                <w:color w:val="000000"/>
                <w:sz w:val="17"/>
                <w:szCs w:val="17"/>
              </w:rPr>
              <w:t xml:space="preserve">Mirrors production architecture; anonymized/sanitized cargo data; restricted access to QA and port-operations reviewers.</w:t>
            </w:r>
          </w:p>
        </w:tc>
      </w:tr>
      <w:tr>
        <w:tc>
          <w:tcPr>
            <w:tcW w:type="dxa" w:w="1500"/>
            <w:tcMar>
              <w:top w:type="dxa" w:w="40"/>
              <w:left w:type="dxa" w:w="60"/>
              <w:bottom w:type="dxa" w:w="40"/>
              <w:right w:type="dxa" w:w="60"/>
            </w:tcMar>
            <w:vAlign w:val="center"/>
          </w:tcPr>
          <w:p>
            <w:pPr>
              <w:jc w:val="left"/>
            </w:pPr>
            <w:r>
              <w:rPr>
                <w:b/>
                <w:bCs/>
                <w:color w:val="000000"/>
                <w:sz w:val="17"/>
                <w:szCs w:val="17"/>
              </w:rPr>
              <w:t xml:space="preserve">Production</w:t>
            </w:r>
          </w:p>
        </w:tc>
        <w:tc>
          <w:tcPr>
            <w:tcW w:type="dxa" w:w="2000"/>
            <w:tcMar>
              <w:top w:type="dxa" w:w="40"/>
              <w:left w:type="dxa" w:w="60"/>
              <w:bottom w:type="dxa" w:w="40"/>
              <w:right w:type="dxa" w:w="60"/>
            </w:tcMar>
            <w:vAlign w:val="center"/>
          </w:tcPr>
          <w:p>
            <w:pPr>
              <w:jc w:val="left"/>
            </w:pPr>
            <w:r>
              <w:rPr>
                <w:b w:val="false"/>
                <w:bCs w:val="false"/>
                <w:color w:val="000000"/>
                <w:sz w:val="17"/>
                <w:szCs w:val="17"/>
              </w:rPr>
              <w:t xml:space="preserve">Manual approval gate after staging sign-off</w:t>
            </w:r>
          </w:p>
        </w:tc>
        <w:tc>
          <w:tcPr>
            <w:tcW w:type="dxa" w:w="2200"/>
            <w:tcMar>
              <w:top w:type="dxa" w:w="40"/>
              <w:left w:type="dxa" w:w="60"/>
              <w:bottom w:type="dxa" w:w="40"/>
              <w:right w:type="dxa" w:w="60"/>
            </w:tcMar>
            <w:vAlign w:val="center"/>
          </w:tcPr>
          <w:p>
            <w:pPr>
              <w:jc w:val="left"/>
            </w:pPr>
            <w:r>
              <w:rPr>
                <w:b w:val="false"/>
                <w:bCs w:val="false"/>
                <w:color w:val="000000"/>
                <w:sz w:val="17"/>
                <w:szCs w:val="17"/>
              </w:rPr>
              <w:t xml:space="preserve">Automated smoke tests + post-deploy monitoring</w:t>
            </w:r>
          </w:p>
        </w:tc>
        <w:tc>
          <w:tcPr>
            <w:tcW w:type="dxa" w:w="4380"/>
            <w:tcMar>
              <w:top w:type="dxa" w:w="40"/>
              <w:left w:type="dxa" w:w="60"/>
              <w:bottom w:type="dxa" w:w="40"/>
              <w:right w:type="dxa" w:w="60"/>
            </w:tcMar>
            <w:vAlign w:val="center"/>
          </w:tcPr>
          <w:p>
            <w:pPr>
              <w:jc w:val="left"/>
            </w:pPr>
            <w:r>
              <w:rPr>
                <w:b w:val="false"/>
                <w:bCs w:val="false"/>
                <w:color w:val="000000"/>
                <w:sz w:val="17"/>
                <w:szCs w:val="17"/>
              </w:rPr>
              <w:t xml:space="preserve">Live port environment; blue-green or canary rollout; full RBAC, encrypted data (NFR4), and 24/7 monitoring (NFR7).</w:t>
            </w:r>
          </w:p>
        </w:tc>
      </w:tr>
    </w:tbl>
    <w:p>
      <w:pPr>
        <w:spacing w:after="160"/>
      </w:pPr>
    </w:p>
    <w:p>
      <w:pPr>
        <w:spacing w:after="100" w:before="200"/>
      </w:pPr>
      <w:r>
        <w:rPr>
          <w:b/>
          <w:bCs/>
          <w:color w:val="B22222"/>
          <w:sz w:val="22"/>
          <w:szCs w:val="22"/>
        </w:rPr>
        <w:t xml:space="preserve">6.2 Deployment Strategy</w:t>
      </w:r>
    </w:p>
    <w:p>
      <w:pPr>
        <w:pStyle w:val="ListParagraph"/>
        <w:numPr>
          <w:ilvl w:val="0"/>
          <w:numId w:val="2"/>
        </w:numPr>
        <w:spacing w:after="60"/>
      </w:pPr>
      <w:r>
        <w:rPr>
          <w:sz w:val="21"/>
          <w:szCs w:val="21"/>
        </w:rPr>
        <w:t xml:space="preserve">Blue-Green Deployment for core services (dashboard, berth allocation): a new ("green") version is deployed alongside the live ("blue") version; traffic is switched only after health checks pass, enabling instant rollback by re-pointing traffic to "blue".</w:t>
      </w:r>
    </w:p>
    <w:p>
      <w:pPr>
        <w:pStyle w:val="ListParagraph"/>
        <w:numPr>
          <w:ilvl w:val="0"/>
          <w:numId w:val="2"/>
        </w:numPr>
        <w:spacing w:after="60"/>
      </w:pPr>
      <w:r>
        <w:rPr>
          <w:sz w:val="21"/>
          <w:szCs w:val="21"/>
        </w:rPr>
        <w:t xml:space="preserve">Canary Releases for the AI delay-prediction service: new model versions are rolled out to a small percentage of traffic first, with prediction-accuracy metrics monitored before a full rollout.</w:t>
      </w:r>
    </w:p>
    <w:p>
      <w:pPr>
        <w:pStyle w:val="ListParagraph"/>
        <w:numPr>
          <w:ilvl w:val="0"/>
          <w:numId w:val="2"/>
        </w:numPr>
        <w:spacing w:after="60"/>
      </w:pPr>
      <w:r>
        <w:rPr>
          <w:sz w:val="21"/>
          <w:szCs w:val="21"/>
        </w:rPr>
        <w:t xml:space="preserve">Zero-downtime rolling updates for stateless microservices via Kubernetes, ensuring continuous cargo-tracking availability (NFR7) during deployments.</w:t>
      </w:r>
    </w:p>
    <w:p>
      <w:pPr>
        <w:spacing w:after="160"/>
      </w:pPr>
    </w:p>
    <w:p>
      <w:pPr>
        <w:spacing w:after="100" w:before="200"/>
      </w:pPr>
      <w:r>
        <w:rPr>
          <w:b/>
          <w:bCs/>
          <w:color w:val="B22222"/>
          <w:sz w:val="22"/>
          <w:szCs w:val="22"/>
        </w:rPr>
        <w:t xml:space="preserve">6.3 Security Practices</w:t>
      </w:r>
    </w:p>
    <w:p>
      <w:pPr>
        <w:pStyle w:val="ListParagraph"/>
        <w:numPr>
          <w:ilvl w:val="0"/>
          <w:numId w:val="2"/>
        </w:numPr>
        <w:spacing w:after="60"/>
      </w:pPr>
      <w:r>
        <w:rPr>
          <w:sz w:val="21"/>
          <w:szCs w:val="21"/>
        </w:rPr>
        <w:t xml:space="preserve">Secrets (API keys, database credentials, IoT certificates) are stored in HashiCorp Vault / AWS Secrets Manager, never hard-coded in the pipeline or repository.</w:t>
      </w:r>
    </w:p>
    <w:p>
      <w:pPr>
        <w:pStyle w:val="ListParagraph"/>
        <w:numPr>
          <w:ilvl w:val="0"/>
          <w:numId w:val="2"/>
        </w:numPr>
        <w:spacing w:after="60"/>
      </w:pPr>
      <w:r>
        <w:rPr>
          <w:sz w:val="21"/>
          <w:szCs w:val="21"/>
        </w:rPr>
        <w:t xml:space="preserve">Role-Based Access Control (RBAC) restricts who can approve production deployments and access sensitive cargo/customs data.</w:t>
      </w:r>
    </w:p>
    <w:p>
      <w:pPr>
        <w:pStyle w:val="ListParagraph"/>
        <w:numPr>
          <w:ilvl w:val="0"/>
          <w:numId w:val="2"/>
        </w:numPr>
        <w:spacing w:after="60"/>
      </w:pPr>
      <w:r>
        <w:rPr>
          <w:sz w:val="21"/>
          <w:szCs w:val="21"/>
        </w:rPr>
        <w:t xml:space="preserve">All data in transit and at rest is encrypted using TLS 1.2+/AES-256, satisfying NFR4.</w:t>
      </w:r>
    </w:p>
    <w:p>
      <w:pPr>
        <w:pStyle w:val="ListParagraph"/>
        <w:numPr>
          <w:ilvl w:val="0"/>
          <w:numId w:val="2"/>
        </w:numPr>
        <w:spacing w:after="60"/>
      </w:pPr>
      <w:r>
        <w:rPr>
          <w:sz w:val="21"/>
          <w:szCs w:val="21"/>
        </w:rPr>
        <w:t xml:space="preserve">Container images are scanned for vulnerabilities (Trivy/Snyk) before being pushed to the registry, and only signed, verified images are permitted to deploy to production.</w:t>
      </w:r>
    </w:p>
    <w:p>
      <w:pPr>
        <w:pStyle w:val="ListParagraph"/>
        <w:numPr>
          <w:ilvl w:val="0"/>
          <w:numId w:val="2"/>
        </w:numPr>
        <w:spacing w:after="60"/>
      </w:pPr>
      <w:r>
        <w:rPr>
          <w:sz w:val="21"/>
          <w:szCs w:val="21"/>
        </w:rPr>
        <w:t xml:space="preserve">All pipeline actions (builds, approvals, deployments) are logged with timestamp and user ID to support auditability (NFR8).</w:t>
      </w:r>
    </w:p>
    <w:p>
      <w:pPr>
        <w:spacing w:after="160"/>
      </w:pPr>
    </w:p>
    <w:p>
      <w:pPr>
        <w:spacing w:after="100" w:before="200"/>
      </w:pPr>
      <w:r>
        <w:rPr>
          <w:b/>
          <w:bCs/>
          <w:color w:val="B22222"/>
          <w:sz w:val="22"/>
          <w:szCs w:val="22"/>
        </w:rPr>
        <w:t xml:space="preserve">6.4 Rollback Strategy</w:t>
      </w:r>
    </w:p>
    <w:p>
      <w:pPr>
        <w:pStyle w:val="ListParagraph"/>
        <w:numPr>
          <w:ilvl w:val="0"/>
          <w:numId w:val="2"/>
        </w:numPr>
        <w:spacing w:after="60"/>
      </w:pPr>
      <w:r>
        <w:rPr>
          <w:sz w:val="21"/>
          <w:szCs w:val="21"/>
        </w:rPr>
        <w:t xml:space="preserve">Automated health checks and monitoring (Prometheus/Grafana) continuously assess post-deployment service status.</w:t>
      </w:r>
    </w:p>
    <w:p>
      <w:pPr>
        <w:pStyle w:val="ListParagraph"/>
        <w:numPr>
          <w:ilvl w:val="0"/>
          <w:numId w:val="2"/>
        </w:numPr>
        <w:spacing w:after="60"/>
      </w:pPr>
      <w:r>
        <w:rPr>
          <w:sz w:val="21"/>
          <w:szCs w:val="21"/>
        </w:rPr>
        <w:t xml:space="preserve">If error rates, latency, or failed health checks exceed defined thresholds, the pipeline automatically triggers a rollback to the last known-good version (blue environment / previous canary baseline).</w:t>
      </w:r>
    </w:p>
    <w:p>
      <w:pPr>
        <w:pStyle w:val="ListParagraph"/>
        <w:numPr>
          <w:ilvl w:val="0"/>
          <w:numId w:val="2"/>
        </w:numPr>
        <w:spacing w:after="60"/>
      </w:pPr>
      <w:r>
        <w:rPr>
          <w:sz w:val="21"/>
          <w:szCs w:val="21"/>
        </w:rPr>
        <w:t xml:space="preserve">All rollbacks and failures immediately trigger notifications (Slack/MS Teams/Email) to the DevOps and port-operations teams for rapid incident response.</w:t>
      </w:r>
    </w:p>
    <w:p>
      <w:pPr>
        <w:pStyle w:val="ListParagraph"/>
        <w:numPr>
          <w:ilvl w:val="0"/>
          <w:numId w:val="2"/>
        </w:numPr>
        <w:spacing w:after="60"/>
      </w:pPr>
      <w:r>
        <w:rPr>
          <w:sz w:val="21"/>
          <w:szCs w:val="21"/>
        </w:rPr>
        <w:t xml:space="preserve">Database migrations are designed to be backward-compatible so that a service rollback does not break data integrity.</w:t>
      </w:r>
    </w:p>
    <w:p>
      <w:pPr>
        <w:pStyle w:val="Heading1"/>
        <w:pBdr>
          <w:bottom w:val="single" w:color="1F3864" w:sz="6" w:space="4"/>
        </w:pBdr>
        <w:spacing w:after="160" w:before="360"/>
      </w:pPr>
      <w:r>
        <w:rPr>
          <w:b/>
          <w:bCs/>
          <w:color w:val="1F3864"/>
          <w:sz w:val="28"/>
          <w:szCs w:val="28"/>
        </w:rPr>
        <w:t xml:space="preserve">7. Workflow: From Code Commit to Deployment</w:t>
      </w:r>
    </w:p>
    <w:p>
      <w:pPr>
        <w:spacing w:after="120"/>
      </w:pPr>
      <w:r>
        <w:rPr>
          <w:sz w:val="21"/>
          <w:szCs w:val="21"/>
        </w:rPr>
        <w:t xml:space="preserve">The following step-by-step walkthrough explains how a code change flows through the CI/CD pipeline shown in Section 3, from initial commit to a monitored production release:</w:t>
      </w:r>
    </w:p>
    <w:p>
      <w:pPr>
        <w:pStyle w:val="ListParagraph"/>
        <w:numPr>
          <w:ilvl w:val="0"/>
          <w:numId w:val="3"/>
        </w:numPr>
        <w:spacing w:after="100"/>
      </w:pPr>
      <w:r>
        <w:rPr>
          <w:sz w:val="20"/>
          <w:szCs w:val="20"/>
        </w:rPr>
        <w:t xml:space="preserve">A developer commits code (e.g., an update to the berth-allocation algorithm) and opens a pull request against the develop branch.</w:t>
      </w:r>
    </w:p>
    <w:p>
      <w:pPr>
        <w:pStyle w:val="ListParagraph"/>
        <w:numPr>
          <w:ilvl w:val="0"/>
          <w:numId w:val="3"/>
        </w:numPr>
        <w:spacing w:after="100"/>
      </w:pPr>
      <w:r>
        <w:rPr>
          <w:sz w:val="20"/>
          <w:szCs w:val="20"/>
        </w:rPr>
        <w:t xml:space="preserve">On merge, a webhook automatically triggers the CI pipeline in Jenkins/GitHub Actions.</w:t>
      </w:r>
    </w:p>
    <w:p>
      <w:pPr>
        <w:pStyle w:val="ListParagraph"/>
        <w:numPr>
          <w:ilvl w:val="0"/>
          <w:numId w:val="3"/>
        </w:numPr>
        <w:spacing w:after="100"/>
      </w:pPr>
      <w:r>
        <w:rPr>
          <w:sz w:val="20"/>
          <w:szCs w:val="20"/>
        </w:rPr>
        <w:t xml:space="preserve">The pipeline builds the affected microservice(s) and produces a build artifact/Docker image.</w:t>
      </w:r>
    </w:p>
    <w:p>
      <w:pPr>
        <w:pStyle w:val="ListParagraph"/>
        <w:numPr>
          <w:ilvl w:val="0"/>
          <w:numId w:val="3"/>
        </w:numPr>
        <w:spacing w:after="100"/>
      </w:pPr>
      <w:r>
        <w:rPr>
          <w:sz w:val="20"/>
          <w:szCs w:val="20"/>
        </w:rPr>
        <w:t xml:space="preserve">Unit and integration tests execute automatically; if any test fails, the pipeline stops and the developer is notified immediately.</w:t>
      </w:r>
    </w:p>
    <w:p>
      <w:pPr>
        <w:pStyle w:val="ListParagraph"/>
        <w:numPr>
          <w:ilvl w:val="0"/>
          <w:numId w:val="3"/>
        </w:numPr>
        <w:spacing w:after="100"/>
      </w:pPr>
      <w:r>
        <w:rPr>
          <w:sz w:val="20"/>
          <w:szCs w:val="20"/>
        </w:rPr>
        <w:t xml:space="preserve">SonarQube performs static code analysis and Snyk/Trivy scan for vulnerabilities; the build must pass the defined quality gate to proceed.</w:t>
      </w:r>
    </w:p>
    <w:p>
      <w:pPr>
        <w:pStyle w:val="ListParagraph"/>
        <w:numPr>
          <w:ilvl w:val="0"/>
          <w:numId w:val="3"/>
        </w:numPr>
        <w:spacing w:after="100"/>
      </w:pPr>
      <w:r>
        <w:rPr>
          <w:sz w:val="20"/>
          <w:szCs w:val="20"/>
        </w:rPr>
        <w:t xml:space="preserve">The validated build is containerized, tagged with a version number, and pushed to the container registry.</w:t>
      </w:r>
    </w:p>
    <w:p>
      <w:pPr>
        <w:pStyle w:val="ListParagraph"/>
        <w:numPr>
          <w:ilvl w:val="0"/>
          <w:numId w:val="3"/>
        </w:numPr>
        <w:spacing w:after="100"/>
      </w:pPr>
      <w:r>
        <w:rPr>
          <w:sz w:val="20"/>
          <w:szCs w:val="20"/>
        </w:rPr>
        <w:t xml:space="preserve">The image is automatically deployed to the Development environment and smoke-tested.</w:t>
      </w:r>
    </w:p>
    <w:p>
      <w:pPr>
        <w:pStyle w:val="ListParagraph"/>
        <w:numPr>
          <w:ilvl w:val="0"/>
          <w:numId w:val="3"/>
        </w:numPr>
        <w:spacing w:after="100"/>
      </w:pPr>
      <w:r>
        <w:rPr>
          <w:sz w:val="20"/>
          <w:szCs w:val="20"/>
        </w:rPr>
        <w:t xml:space="preserve">On success, the image is deployed to the Staging environment, where regression, performance, and UAT are run against production-like conditions.</w:t>
      </w:r>
    </w:p>
    <w:p>
      <w:pPr>
        <w:pStyle w:val="ListParagraph"/>
        <w:numPr>
          <w:ilvl w:val="0"/>
          <w:numId w:val="3"/>
        </w:numPr>
        <w:spacing w:after="100"/>
      </w:pPr>
      <w:r>
        <w:rPr>
          <w:sz w:val="20"/>
          <w:szCs w:val="20"/>
        </w:rPr>
        <w:t xml:space="preserve">A manual approval gate requires sign-off from the release manager/port-operations lead before production deployment.</w:t>
      </w:r>
    </w:p>
    <w:p>
      <w:pPr>
        <w:pStyle w:val="ListParagraph"/>
        <w:numPr>
          <w:ilvl w:val="0"/>
          <w:numId w:val="3"/>
        </w:numPr>
        <w:spacing w:after="100"/>
      </w:pPr>
      <w:r>
        <w:rPr>
          <w:sz w:val="20"/>
          <w:szCs w:val="20"/>
        </w:rPr>
        <w:t xml:space="preserve">Upon approval, the pipeline deploys to Production using a blue-green or canary strategy, minimizing risk to live port operations.</w:t>
      </w:r>
    </w:p>
    <w:p>
      <w:pPr>
        <w:pStyle w:val="ListParagraph"/>
        <w:numPr>
          <w:ilvl w:val="0"/>
          <w:numId w:val="3"/>
        </w:numPr>
        <w:spacing w:after="100"/>
      </w:pPr>
      <w:r>
        <w:rPr>
          <w:sz w:val="20"/>
          <w:szCs w:val="20"/>
        </w:rPr>
        <w:t xml:space="preserve">Post-deployment, monitoring tools track system health in real time; any anomaly triggers an automatic rollback and an alert notification to the DevOps team.</w:t>
      </w:r>
    </w:p>
    <w:p>
      <w:pPr>
        <w:pStyle w:val="Heading1"/>
        <w:pBdr>
          <w:bottom w:val="single" w:color="1F3864" w:sz="6" w:space="4"/>
        </w:pBdr>
        <w:spacing w:after="160" w:before="360"/>
      </w:pPr>
      <w:r>
        <w:rPr>
          <w:b/>
          <w:bCs/>
          <w:color w:val="1F3864"/>
          <w:sz w:val="28"/>
          <w:szCs w:val="28"/>
        </w:rPr>
        <w:t xml:space="preserve">8. Conclusion</w:t>
      </w:r>
    </w:p>
    <w:p>
      <w:pPr>
        <w:spacing w:after="120"/>
      </w:pPr>
      <w:r>
        <w:rPr>
          <w:sz w:val="21"/>
          <w:szCs w:val="21"/>
        </w:rPr>
        <w:t xml:space="preserve">This document presents a complete CI/CD pipeline design for the Intelligent Smart Port Operations and Cargo Management Platform, covering requirement analysis, a five-phase pipeline architecture (Source &amp; Commit, Continuous Integration, Packaging, Continuous Deployment, and Monitoring &amp; Feedback), justified tool selection, a multi-layered automated testing and quality-gate strategy, and a deployment approach spanning development, staging, and production environments with blue-green/canary rollout, strong security controls, and automated rollback. Together, these elements ensure the platform can deliver frequent, reliable, and secure updates to cargo tracking, berth allocation, and AI-based delay-prediction services with minimal disruption to live port operations.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EA9DB" w:sz="4" w:space="4"/>
      </w:pBdr>
      <w:jc w:val="center"/>
    </w:pPr>
    <w:r>
      <w:rPr>
        <w:b/>
        <w:bCs/>
        <w:color w:val="1F3864"/>
        <w:sz w:val="15"/>
        <w:szCs w:val="15"/>
      </w:rPr>
      <w:t xml:space="preserve">CSA1013 – Software Engineering | CO4 AT2 – CI/CD Pipeline Design | Spandana (192525160)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3914fda653c239229c2935fecb584165bb1920c.jpg"/><Relationship Id="rId10" Type="http://schemas.openxmlformats.org/officeDocument/2006/relationships/image" Target="media/fc18a35d812adfdff30526beefc466552ce86367.jpg"/><Relationship Id="rId11" Type="http://schemas.openxmlformats.org/officeDocument/2006/relationships/image" Target="media/19411278ff454365f79da29e4020bd564090cc7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2026-08-19T05:59:26.928Z</dcterms:created>
  <dcterms:modified xsi:type="dcterms:W3CDTF">2026-08-19T05:59:26.940Z</dcterms:modified>
</cp:coreProperties>
</file>

<file path=docProps/custom.xml><?xml version="1.0" encoding="utf-8"?>
<Properties xmlns="http://schemas.openxmlformats.org/officeDocument/2006/custom-properties" xmlns:vt="http://schemas.openxmlformats.org/officeDocument/2006/docPropsVTypes"/>
</file>