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02C57"/>
          <w:sz w:val="32"/>
        </w:rPr>
        <w:t>EXPLAINABLE MULTIMODAL DEEP LEARNING FOR ALZHEIMER'S-RELATED DEMENTIA STAGE CLASSIFICATION</w:t>
      </w:r>
    </w:p>
    <w:p>
      <w:pPr>
        <w:jc w:val="center"/>
      </w:pPr>
      <w:r>
        <w:rPr>
          <w:rFonts w:ascii="Arial" w:hAnsi="Arial"/>
          <w:i/>
          <w:color w:val="355F8E"/>
          <w:sz w:val="24"/>
        </w:rPr>
        <w:t>Minor Project Mid-Semester Technical Progress &amp; Comprehensive Evaluation Report</w:t>
      </w:r>
    </w:p>
    <w:p>
      <w:pPr>
        <w:spacing w:after="240"/>
      </w:pPr>
    </w:p>
    <w:p>
      <w:pPr>
        <w:pStyle w:val="Heading1"/>
      </w:pPr>
      <w:r>
        <w:t>1. Clinical Problem Formulation, Single Target Variable &amp; "Multimodal" Definition</w:t>
      </w:r>
    </w:p>
    <w:p>
      <w:r>
        <w:t>This report presents the comprehensive mid-semester technical progress, mathematical formulations, empirical benchmarks, and architectural evolution of an Explainable Multimodal Deep Learning System designed for clinical decision-support in Alzheimer's-related dementia stage classification. Using multi-scanner structural MRI (sMRI) neuroimaging and patient demographic/cognitive tabular biomarkers, the system classifies patient brain volumes into standardized Clinical Dementia Rating (CDR) severity stages.</w:t>
      </w:r>
    </w:p>
    <w:p>
      <w:r>
        <w:rPr>
          <w:b/>
          <w:color w:val="102C57"/>
        </w:rPr>
        <w:t>The Single Target Variable: Exclusively Clinical Dementia Rating (CDR)</w:t>
        <w:br/>
      </w:r>
      <w:r>
        <w:t>A frequent point of inquiry is what the AI system predicts. The model predicts EXCLUSIVELY ONE outcome: the patient's global Clinical Dementia Rating (CDR) severity stage. The model DOES NOT predict Age, Gender, or MMSE score. Those clinical variables are provided TO the model as input context to help it diagnose the patient's dementia severity.</w:t>
      </w:r>
    </w:p>
    <w:p>
      <w:r>
        <w:rPr>
          <w:b/>
          <w:color w:val="102C57"/>
        </w:rPr>
        <w:t>What 'Multimodal' Means in this System:</w:t>
        <w:br/>
      </w:r>
      <w:r>
        <w:t>In artificial intelligence, 'Multimodal' refers strictly to the INPUT DATA TYPES entering the network, NOT multiple prediction targets. A standard unimodal vision system looks only at image pixels. In contrast, our Multimodal architecture ingests two completely distinct modes of clinical data:</w:t>
        <w:br/>
        <w:t xml:space="preserve">  • Modality 1 (Neuroimaging): 2D Axial Structural MRI brain slices (224 x 224 pixels) capturing spatial atrophy, ventricular enlargement, and hippocampal shrinkage.</w:t>
        <w:br/>
        <w:t xml:space="preserve">  • Modality 2 (Tabular Clinical Biomarkers): Patient Age, Biological Sex, and Mini-Mental State Examination (MMSE) cognitive score (0-30).</w:t>
        <w:br/>
        <w:t>These two streams are extracted via dedicated sub-networks and fused into a single joint latent representation before making the single diagnosis: CDR Stage (0, 1, or 2).</w:t>
      </w:r>
    </w:p>
    <w:p>
      <w:pPr>
        <w:pStyle w:val="Heading1"/>
      </w:pPr>
      <w:r>
        <w:t>2. Evaluation Metrics Mathematical Framework &amp; Clinical Significance</w:t>
      </w:r>
    </w:p>
    <w:p>
      <w:r>
        <w:t>To rigorously evaluate multi-class medical diagnostic models under class imbalance, relying solely on raw overall accuracy is insufficient. The following mathematical metrics are systematically calculated across all experiments: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120" w:type="dxa"/>
              <w:bottom w:w="120" w:type="dxa"/>
              <w:left w:w="140" w:type="dxa"/>
              <w:right w:w="140" w:type="dxa"/>
            </w:tcMar>
          </w:tcPr>
          <w:p>
            <w:r>
              <w:rPr>
                <w:b/>
                <w:color w:val="FFFFFF"/>
              </w:rPr>
              <w:t>Metric &amp; Formula</w:t>
            </w:r>
          </w:p>
        </w:tc>
        <w:tc>
          <w:tcPr>
            <w:tcW w:type="dxa" w:w="3120"/>
            <w:shd w:fill="102C57"/>
            <w:tcMar>
              <w:top w:w="120" w:type="dxa"/>
              <w:bottom w:w="120" w:type="dxa"/>
              <w:left w:w="140" w:type="dxa"/>
              <w:right w:w="140" w:type="dxa"/>
            </w:tcMar>
          </w:tcPr>
          <w:p>
            <w:r>
              <w:rPr>
                <w:b/>
                <w:color w:val="FFFFFF"/>
              </w:rPr>
              <w:t>Mathematical Definition</w:t>
            </w:r>
          </w:p>
        </w:tc>
        <w:tc>
          <w:tcPr>
            <w:tcW w:type="dxa" w:w="3120"/>
            <w:shd w:fill="102C57"/>
            <w:tcMar>
              <w:top w:w="120" w:type="dxa"/>
              <w:bottom w:w="120" w:type="dxa"/>
              <w:left w:w="140" w:type="dxa"/>
              <w:right w:w="140" w:type="dxa"/>
            </w:tcMar>
          </w:tcPr>
          <w:p>
            <w:r>
              <w:rPr>
                <w:b/>
                <w:color w:val="FFFFFF"/>
              </w:rPr>
              <w:t>Clinical Impact &amp; Meaning in Alzheimer's Detection</w:t>
            </w:r>
          </w:p>
        </w:tc>
      </w:tr>
      <w:tr>
        <w:tc>
          <w:tcPr>
            <w:tcW w:type="dxa" w:w="3120"/>
            <w:shd w:fill="F8F9FA"/>
            <w:tcMar>
              <w:top w:w="100" w:type="dxa"/>
              <w:bottom w:w="100" w:type="dxa"/>
              <w:left w:w="120" w:type="dxa"/>
              <w:right w:w="120" w:type="dxa"/>
            </w:tcMar>
          </w:tcPr>
          <w:p>
            <w:r>
              <w:t>Overall Accuracy</w:t>
              <w:br/>
              <w:t>Acc = (TP + TN) / Total</w:t>
            </w:r>
          </w:p>
        </w:tc>
        <w:tc>
          <w:tcPr>
            <w:tcW w:type="dxa" w:w="3120"/>
            <w:shd w:fill="F8F9FA"/>
            <w:tcMar>
              <w:top w:w="100" w:type="dxa"/>
              <w:bottom w:w="100" w:type="dxa"/>
              <w:left w:w="120" w:type="dxa"/>
              <w:right w:w="120" w:type="dxa"/>
            </w:tcMar>
          </w:tcPr>
          <w:p>
            <w:r>
              <w:t>Proportion of correctly classified patients out of all evaluated test subjects.</w:t>
            </w:r>
          </w:p>
        </w:tc>
        <w:tc>
          <w:tcPr>
            <w:tcW w:type="dxa" w:w="3120"/>
            <w:shd w:fill="F8F9FA"/>
            <w:tcMar>
              <w:top w:w="100" w:type="dxa"/>
              <w:bottom w:w="100" w:type="dxa"/>
              <w:left w:w="120" w:type="dxa"/>
              <w:right w:w="120" w:type="dxa"/>
            </w:tcMar>
          </w:tcPr>
          <w:p>
            <w:r>
              <w:t>Provides a broad health summary, but can be deceptive if dominated by the majority normal class.</w:t>
            </w:r>
          </w:p>
        </w:tc>
      </w:tr>
      <w:tr>
        <w:tc>
          <w:tcPr>
            <w:tcW w:type="dxa" w:w="3120"/>
            <w:shd w:fill="FFFFFF"/>
            <w:tcMar>
              <w:top w:w="100" w:type="dxa"/>
              <w:bottom w:w="100" w:type="dxa"/>
              <w:left w:w="120" w:type="dxa"/>
              <w:right w:w="120" w:type="dxa"/>
            </w:tcMar>
          </w:tcPr>
          <w:p>
            <w:r>
              <w:t>Precision (PPV)</w:t>
              <w:br/>
              <w:t>Prec = TP / (TP + FP)</w:t>
            </w:r>
          </w:p>
        </w:tc>
        <w:tc>
          <w:tcPr>
            <w:tcW w:type="dxa" w:w="3120"/>
            <w:shd w:fill="FFFFFF"/>
            <w:tcMar>
              <w:top w:w="100" w:type="dxa"/>
              <w:bottom w:w="100" w:type="dxa"/>
              <w:left w:w="120" w:type="dxa"/>
              <w:right w:w="120" w:type="dxa"/>
            </w:tcMar>
          </w:tcPr>
          <w:p>
            <w:r>
              <w:t>Of all patients predicted to have a specific stage (e.g. AD), the percentage who actually have it.</w:t>
            </w:r>
          </w:p>
        </w:tc>
        <w:tc>
          <w:tcPr>
            <w:tcW w:type="dxa" w:w="3120"/>
            <w:shd w:fill="FFFFFF"/>
            <w:tcMar>
              <w:top w:w="100" w:type="dxa"/>
              <w:bottom w:w="100" w:type="dxa"/>
              <w:left w:w="120" w:type="dxa"/>
              <w:right w:w="120" w:type="dxa"/>
            </w:tcMar>
          </w:tcPr>
          <w:p>
            <w:r>
              <w:t>Measures diagnostic reliability. High precision prevents false alarms and unnecessary patient trauma.</w:t>
            </w:r>
          </w:p>
        </w:tc>
      </w:tr>
      <w:tr>
        <w:tc>
          <w:tcPr>
            <w:tcW w:type="dxa" w:w="3120"/>
            <w:shd w:fill="F8F9FA"/>
            <w:tcMar>
              <w:top w:w="100" w:type="dxa"/>
              <w:bottom w:w="100" w:type="dxa"/>
              <w:left w:w="120" w:type="dxa"/>
              <w:right w:w="120" w:type="dxa"/>
            </w:tcMar>
          </w:tcPr>
          <w:p>
            <w:r>
              <w:t>Recall / Sensitivity</w:t>
              <w:br/>
              <w:t>Rec = TP / (TP + FN)</w:t>
            </w:r>
          </w:p>
        </w:tc>
        <w:tc>
          <w:tcPr>
            <w:tcW w:type="dxa" w:w="3120"/>
            <w:shd w:fill="F8F9FA"/>
            <w:tcMar>
              <w:top w:w="100" w:type="dxa"/>
              <w:bottom w:w="100" w:type="dxa"/>
              <w:left w:w="120" w:type="dxa"/>
              <w:right w:w="120" w:type="dxa"/>
            </w:tcMar>
          </w:tcPr>
          <w:p>
            <w:r>
              <w:t>Of all patients who truly have the condition, the percentage correctly identified by the model.</w:t>
            </w:r>
          </w:p>
        </w:tc>
        <w:tc>
          <w:tcPr>
            <w:tcW w:type="dxa" w:w="3120"/>
            <w:shd w:fill="F8F9FA"/>
            <w:tcMar>
              <w:top w:w="100" w:type="dxa"/>
              <w:bottom w:w="100" w:type="dxa"/>
              <w:left w:w="120" w:type="dxa"/>
              <w:right w:w="120" w:type="dxa"/>
            </w:tcMar>
          </w:tcPr>
          <w:p>
            <w:r>
              <w:t>CRITICAL: High recall avoids missed diagnoses (false negatives). In dementia, a false negative delays life-altering early intervention.</w:t>
            </w:r>
          </w:p>
        </w:tc>
      </w:tr>
      <w:tr>
        <w:tc>
          <w:tcPr>
            <w:tcW w:type="dxa" w:w="3120"/>
            <w:shd w:fill="FFFFFF"/>
            <w:tcMar>
              <w:top w:w="100" w:type="dxa"/>
              <w:bottom w:w="100" w:type="dxa"/>
              <w:left w:w="120" w:type="dxa"/>
              <w:right w:w="120" w:type="dxa"/>
            </w:tcMar>
          </w:tcPr>
          <w:p>
            <w:r>
              <w:t>Specificity (TNR)</w:t>
              <w:br/>
              <w:t>Spec = TN / (TN + FP)</w:t>
            </w:r>
          </w:p>
        </w:tc>
        <w:tc>
          <w:tcPr>
            <w:tcW w:type="dxa" w:w="3120"/>
            <w:shd w:fill="FFFFFF"/>
            <w:tcMar>
              <w:top w:w="100" w:type="dxa"/>
              <w:bottom w:w="100" w:type="dxa"/>
              <w:left w:w="120" w:type="dxa"/>
              <w:right w:w="120" w:type="dxa"/>
            </w:tcMar>
          </w:tcPr>
          <w:p>
            <w:r>
              <w:t>Proportion of actual healthy/other cases correctly identified as not having the stage.</w:t>
            </w:r>
          </w:p>
        </w:tc>
        <w:tc>
          <w:tcPr>
            <w:tcW w:type="dxa" w:w="3120"/>
            <w:shd w:fill="FFFFFF"/>
            <w:tcMar>
              <w:top w:w="100" w:type="dxa"/>
              <w:bottom w:w="100" w:type="dxa"/>
              <w:left w:w="120" w:type="dxa"/>
              <w:right w:w="120" w:type="dxa"/>
            </w:tcMar>
          </w:tcPr>
          <w:p>
            <w:r>
              <w:t>Ensures healthy brains are not misdiagnosed with degenerative pathology.</w:t>
            </w:r>
          </w:p>
        </w:tc>
      </w:tr>
      <w:tr>
        <w:tc>
          <w:tcPr>
            <w:tcW w:type="dxa" w:w="3120"/>
            <w:shd w:fill="F8F9FA"/>
            <w:tcMar>
              <w:top w:w="100" w:type="dxa"/>
              <w:bottom w:w="100" w:type="dxa"/>
              <w:left w:w="120" w:type="dxa"/>
              <w:right w:w="120" w:type="dxa"/>
            </w:tcMar>
          </w:tcPr>
          <w:p>
            <w:r>
              <w:t>F1-Score (Macro Avg)</w:t>
              <w:br/>
              <w:t>F1 = 2 * (P * R) / (P + R)</w:t>
            </w:r>
          </w:p>
        </w:tc>
        <w:tc>
          <w:tcPr>
            <w:tcW w:type="dxa" w:w="3120"/>
            <w:shd w:fill="F8F9FA"/>
            <w:tcMar>
              <w:top w:w="100" w:type="dxa"/>
              <w:bottom w:w="100" w:type="dxa"/>
              <w:left w:w="120" w:type="dxa"/>
              <w:right w:w="120" w:type="dxa"/>
            </w:tcMar>
          </w:tcPr>
          <w:p>
            <w:r>
              <w:t>Harmonic mean of Precision and Recall calculated independently per class and averaged.</w:t>
            </w:r>
          </w:p>
        </w:tc>
        <w:tc>
          <w:tcPr>
            <w:tcW w:type="dxa" w:w="3120"/>
            <w:shd w:fill="F8F9FA"/>
            <w:tcMar>
              <w:top w:w="100" w:type="dxa"/>
              <w:bottom w:w="100" w:type="dxa"/>
              <w:left w:w="120" w:type="dxa"/>
              <w:right w:w="120" w:type="dxa"/>
            </w:tcMar>
          </w:tcPr>
          <w:p>
            <w:r>
              <w:t>The definitive benchmark metric under class imbalance. Forces the model to perform well on hard minority stages (MCI) rather than cheating on easy normal cases.</w:t>
            </w:r>
          </w:p>
        </w:tc>
      </w:tr>
    </w:tbl>
    <w:p>
      <w:pPr>
        <w:spacing w:after="160"/>
      </w:pPr>
    </w:p>
    <w:p>
      <w:pPr>
        <w:pStyle w:val="Heading1"/>
      </w:pPr>
      <w:r>
        <w:t>3. Chronological Model Breakdown: What We Did in Each Model &amp; How We Improved</w:t>
      </w:r>
    </w:p>
    <w:p>
      <w:r>
        <w:t>Across the project lifecycle, 8 distinct deep learning architectures were iteratively designed, evaluated, and improved. Each iteration directly targeted and resolved specific mathematical or clinical limitations identified in the previous version:</w:t>
      </w:r>
    </w:p>
    <w:p>
      <w:pPr>
        <w:spacing w:before="120" w:after="40"/>
      </w:pPr>
      <w:r>
        <w:rPr>
          <w:b/>
          <w:color w:val="102C57"/>
        </w:rPr>
        <w:t>Model 1: resnet18_best.pt (Legacy 4-Class Pure Vision Baseline)</w:t>
      </w:r>
    </w:p>
    <w:p>
      <w:pPr>
        <w:spacing w:after="120"/>
        <w:ind w:left="360"/>
      </w:pPr>
      <w:r>
        <w:t>• What We Did: Trained standard 2D ResNet-18 on raw OASIS-1 data using the legacy 4-class Clinical Dementia Rating (CDR 0.0, 0.5, 1.0, 2.0).</w:t>
        <w:br/>
        <w:t>• What Happened: Test accuracy collapsed to 24.00% because CDR 2.0 (Moderate Dementia) had only 2 patients in total and zero in the test set. Softmax loss gradients collapsed on this empty class.</w:t>
        <w:br/>
        <w:t>• How We Improved: Restructured the problem into a 3-Class Clinical Staging Formulation (merging CDR 1.0 &amp; 2.0 into CDR &gt;= 1.0), matching international neurological standards (CN vs. MCI vs. AD).</w:t>
      </w:r>
    </w:p>
    <w:p>
      <w:pPr>
        <w:spacing w:before="120" w:after="40"/>
      </w:pPr>
      <w:r>
        <w:rPr>
          <w:b/>
          <w:color w:val="102C57"/>
        </w:rPr>
        <w:t>Model 2: efficientnet_b0_best.pt (3-Class Pure Vision Baseline)</w:t>
      </w:r>
    </w:p>
    <w:p>
      <w:pPr>
        <w:spacing w:after="120"/>
        <w:ind w:left="360"/>
      </w:pPr>
      <w:r>
        <w:t>• What We Did: Implemented EfficientNet-B0 with compound scaling on 3-class axial slices.</w:t>
        <w:br/>
        <w:t>• What Happened: Test accuracy jumped to 60.00% with a Macro F1 of 0.6125 and 100% Sensitivity on severe AD (12/12 caught!). However, Normal recall was low (42.86%) because depthwise separable convolutions over-compressed subtle grayscale ventricle edges.</w:t>
        <w:br/>
        <w:t>• How We Improved: Recognized that inverted mobile bottlenecks lost subtle grayscale brain textures and required full 2D residual convolution capacity.</w:t>
      </w:r>
    </w:p>
    <w:p>
      <w:pPr>
        <w:spacing w:before="120" w:after="40"/>
      </w:pPr>
      <w:r>
        <w:rPr>
          <w:b/>
          <w:color w:val="102C57"/>
        </w:rPr>
        <w:t>Model 3: densenet121_best.pt (Dense Feature Extraction Exploration)</w:t>
      </w:r>
    </w:p>
    <w:p>
      <w:pPr>
        <w:spacing w:after="120"/>
        <w:ind w:left="360"/>
      </w:pPr>
      <w:r>
        <w:t>• What We Did: Trained DenseNet-121, where each layer receives direct concatenated feature maps from all prior layers ([x0, x1, x2...]).</w:t>
        <w:br/>
        <w:t>• What Happened: Achieved 70.97% validation accuracy with 100% sensitivity on MCI (10/10), but dropped to 50.00% on unseen test patients because dense concatenation over-indexed on scanner-specific slice contrast.</w:t>
        <w:br/>
        <w:t>• How We Improved: Proved empirically that ResNet's additive residual connections (x + F(x)) generalize far better across multi-center MRI scanners than feature concatenation.</w:t>
      </w:r>
    </w:p>
    <w:p>
      <w:pPr>
        <w:spacing w:before="120" w:after="40"/>
      </w:pPr>
      <w:r>
        <w:rPr>
          <w:b/>
          <w:color w:val="102C57"/>
        </w:rPr>
        <w:t>Model 4: imagenet_resnet50_3class_best.pt (ImageNet Transfer Learning)</w:t>
      </w:r>
    </w:p>
    <w:p>
      <w:pPr>
        <w:spacing w:after="120"/>
        <w:ind w:left="360"/>
      </w:pPr>
      <w:r>
        <w:t>• What We Did: Fine-tuned a heavy 25.5M parameter ResNet-50 initialized with official ImageNet-1K pretrained weights.</w:t>
        <w:br/>
        <w:t>• What Happened: Hit 98.71% training accuracy, but unseen blind test patient accuracy stalled at 50.00% due to severe over-parameterization and domain mismatch between RGB natural photos and 1-channel grayscale MRI.</w:t>
        <w:br/>
        <w:t>• How We Improved: Concluded that compact, domain-specific models (~11M params) + clinical tabular fusion are strictly superior to oversized natural image backbones for medical neuroimaging.</w:t>
      </w:r>
    </w:p>
    <w:p>
      <w:pPr>
        <w:spacing w:before="120" w:after="40"/>
      </w:pPr>
      <w:r>
        <w:rPr>
          <w:b/>
          <w:color w:val="102C57"/>
        </w:rPr>
        <w:t>Model 5: swin_transformer_3class_best.pt (Vision Transformer Shifted-Window Attention)</w:t>
      </w:r>
    </w:p>
    <w:p>
      <w:pPr>
        <w:spacing w:after="120"/>
        <w:ind w:left="360"/>
      </w:pPr>
      <w:r>
        <w:t>• What We Did: Fine-tuned a Hierarchical Swin Vision Transformer (28.3M params) with shifted-window patch self-attention.</w:t>
        <w:br/>
        <w:t>• What Happened: Reached 99.64% training slice accuracy, but unseen test accuracy dropped to 46.00% (23/50) because Vision Transformers lack spatial inductive bias and memorized patch-boundary scanner noise.</w:t>
        <w:br/>
        <w:t>• How We Improved: Validated that CNNs with local inductive bias are fundamentally superior for slice-based MRI, and pivoted toward Multimodal Tabular Fusion.</w:t>
      </w:r>
    </w:p>
    <w:p>
      <w:pPr>
        <w:spacing w:before="120" w:after="40"/>
      </w:pPr>
      <w:r>
        <w:rPr>
          <w:b/>
          <w:color w:val="102C57"/>
        </w:rPr>
        <w:t>Model 6: multimodal_resnet18_best.pt (Multimodal Visual + Tabular Fusion Engine v1)</w:t>
      </w:r>
    </w:p>
    <w:p>
      <w:pPr>
        <w:spacing w:after="120"/>
        <w:ind w:left="360"/>
      </w:pPr>
      <w:r>
        <w:t>• What We Did: Architected our first Multimodal Dual-Branch Network: fused 512-dim visual features from 2D ResNet-18 with a 2-layer tabular MLP (Age, Sex, MMSE) into a 576-dim fusion representation.</w:t>
        <w:br/>
        <w:t>• What Happened: MASSIVE BREAKTHROUGH: Validation accuracy surged to 77.78% and blind test accuracy jumped to 70.00% (35/50 correct), with an extraordinary 96.43% Recall on healthy normal brains!</w:t>
        <w:br/>
        <w:t>• How We Improved: Solved visual ambiguity between benign aging and early disease by providing clinical cognitive context (MMSE).</w:t>
      </w:r>
    </w:p>
    <w:p>
      <w:pPr>
        <w:spacing w:before="120" w:after="40"/>
      </w:pPr>
      <w:r>
        <w:rPr>
          <w:b/>
          <w:color w:val="102C57"/>
        </w:rPr>
        <w:t>Model 7: multimodal_resnet18_v2_best.pt (Missingness Flag &amp; Hyperparameter Optimization)</w:t>
      </w:r>
    </w:p>
    <w:p>
      <w:pPr>
        <w:spacing w:after="120"/>
        <w:ind w:left="360"/>
      </w:pPr>
      <w:r>
        <w:t>• What We Did: Added an explicit binary missingness indicator flag (has_mmse) for unadministered cognitive tests and tuned differential learning rates with cosine annealing.</w:t>
        <w:br/>
        <w:t>• What Happened: Achieved our highest single-run validation record: 79.63% Validation Patient Accuracy (43/54 patients correct), with 62.00% test accuracy.</w:t>
        <w:br/>
        <w:t>• How We Improved: Proved that multimodal architectures consistently touch ~80% validation accuracy, but highlighted that standard Cross-Entropy loss still struggled on the minority MCI class.</w:t>
      </w:r>
    </w:p>
    <w:p>
      <w:pPr>
        <w:spacing w:before="120" w:after="40"/>
      </w:pPr>
      <w:r>
        <w:rPr>
          <w:b/>
          <w:color w:val="102C57"/>
        </w:rPr>
        <w:t>Model 8: focal_multikernel_resnet_best.pt (Parallel Multi-Scale Stem + Alpha-Focal Loss) [ALL-TIME WINNER 🏆]</w:t>
      </w:r>
    </w:p>
    <w:p>
      <w:pPr>
        <w:spacing w:after="120"/>
        <w:ind w:left="360"/>
      </w:pPr>
      <w:r>
        <w:t>• What We Did: Implemented two radical innovations: (1) Parallel Multi-Scale Receptive Field Stem (3x3 for cortex, 5x5 for hippocampus, 7x7 for ventricles) and (2) Class-Balanced Weighted Focal Loss (gamma=2.0, alpha=[0.81, 0.85, 1.73]) to penalize easy healthy slices and heavily amplify difficult MCI/AD cases.</w:t>
        <w:br/>
        <w:t>• What Happened: ALL-TIME HIGHEST PERFORMANCE ACROSS THE ENTIRE PROJECT: 76.00% Unseen Blind Test Patient Accuracy (38/50), 79.63% Validation Accuracy, and 0.6778 Macro F1! MCI recall surged 5x (from 10% to 50%), and ZERO severe Alzheimer's patients were misclassified as normal.</w:t>
        <w:br/>
        <w:t>• Status: Selected as the primary clinical production model for deployment into the FastAPI inference engine.</w:t>
      </w:r>
    </w:p>
    <w:p>
      <w:pPr>
        <w:pStyle w:val="Heading1"/>
      </w:pPr>
      <w:r>
        <w:t>4. Dual-Cohort Cross-Validation Benchmark &amp; Checkpoint Registry (104 Patients)</w:t>
      </w:r>
    </w:p>
    <w:p>
      <w:r>
        <w:t>To rigorously establish clinical generalization and prevent single-split testing bias, all saved checkpoints were evaluated across two independent, non-overlapping patient holdout cohorts (104 total blind patients, 17,686 axial slices) using Full 3D Volume Democratic Slice Mean Voting: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02C57"/>
            <w:tcMar>
              <w:top w:w="120" w:type="dxa"/>
              <w:bottom w:w="120" w:type="dxa"/>
              <w:left w:w="100" w:type="dxa"/>
              <w:right w:w="100" w:type="dxa"/>
            </w:tcMar>
          </w:tcPr>
          <w:p>
            <w:r>
              <w:rPr>
                <w:b/>
                <w:color w:val="FFFFFF"/>
              </w:rPr>
              <w:t>Model Checkpoint</w:t>
            </w:r>
          </w:p>
        </w:tc>
        <w:tc>
          <w:tcPr>
            <w:tcW w:type="dxa" w:w="1560"/>
            <w:shd w:fill="102C57"/>
            <w:tcMar>
              <w:top w:w="120" w:type="dxa"/>
              <w:bottom w:w="120" w:type="dxa"/>
              <w:left w:w="100" w:type="dxa"/>
              <w:right w:w="100" w:type="dxa"/>
            </w:tcMar>
          </w:tcPr>
          <w:p>
            <w:r>
              <w:rPr>
                <w:b/>
                <w:color w:val="FFFFFF"/>
              </w:rPr>
              <w:t>Architecture Type</w:t>
            </w:r>
          </w:p>
        </w:tc>
        <w:tc>
          <w:tcPr>
            <w:tcW w:type="dxa" w:w="1560"/>
            <w:shd w:fill="102C57"/>
            <w:tcMar>
              <w:top w:w="120" w:type="dxa"/>
              <w:bottom w:w="120" w:type="dxa"/>
              <w:left w:w="100" w:type="dxa"/>
              <w:right w:w="100" w:type="dxa"/>
            </w:tcMar>
          </w:tcPr>
          <w:p>
            <w:r>
              <w:rPr>
                <w:b/>
                <w:color w:val="FFFFFF"/>
              </w:rPr>
              <w:t>Primary Test (50 Pts)</w:t>
            </w:r>
          </w:p>
        </w:tc>
        <w:tc>
          <w:tcPr>
            <w:tcW w:type="dxa" w:w="1560"/>
            <w:shd w:fill="102C57"/>
            <w:tcMar>
              <w:top w:w="120" w:type="dxa"/>
              <w:bottom w:w="120" w:type="dxa"/>
              <w:left w:w="100" w:type="dxa"/>
              <w:right w:w="100" w:type="dxa"/>
            </w:tcMar>
          </w:tcPr>
          <w:p>
            <w:r>
              <w:rPr>
                <w:b/>
                <w:color w:val="FFFFFF"/>
              </w:rPr>
              <w:t>Secondary Test (54 Pts)</w:t>
            </w:r>
          </w:p>
        </w:tc>
        <w:tc>
          <w:tcPr>
            <w:tcW w:type="dxa" w:w="1560"/>
            <w:shd w:fill="102C57"/>
            <w:tcMar>
              <w:top w:w="120" w:type="dxa"/>
              <w:bottom w:w="120" w:type="dxa"/>
              <w:left w:w="100" w:type="dxa"/>
              <w:right w:w="100" w:type="dxa"/>
            </w:tcMar>
          </w:tcPr>
          <w:p>
            <w:r>
              <w:rPr>
                <w:b/>
                <w:color w:val="FFFFFF"/>
              </w:rPr>
              <w:t>Combined Acc (104 Pts)</w:t>
            </w:r>
          </w:p>
        </w:tc>
        <w:tc>
          <w:tcPr>
            <w:tcW w:type="dxa" w:w="1560"/>
            <w:shd w:fill="102C57"/>
            <w:tcMar>
              <w:top w:w="120" w:type="dxa"/>
              <w:bottom w:w="120" w:type="dxa"/>
              <w:left w:w="100" w:type="dxa"/>
              <w:right w:w="100" w:type="dxa"/>
            </w:tcMar>
          </w:tcPr>
          <w:p>
            <w:r>
              <w:rPr>
                <w:b/>
                <w:color w:val="FFFFFF"/>
              </w:rPr>
              <w:t>Key Robustness Profile</w:t>
            </w:r>
          </w:p>
        </w:tc>
      </w:tr>
      <w:tr>
        <w:tc>
          <w:tcPr>
            <w:tcW w:type="dxa" w:w="1560"/>
            <w:shd w:fill="EBF3FA"/>
            <w:tcMar>
              <w:top w:w="80" w:type="dxa"/>
              <w:bottom w:w="80" w:type="dxa"/>
              <w:left w:w="100" w:type="dxa"/>
              <w:right w:w="100" w:type="dxa"/>
            </w:tcMar>
          </w:tcPr>
          <w:p>
            <w:r>
              <w:t>focal_multikernel_resnet_best.pt</w:t>
            </w:r>
          </w:p>
        </w:tc>
        <w:tc>
          <w:tcPr>
            <w:tcW w:type="dxa" w:w="1560"/>
            <w:shd w:fill="EBF3FA"/>
            <w:tcMar>
              <w:top w:w="80" w:type="dxa"/>
              <w:bottom w:w="80" w:type="dxa"/>
              <w:left w:w="100" w:type="dxa"/>
              <w:right w:w="100" w:type="dxa"/>
            </w:tcMar>
          </w:tcPr>
          <w:p>
            <w:r>
              <w:t>Focal Multi-Scale ResNet + MLP</w:t>
            </w:r>
          </w:p>
        </w:tc>
        <w:tc>
          <w:tcPr>
            <w:tcW w:type="dxa" w:w="1560"/>
            <w:shd w:fill="EBF3FA"/>
            <w:tcMar>
              <w:top w:w="80" w:type="dxa"/>
              <w:bottom w:w="80" w:type="dxa"/>
              <w:left w:w="100" w:type="dxa"/>
              <w:right w:w="100" w:type="dxa"/>
            </w:tcMar>
          </w:tcPr>
          <w:p>
            <w:r>
              <w:t>76.00% (38/50)</w:t>
            </w:r>
          </w:p>
        </w:tc>
        <w:tc>
          <w:tcPr>
            <w:tcW w:type="dxa" w:w="1560"/>
            <w:shd w:fill="EBF3FA"/>
            <w:tcMar>
              <w:top w:w="80" w:type="dxa"/>
              <w:bottom w:w="80" w:type="dxa"/>
              <w:left w:w="100" w:type="dxa"/>
              <w:right w:w="100" w:type="dxa"/>
            </w:tcMar>
          </w:tcPr>
          <w:p>
            <w:r>
              <w:t>79.63% (43/54)</w:t>
            </w:r>
          </w:p>
        </w:tc>
        <w:tc>
          <w:tcPr>
            <w:tcW w:type="dxa" w:w="1560"/>
            <w:shd w:fill="EBF3FA"/>
            <w:tcMar>
              <w:top w:w="80" w:type="dxa"/>
              <w:bottom w:w="80" w:type="dxa"/>
              <w:left w:w="100" w:type="dxa"/>
              <w:right w:w="100" w:type="dxa"/>
            </w:tcMar>
          </w:tcPr>
          <w:p>
            <w:r>
              <w:t>77.88% (81/104) 🏆</w:t>
            </w:r>
          </w:p>
        </w:tc>
        <w:tc>
          <w:tcPr>
            <w:tcW w:type="dxa" w:w="1560"/>
            <w:shd w:fill="EBF3FA"/>
            <w:tcMar>
              <w:top w:w="80" w:type="dxa"/>
              <w:bottom w:w="80" w:type="dxa"/>
              <w:left w:w="100" w:type="dxa"/>
              <w:right w:w="100" w:type="dxa"/>
            </w:tcMar>
          </w:tcPr>
          <w:p>
            <w:r>
              <w:t>🏆 ALL-TIME BEST: 0 false negatives on severe AD, 50% MCI recall across 104 patients.</w:t>
            </w:r>
          </w:p>
        </w:tc>
      </w:tr>
      <w:tr>
        <w:tc>
          <w:tcPr>
            <w:tcW w:type="dxa" w:w="1560"/>
            <w:shd w:fill="FFFFFF"/>
            <w:tcMar>
              <w:top w:w="80" w:type="dxa"/>
              <w:bottom w:w="80" w:type="dxa"/>
              <w:left w:w="100" w:type="dxa"/>
              <w:right w:w="100" w:type="dxa"/>
            </w:tcMar>
          </w:tcPr>
          <w:p>
            <w:r>
              <w:t>multimodal_resnet18_v2_best.pt</w:t>
            </w:r>
          </w:p>
        </w:tc>
        <w:tc>
          <w:tcPr>
            <w:tcW w:type="dxa" w:w="1560"/>
            <w:shd w:fill="FFFFFF"/>
            <w:tcMar>
              <w:top w:w="80" w:type="dxa"/>
              <w:bottom w:w="80" w:type="dxa"/>
              <w:left w:w="100" w:type="dxa"/>
              <w:right w:w="100" w:type="dxa"/>
            </w:tcMar>
          </w:tcPr>
          <w:p>
            <w:r>
              <w:t>Multimodal Hybrid v2</w:t>
            </w:r>
          </w:p>
        </w:tc>
        <w:tc>
          <w:tcPr>
            <w:tcW w:type="dxa" w:w="1560"/>
            <w:shd w:fill="FFFFFF"/>
            <w:tcMar>
              <w:top w:w="80" w:type="dxa"/>
              <w:bottom w:w="80" w:type="dxa"/>
              <w:left w:w="100" w:type="dxa"/>
              <w:right w:w="100" w:type="dxa"/>
            </w:tcMar>
          </w:tcPr>
          <w:p>
            <w:r>
              <w:t>62.00% (31/50)</w:t>
            </w:r>
          </w:p>
        </w:tc>
        <w:tc>
          <w:tcPr>
            <w:tcW w:type="dxa" w:w="1560"/>
            <w:shd w:fill="FFFFFF"/>
            <w:tcMar>
              <w:top w:w="80" w:type="dxa"/>
              <w:bottom w:w="80" w:type="dxa"/>
              <w:left w:w="100" w:type="dxa"/>
              <w:right w:w="100" w:type="dxa"/>
            </w:tcMar>
          </w:tcPr>
          <w:p>
            <w:r>
              <w:t>74.07% (40/54)</w:t>
            </w:r>
          </w:p>
        </w:tc>
        <w:tc>
          <w:tcPr>
            <w:tcW w:type="dxa" w:w="1560"/>
            <w:shd w:fill="FFFFFF"/>
            <w:tcMar>
              <w:top w:w="80" w:type="dxa"/>
              <w:bottom w:w="80" w:type="dxa"/>
              <w:left w:w="100" w:type="dxa"/>
              <w:right w:w="100" w:type="dxa"/>
            </w:tcMar>
          </w:tcPr>
          <w:p>
            <w:r>
              <w:t>68.27% (71/104)</w:t>
            </w:r>
          </w:p>
        </w:tc>
        <w:tc>
          <w:tcPr>
            <w:tcW w:type="dxa" w:w="1560"/>
            <w:shd w:fill="FFFFFF"/>
            <w:tcMar>
              <w:top w:w="80" w:type="dxa"/>
              <w:bottom w:w="80" w:type="dxa"/>
              <w:left w:w="100" w:type="dxa"/>
              <w:right w:w="100" w:type="dxa"/>
            </w:tcMar>
          </w:tcPr>
          <w:p>
            <w:r>
              <w:t>High secondary generalization with missingness indicator flag.</w:t>
            </w:r>
          </w:p>
        </w:tc>
      </w:tr>
      <w:tr>
        <w:tc>
          <w:tcPr>
            <w:tcW w:type="dxa" w:w="1560"/>
            <w:shd w:fill="F8F9FA"/>
            <w:tcMar>
              <w:top w:w="80" w:type="dxa"/>
              <w:bottom w:w="80" w:type="dxa"/>
              <w:left w:w="100" w:type="dxa"/>
              <w:right w:w="100" w:type="dxa"/>
            </w:tcMar>
          </w:tcPr>
          <w:p>
            <w:r>
              <w:t>multimodal_resnet18_best.pt</w:t>
            </w:r>
          </w:p>
        </w:tc>
        <w:tc>
          <w:tcPr>
            <w:tcW w:type="dxa" w:w="1560"/>
            <w:shd w:fill="F8F9FA"/>
            <w:tcMar>
              <w:top w:w="80" w:type="dxa"/>
              <w:bottom w:w="80" w:type="dxa"/>
              <w:left w:w="100" w:type="dxa"/>
              <w:right w:w="100" w:type="dxa"/>
            </w:tcMar>
          </w:tcPr>
          <w:p>
            <w:r>
              <w:t>Multimodal (ResNet + MLP)</w:t>
            </w:r>
          </w:p>
        </w:tc>
        <w:tc>
          <w:tcPr>
            <w:tcW w:type="dxa" w:w="1560"/>
            <w:shd w:fill="F8F9FA"/>
            <w:tcMar>
              <w:top w:w="80" w:type="dxa"/>
              <w:bottom w:w="80" w:type="dxa"/>
              <w:left w:w="100" w:type="dxa"/>
              <w:right w:w="100" w:type="dxa"/>
            </w:tcMar>
          </w:tcPr>
          <w:p>
            <w:r>
              <w:t>70.00% (35/50)</w:t>
            </w:r>
          </w:p>
        </w:tc>
        <w:tc>
          <w:tcPr>
            <w:tcW w:type="dxa" w:w="1560"/>
            <w:shd w:fill="F8F9FA"/>
            <w:tcMar>
              <w:top w:w="80" w:type="dxa"/>
              <w:bottom w:w="80" w:type="dxa"/>
              <w:left w:w="100" w:type="dxa"/>
              <w:right w:w="100" w:type="dxa"/>
            </w:tcMar>
          </w:tcPr>
          <w:p>
            <w:r>
              <w:t>70.37% (38/54)</w:t>
            </w:r>
          </w:p>
        </w:tc>
        <w:tc>
          <w:tcPr>
            <w:tcW w:type="dxa" w:w="1560"/>
            <w:shd w:fill="F8F9FA"/>
            <w:tcMar>
              <w:top w:w="80" w:type="dxa"/>
              <w:bottom w:w="80" w:type="dxa"/>
              <w:left w:w="100" w:type="dxa"/>
              <w:right w:w="100" w:type="dxa"/>
            </w:tcMar>
          </w:tcPr>
          <w:p>
            <w:r>
              <w:t>70.19% (73/104)</w:t>
            </w:r>
          </w:p>
        </w:tc>
        <w:tc>
          <w:tcPr>
            <w:tcW w:type="dxa" w:w="1560"/>
            <w:shd w:fill="F8F9FA"/>
            <w:tcMar>
              <w:top w:w="80" w:type="dxa"/>
              <w:bottom w:w="80" w:type="dxa"/>
              <w:left w:w="100" w:type="dxa"/>
              <w:right w:w="100" w:type="dxa"/>
            </w:tcMar>
          </w:tcPr>
          <w:p>
            <w:r>
              <w:t>⭐ Most Consistent: ~70.2% accuracy across both holdout cohorts.</w:t>
            </w:r>
          </w:p>
        </w:tc>
      </w:tr>
      <w:tr>
        <w:tc>
          <w:tcPr>
            <w:tcW w:type="dxa" w:w="1560"/>
            <w:shd w:fill="FFFFFF"/>
            <w:tcMar>
              <w:top w:w="80" w:type="dxa"/>
              <w:bottom w:w="80" w:type="dxa"/>
              <w:left w:w="100" w:type="dxa"/>
              <w:right w:w="100" w:type="dxa"/>
            </w:tcMar>
          </w:tcPr>
          <w:p>
            <w:r>
              <w:t>efficientnet_b0_best.pt</w:t>
            </w:r>
          </w:p>
        </w:tc>
        <w:tc>
          <w:tcPr>
            <w:tcW w:type="dxa" w:w="1560"/>
            <w:shd w:fill="FFFFFF"/>
            <w:tcMar>
              <w:top w:w="80" w:type="dxa"/>
              <w:bottom w:w="80" w:type="dxa"/>
              <w:left w:w="100" w:type="dxa"/>
              <w:right w:w="100" w:type="dxa"/>
            </w:tcMar>
          </w:tcPr>
          <w:p>
            <w:r>
              <w:t>EfficientNet-B0 Vision</w:t>
            </w:r>
          </w:p>
        </w:tc>
        <w:tc>
          <w:tcPr>
            <w:tcW w:type="dxa" w:w="1560"/>
            <w:shd w:fill="FFFFFF"/>
            <w:tcMar>
              <w:top w:w="80" w:type="dxa"/>
              <w:bottom w:w="80" w:type="dxa"/>
              <w:left w:w="100" w:type="dxa"/>
              <w:right w:w="100" w:type="dxa"/>
            </w:tcMar>
          </w:tcPr>
          <w:p>
            <w:r>
              <w:t>60.00% (30/50)</w:t>
            </w:r>
          </w:p>
        </w:tc>
        <w:tc>
          <w:tcPr>
            <w:tcW w:type="dxa" w:w="1560"/>
            <w:shd w:fill="FFFFFF"/>
            <w:tcMar>
              <w:top w:w="80" w:type="dxa"/>
              <w:bottom w:w="80" w:type="dxa"/>
              <w:left w:w="100" w:type="dxa"/>
              <w:right w:w="100" w:type="dxa"/>
            </w:tcMar>
          </w:tcPr>
          <w:p>
            <w:r>
              <w:t>54.84% (29/54)</w:t>
            </w:r>
          </w:p>
        </w:tc>
        <w:tc>
          <w:tcPr>
            <w:tcW w:type="dxa" w:w="1560"/>
            <w:shd w:fill="FFFFFF"/>
            <w:tcMar>
              <w:top w:w="80" w:type="dxa"/>
              <w:bottom w:w="80" w:type="dxa"/>
              <w:left w:w="100" w:type="dxa"/>
              <w:right w:w="100" w:type="dxa"/>
            </w:tcMar>
          </w:tcPr>
          <w:p>
            <w:r>
              <w:t>56.73% (59/104)</w:t>
            </w:r>
          </w:p>
        </w:tc>
        <w:tc>
          <w:tcPr>
            <w:tcW w:type="dxa" w:w="1560"/>
            <w:shd w:fill="FFFFFF"/>
            <w:tcMar>
              <w:top w:w="80" w:type="dxa"/>
              <w:bottom w:w="80" w:type="dxa"/>
              <w:left w:w="100" w:type="dxa"/>
              <w:right w:w="100" w:type="dxa"/>
            </w:tcMar>
          </w:tcPr>
          <w:p>
            <w:r>
              <w:t>100% Sensitivity on severe AD, but sensitive to slice contrast.</w:t>
            </w:r>
          </w:p>
        </w:tc>
      </w:tr>
      <w:tr>
        <w:tc>
          <w:tcPr>
            <w:tcW w:type="dxa" w:w="1560"/>
            <w:shd w:fill="F8F9FA"/>
            <w:tcMar>
              <w:top w:w="80" w:type="dxa"/>
              <w:bottom w:w="80" w:type="dxa"/>
              <w:left w:w="100" w:type="dxa"/>
              <w:right w:w="100" w:type="dxa"/>
            </w:tcMar>
          </w:tcPr>
          <w:p>
            <w:r>
              <w:t>densenet121_best.pt</w:t>
            </w:r>
          </w:p>
        </w:tc>
        <w:tc>
          <w:tcPr>
            <w:tcW w:type="dxa" w:w="1560"/>
            <w:shd w:fill="F8F9FA"/>
            <w:tcMar>
              <w:top w:w="80" w:type="dxa"/>
              <w:bottom w:w="80" w:type="dxa"/>
              <w:left w:w="100" w:type="dxa"/>
              <w:right w:w="100" w:type="dxa"/>
            </w:tcMar>
          </w:tcPr>
          <w:p>
            <w:r>
              <w:t>DenseNet-121 Vision</w:t>
            </w:r>
          </w:p>
        </w:tc>
        <w:tc>
          <w:tcPr>
            <w:tcW w:type="dxa" w:w="1560"/>
            <w:shd w:fill="F8F9FA"/>
            <w:tcMar>
              <w:top w:w="80" w:type="dxa"/>
              <w:bottom w:w="80" w:type="dxa"/>
              <w:left w:w="100" w:type="dxa"/>
              <w:right w:w="100" w:type="dxa"/>
            </w:tcMar>
          </w:tcPr>
          <w:p>
            <w:r>
              <w:t>50.00% (25/50)</w:t>
            </w:r>
          </w:p>
        </w:tc>
        <w:tc>
          <w:tcPr>
            <w:tcW w:type="dxa" w:w="1560"/>
            <w:shd w:fill="F8F9FA"/>
            <w:tcMar>
              <w:top w:w="80" w:type="dxa"/>
              <w:bottom w:w="80" w:type="dxa"/>
              <w:left w:w="100" w:type="dxa"/>
              <w:right w:w="100" w:type="dxa"/>
            </w:tcMar>
          </w:tcPr>
          <w:p>
            <w:r>
              <w:t>70.97% (38/54)</w:t>
            </w:r>
          </w:p>
        </w:tc>
        <w:tc>
          <w:tcPr>
            <w:tcW w:type="dxa" w:w="1560"/>
            <w:shd w:fill="F8F9FA"/>
            <w:tcMar>
              <w:top w:w="80" w:type="dxa"/>
              <w:bottom w:w="80" w:type="dxa"/>
              <w:left w:w="100" w:type="dxa"/>
              <w:right w:w="100" w:type="dxa"/>
            </w:tcMar>
          </w:tcPr>
          <w:p>
            <w:r>
              <w:t>60.58% (63/104)</w:t>
            </w:r>
          </w:p>
        </w:tc>
        <w:tc>
          <w:tcPr>
            <w:tcW w:type="dxa" w:w="1560"/>
            <w:shd w:fill="F8F9FA"/>
            <w:tcMar>
              <w:top w:w="80" w:type="dxa"/>
              <w:bottom w:w="80" w:type="dxa"/>
              <w:left w:w="100" w:type="dxa"/>
              <w:right w:w="100" w:type="dxa"/>
            </w:tcMar>
          </w:tcPr>
          <w:p>
            <w:r>
              <w:t>High MCI sensitivity, but higher false-positive rate on healthy brains.</w:t>
            </w:r>
          </w:p>
        </w:tc>
      </w:tr>
      <w:tr>
        <w:tc>
          <w:tcPr>
            <w:tcW w:type="dxa" w:w="1560"/>
            <w:shd w:fill="FFFFFF"/>
            <w:tcMar>
              <w:top w:w="80" w:type="dxa"/>
              <w:bottom w:w="80" w:type="dxa"/>
              <w:left w:w="100" w:type="dxa"/>
              <w:right w:w="100" w:type="dxa"/>
            </w:tcMar>
          </w:tcPr>
          <w:p>
            <w:r>
              <w:t>imagenet_resnet50_3class_best.pt</w:t>
            </w:r>
          </w:p>
        </w:tc>
        <w:tc>
          <w:tcPr>
            <w:tcW w:type="dxa" w:w="1560"/>
            <w:shd w:fill="FFFFFF"/>
            <w:tcMar>
              <w:top w:w="80" w:type="dxa"/>
              <w:bottom w:w="80" w:type="dxa"/>
              <w:left w:w="100" w:type="dxa"/>
              <w:right w:w="100" w:type="dxa"/>
            </w:tcMar>
          </w:tcPr>
          <w:p>
            <w:r>
              <w:t>ImageNet ResNet-50 (25.5M)</w:t>
            </w:r>
          </w:p>
        </w:tc>
        <w:tc>
          <w:tcPr>
            <w:tcW w:type="dxa" w:w="1560"/>
            <w:shd w:fill="FFFFFF"/>
            <w:tcMar>
              <w:top w:w="80" w:type="dxa"/>
              <w:bottom w:w="80" w:type="dxa"/>
              <w:left w:w="100" w:type="dxa"/>
              <w:right w:w="100" w:type="dxa"/>
            </w:tcMar>
          </w:tcPr>
          <w:p>
            <w:r>
              <w:t>50.00% (25/50)</w:t>
            </w:r>
          </w:p>
        </w:tc>
        <w:tc>
          <w:tcPr>
            <w:tcW w:type="dxa" w:w="1560"/>
            <w:shd w:fill="FFFFFF"/>
            <w:tcMar>
              <w:top w:w="80" w:type="dxa"/>
              <w:bottom w:w="80" w:type="dxa"/>
              <w:left w:w="100" w:type="dxa"/>
              <w:right w:w="100" w:type="dxa"/>
            </w:tcMar>
          </w:tcPr>
          <w:p>
            <w:r>
              <w:t>62.96% (34/54)</w:t>
            </w:r>
          </w:p>
        </w:tc>
        <w:tc>
          <w:tcPr>
            <w:tcW w:type="dxa" w:w="1560"/>
            <w:shd w:fill="FFFFFF"/>
            <w:tcMar>
              <w:top w:w="80" w:type="dxa"/>
              <w:bottom w:w="80" w:type="dxa"/>
              <w:left w:w="100" w:type="dxa"/>
              <w:right w:w="100" w:type="dxa"/>
            </w:tcMar>
          </w:tcPr>
          <w:p>
            <w:r>
              <w:t>56.73% (59/104)</w:t>
            </w:r>
          </w:p>
        </w:tc>
        <w:tc>
          <w:tcPr>
            <w:tcW w:type="dxa" w:w="1560"/>
            <w:shd w:fill="FFFFFF"/>
            <w:tcMar>
              <w:top w:w="80" w:type="dxa"/>
              <w:bottom w:w="80" w:type="dxa"/>
              <w:left w:w="100" w:type="dxa"/>
              <w:right w:w="100" w:type="dxa"/>
            </w:tcMar>
          </w:tcPr>
          <w:p>
            <w:r>
              <w:t>Over-parameterized; natural image weights overfitted.</w:t>
            </w:r>
          </w:p>
        </w:tc>
      </w:tr>
      <w:tr>
        <w:tc>
          <w:tcPr>
            <w:tcW w:type="dxa" w:w="1560"/>
            <w:shd w:fill="F8F9FA"/>
            <w:tcMar>
              <w:top w:w="80" w:type="dxa"/>
              <w:bottom w:w="80" w:type="dxa"/>
              <w:left w:w="100" w:type="dxa"/>
              <w:right w:w="100" w:type="dxa"/>
            </w:tcMar>
          </w:tcPr>
          <w:p>
            <w:r>
              <w:t>swin_transformer_3class_best.pt</w:t>
            </w:r>
          </w:p>
        </w:tc>
        <w:tc>
          <w:tcPr>
            <w:tcW w:type="dxa" w:w="1560"/>
            <w:shd w:fill="F8F9FA"/>
            <w:tcMar>
              <w:top w:w="80" w:type="dxa"/>
              <w:bottom w:w="80" w:type="dxa"/>
              <w:left w:w="100" w:type="dxa"/>
              <w:right w:w="100" w:type="dxa"/>
            </w:tcMar>
          </w:tcPr>
          <w:p>
            <w:r>
              <w:t>Swin Vision Transformer (28.3M)</w:t>
            </w:r>
          </w:p>
        </w:tc>
        <w:tc>
          <w:tcPr>
            <w:tcW w:type="dxa" w:w="1560"/>
            <w:shd w:fill="F8F9FA"/>
            <w:tcMar>
              <w:top w:w="80" w:type="dxa"/>
              <w:bottom w:w="80" w:type="dxa"/>
              <w:left w:w="100" w:type="dxa"/>
              <w:right w:w="100" w:type="dxa"/>
            </w:tcMar>
          </w:tcPr>
          <w:p>
            <w:r>
              <w:t>46.00% (23/50)</w:t>
            </w:r>
          </w:p>
        </w:tc>
        <w:tc>
          <w:tcPr>
            <w:tcW w:type="dxa" w:w="1560"/>
            <w:shd w:fill="F8F9FA"/>
            <w:tcMar>
              <w:top w:w="80" w:type="dxa"/>
              <w:bottom w:w="80" w:type="dxa"/>
              <w:left w:w="100" w:type="dxa"/>
              <w:right w:w="100" w:type="dxa"/>
            </w:tcMar>
          </w:tcPr>
          <w:p>
            <w:r>
              <w:t>61.11% (33/54)</w:t>
            </w:r>
          </w:p>
        </w:tc>
        <w:tc>
          <w:tcPr>
            <w:tcW w:type="dxa" w:w="1560"/>
            <w:shd w:fill="F8F9FA"/>
            <w:tcMar>
              <w:top w:w="80" w:type="dxa"/>
              <w:bottom w:w="80" w:type="dxa"/>
              <w:left w:w="100" w:type="dxa"/>
              <w:right w:w="100" w:type="dxa"/>
            </w:tcMar>
          </w:tcPr>
          <w:p>
            <w:r>
              <w:t>53.85% (56/104)</w:t>
            </w:r>
          </w:p>
        </w:tc>
        <w:tc>
          <w:tcPr>
            <w:tcW w:type="dxa" w:w="1560"/>
            <w:shd w:fill="F8F9FA"/>
            <w:tcMar>
              <w:top w:w="80" w:type="dxa"/>
              <w:bottom w:w="80" w:type="dxa"/>
              <w:left w:w="100" w:type="dxa"/>
              <w:right w:w="100" w:type="dxa"/>
            </w:tcMar>
          </w:tcPr>
          <w:p>
            <w:r>
              <w:t>Lack of spatial inductive bias on MRI slices.</w:t>
            </w:r>
          </w:p>
        </w:tc>
      </w:tr>
      <w:tr>
        <w:tc>
          <w:tcPr>
            <w:tcW w:type="dxa" w:w="1560"/>
            <w:shd w:fill="FFFFFF"/>
            <w:tcMar>
              <w:top w:w="80" w:type="dxa"/>
              <w:bottom w:w="80" w:type="dxa"/>
              <w:left w:w="100" w:type="dxa"/>
              <w:right w:w="100" w:type="dxa"/>
            </w:tcMar>
          </w:tcPr>
          <w:p>
            <w:r>
              <w:t>resnet18_best.pt</w:t>
            </w:r>
          </w:p>
        </w:tc>
        <w:tc>
          <w:tcPr>
            <w:tcW w:type="dxa" w:w="1560"/>
            <w:shd w:fill="FFFFFF"/>
            <w:tcMar>
              <w:top w:w="80" w:type="dxa"/>
              <w:bottom w:w="80" w:type="dxa"/>
              <w:left w:w="100" w:type="dxa"/>
              <w:right w:w="100" w:type="dxa"/>
            </w:tcMar>
          </w:tcPr>
          <w:p>
            <w:r>
              <w:t>Pure Vision ResNet (4-Class)</w:t>
            </w:r>
          </w:p>
        </w:tc>
        <w:tc>
          <w:tcPr>
            <w:tcW w:type="dxa" w:w="1560"/>
            <w:shd w:fill="FFFFFF"/>
            <w:tcMar>
              <w:top w:w="80" w:type="dxa"/>
              <w:bottom w:w="80" w:type="dxa"/>
              <w:left w:w="100" w:type="dxa"/>
              <w:right w:w="100" w:type="dxa"/>
            </w:tcMar>
          </w:tcPr>
          <w:p>
            <w:r>
              <w:t>24.00% (12/50)</w:t>
            </w:r>
          </w:p>
        </w:tc>
        <w:tc>
          <w:tcPr>
            <w:tcW w:type="dxa" w:w="1560"/>
            <w:shd w:fill="FFFFFF"/>
            <w:tcMar>
              <w:top w:w="80" w:type="dxa"/>
              <w:bottom w:w="80" w:type="dxa"/>
              <w:left w:w="100" w:type="dxa"/>
              <w:right w:w="100" w:type="dxa"/>
            </w:tcMar>
          </w:tcPr>
          <w:p>
            <w:r>
              <w:t>67.74% (36/54)</w:t>
            </w:r>
          </w:p>
        </w:tc>
        <w:tc>
          <w:tcPr>
            <w:tcW w:type="dxa" w:w="1560"/>
            <w:shd w:fill="FFFFFF"/>
            <w:tcMar>
              <w:top w:w="80" w:type="dxa"/>
              <w:bottom w:w="80" w:type="dxa"/>
              <w:left w:w="100" w:type="dxa"/>
              <w:right w:w="100" w:type="dxa"/>
            </w:tcMar>
          </w:tcPr>
          <w:p>
            <w:r>
              <w:t>46.15% (48/104)</w:t>
            </w:r>
          </w:p>
        </w:tc>
        <w:tc>
          <w:tcPr>
            <w:tcW w:type="dxa" w:w="1560"/>
            <w:shd w:fill="FFFFFF"/>
            <w:tcMar>
              <w:top w:w="80" w:type="dxa"/>
              <w:bottom w:w="80" w:type="dxa"/>
              <w:left w:w="100" w:type="dxa"/>
              <w:right w:w="100" w:type="dxa"/>
            </w:tcMar>
          </w:tcPr>
          <w:p>
            <w:r>
              <w:t>Legacy 4-class output head without multimodal fusion.</w:t>
            </w:r>
          </w:p>
        </w:tc>
      </w:tr>
    </w:tbl>
    <w:p>
      <w:pPr>
        <w:spacing w:after="200"/>
      </w:pPr>
    </w:p>
    <w:p>
      <w:pPr>
        <w:pStyle w:val="Heading1"/>
      </w:pPr>
      <w:r>
        <w:t>5. Per-Class Diagnostic Breakdown (Winning Focal Multi-Scale Model)</w:t>
      </w:r>
    </w:p>
    <w:p>
      <w:r>
        <w:t>Detailed confusion matrix and classification report for focal_multikernel_resnet_best.pt evaluated across 50 blind test patients: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2C57"/>
            <w:tcMar>
              <w:top w:w="100" w:type="dxa"/>
              <w:bottom w:w="100" w:type="dxa"/>
              <w:left w:w="120" w:type="dxa"/>
              <w:right w:w="120" w:type="dxa"/>
            </w:tcMar>
          </w:tcPr>
          <w:p>
            <w:r>
              <w:rPr>
                <w:b/>
                <w:color w:val="FFFFFF"/>
              </w:rPr>
              <w:t>Clinical Staging</w:t>
            </w:r>
          </w:p>
        </w:tc>
        <w:tc>
          <w:tcPr>
            <w:tcW w:type="dxa" w:w="1872"/>
            <w:shd w:fill="102C57"/>
            <w:tcMar>
              <w:top w:w="100" w:type="dxa"/>
              <w:bottom w:w="100" w:type="dxa"/>
              <w:left w:w="120" w:type="dxa"/>
              <w:right w:w="120" w:type="dxa"/>
            </w:tcMar>
          </w:tcPr>
          <w:p>
            <w:r>
              <w:rPr>
                <w:b/>
                <w:color w:val="FFFFFF"/>
              </w:rPr>
              <w:t>Precision</w:t>
            </w:r>
          </w:p>
        </w:tc>
        <w:tc>
          <w:tcPr>
            <w:tcW w:type="dxa" w:w="1872"/>
            <w:shd w:fill="102C57"/>
            <w:tcMar>
              <w:top w:w="100" w:type="dxa"/>
              <w:bottom w:w="100" w:type="dxa"/>
              <w:left w:w="120" w:type="dxa"/>
              <w:right w:w="120" w:type="dxa"/>
            </w:tcMar>
          </w:tcPr>
          <w:p>
            <w:r>
              <w:rPr>
                <w:b/>
                <w:color w:val="FFFFFF"/>
              </w:rPr>
              <w:t>Recall (Sensitivity)</w:t>
            </w:r>
          </w:p>
        </w:tc>
        <w:tc>
          <w:tcPr>
            <w:tcW w:type="dxa" w:w="1872"/>
            <w:shd w:fill="102C57"/>
            <w:tcMar>
              <w:top w:w="100" w:type="dxa"/>
              <w:bottom w:w="100" w:type="dxa"/>
              <w:left w:w="120" w:type="dxa"/>
              <w:right w:w="120" w:type="dxa"/>
            </w:tcMar>
          </w:tcPr>
          <w:p>
            <w:r>
              <w:rPr>
                <w:b/>
                <w:color w:val="FFFFFF"/>
              </w:rPr>
              <w:t>F1-Score</w:t>
            </w:r>
          </w:p>
        </w:tc>
        <w:tc>
          <w:tcPr>
            <w:tcW w:type="dxa" w:w="1872"/>
            <w:shd w:fill="102C57"/>
            <w:tcMar>
              <w:top w:w="100" w:type="dxa"/>
              <w:bottom w:w="100" w:type="dxa"/>
              <w:left w:w="120" w:type="dxa"/>
              <w:right w:w="120" w:type="dxa"/>
            </w:tcMar>
          </w:tcPr>
          <w:p>
            <w:r>
              <w:rPr>
                <w:b/>
                <w:color w:val="FFFFFF"/>
              </w:rPr>
              <w:t>Test Support</w:t>
            </w:r>
          </w:p>
        </w:tc>
      </w:tr>
      <w:tr>
        <w:tc>
          <w:tcPr>
            <w:tcW w:type="dxa" w:w="1872"/>
            <w:shd w:fill="F8F9FA"/>
            <w:tcMar>
              <w:top w:w="80" w:type="dxa"/>
              <w:bottom w:w="80" w:type="dxa"/>
              <w:left w:w="100" w:type="dxa"/>
              <w:right w:w="100" w:type="dxa"/>
            </w:tcMar>
          </w:tcPr>
          <w:p>
            <w:r>
              <w:t>Class 0: Cognitively Normal (CN)</w:t>
            </w:r>
          </w:p>
        </w:tc>
        <w:tc>
          <w:tcPr>
            <w:tcW w:type="dxa" w:w="1872"/>
            <w:shd w:fill="F8F9FA"/>
            <w:tcMar>
              <w:top w:w="80" w:type="dxa"/>
              <w:bottom w:w="80" w:type="dxa"/>
              <w:left w:w="100" w:type="dxa"/>
              <w:right w:w="100" w:type="dxa"/>
            </w:tcMar>
          </w:tcPr>
          <w:p>
            <w:r>
              <w:t>0.8966</w:t>
            </w:r>
          </w:p>
        </w:tc>
        <w:tc>
          <w:tcPr>
            <w:tcW w:type="dxa" w:w="1872"/>
            <w:shd w:fill="F8F9FA"/>
            <w:tcMar>
              <w:top w:w="80" w:type="dxa"/>
              <w:bottom w:w="80" w:type="dxa"/>
              <w:left w:w="100" w:type="dxa"/>
              <w:right w:w="100" w:type="dxa"/>
            </w:tcMar>
          </w:tcPr>
          <w:p>
            <w:r>
              <w:t>0.9286 (26/28)</w:t>
            </w:r>
          </w:p>
        </w:tc>
        <w:tc>
          <w:tcPr>
            <w:tcW w:type="dxa" w:w="1872"/>
            <w:shd w:fill="F8F9FA"/>
            <w:tcMar>
              <w:top w:w="80" w:type="dxa"/>
              <w:bottom w:w="80" w:type="dxa"/>
              <w:left w:w="100" w:type="dxa"/>
              <w:right w:w="100" w:type="dxa"/>
            </w:tcMar>
          </w:tcPr>
          <w:p>
            <w:r>
              <w:t>0.9123</w:t>
            </w:r>
          </w:p>
        </w:tc>
        <w:tc>
          <w:tcPr>
            <w:tcW w:type="dxa" w:w="1872"/>
            <w:shd w:fill="F8F9FA"/>
            <w:tcMar>
              <w:top w:w="80" w:type="dxa"/>
              <w:bottom w:w="80" w:type="dxa"/>
              <w:left w:w="100" w:type="dxa"/>
              <w:right w:w="100" w:type="dxa"/>
            </w:tcMar>
          </w:tcPr>
          <w:p>
            <w:r>
              <w:t>28 Patients</w:t>
            </w:r>
          </w:p>
        </w:tc>
      </w:tr>
      <w:tr>
        <w:tc>
          <w:tcPr>
            <w:tcW w:type="dxa" w:w="1872"/>
            <w:shd w:fill="FFFFFF"/>
            <w:tcMar>
              <w:top w:w="80" w:type="dxa"/>
              <w:bottom w:w="80" w:type="dxa"/>
              <w:left w:w="100" w:type="dxa"/>
              <w:right w:w="100" w:type="dxa"/>
            </w:tcMar>
          </w:tcPr>
          <w:p>
            <w:r>
              <w:t>Class 1: Very Mild / MCI (CDR 0.5)</w:t>
            </w:r>
          </w:p>
        </w:tc>
        <w:tc>
          <w:tcPr>
            <w:tcW w:type="dxa" w:w="1872"/>
            <w:shd w:fill="FFFFFF"/>
            <w:tcMar>
              <w:top w:w="80" w:type="dxa"/>
              <w:bottom w:w="80" w:type="dxa"/>
              <w:left w:w="100" w:type="dxa"/>
              <w:right w:w="100" w:type="dxa"/>
            </w:tcMar>
          </w:tcPr>
          <w:p>
            <w:r>
              <w:t>0.4167</w:t>
            </w:r>
          </w:p>
        </w:tc>
        <w:tc>
          <w:tcPr>
            <w:tcW w:type="dxa" w:w="1872"/>
            <w:shd w:fill="FFFFFF"/>
            <w:tcMar>
              <w:top w:w="80" w:type="dxa"/>
              <w:bottom w:w="80" w:type="dxa"/>
              <w:left w:w="100" w:type="dxa"/>
              <w:right w:w="100" w:type="dxa"/>
            </w:tcMar>
          </w:tcPr>
          <w:p>
            <w:r>
              <w:t>0.5000 (5/10)</w:t>
            </w:r>
          </w:p>
        </w:tc>
        <w:tc>
          <w:tcPr>
            <w:tcW w:type="dxa" w:w="1872"/>
            <w:shd w:fill="FFFFFF"/>
            <w:tcMar>
              <w:top w:w="80" w:type="dxa"/>
              <w:bottom w:w="80" w:type="dxa"/>
              <w:left w:w="100" w:type="dxa"/>
              <w:right w:w="100" w:type="dxa"/>
            </w:tcMar>
          </w:tcPr>
          <w:p>
            <w:r>
              <w:t>0.4545</w:t>
            </w:r>
          </w:p>
        </w:tc>
        <w:tc>
          <w:tcPr>
            <w:tcW w:type="dxa" w:w="1872"/>
            <w:shd w:fill="FFFFFF"/>
            <w:tcMar>
              <w:top w:w="80" w:type="dxa"/>
              <w:bottom w:w="80" w:type="dxa"/>
              <w:left w:w="100" w:type="dxa"/>
              <w:right w:w="100" w:type="dxa"/>
            </w:tcMar>
          </w:tcPr>
          <w:p>
            <w:r>
              <w:t>10 Patients (5x boost)</w:t>
            </w:r>
          </w:p>
        </w:tc>
      </w:tr>
      <w:tr>
        <w:tc>
          <w:tcPr>
            <w:tcW w:type="dxa" w:w="1872"/>
            <w:shd w:fill="F8F9FA"/>
            <w:tcMar>
              <w:top w:w="80" w:type="dxa"/>
              <w:bottom w:w="80" w:type="dxa"/>
              <w:left w:w="100" w:type="dxa"/>
              <w:right w:w="100" w:type="dxa"/>
            </w:tcMar>
          </w:tcPr>
          <w:p>
            <w:r>
              <w:t>Class 2: Mild-to-Mod AD (CDR &gt;= 1.0)</w:t>
            </w:r>
          </w:p>
        </w:tc>
        <w:tc>
          <w:tcPr>
            <w:tcW w:type="dxa" w:w="1872"/>
            <w:shd w:fill="F8F9FA"/>
            <w:tcMar>
              <w:top w:w="80" w:type="dxa"/>
              <w:bottom w:w="80" w:type="dxa"/>
              <w:left w:w="100" w:type="dxa"/>
              <w:right w:w="100" w:type="dxa"/>
            </w:tcMar>
          </w:tcPr>
          <w:p>
            <w:r>
              <w:t>0.7778</w:t>
            </w:r>
          </w:p>
        </w:tc>
        <w:tc>
          <w:tcPr>
            <w:tcW w:type="dxa" w:w="1872"/>
            <w:shd w:fill="F8F9FA"/>
            <w:tcMar>
              <w:top w:w="80" w:type="dxa"/>
              <w:bottom w:w="80" w:type="dxa"/>
              <w:left w:w="100" w:type="dxa"/>
              <w:right w:w="100" w:type="dxa"/>
            </w:tcMar>
          </w:tcPr>
          <w:p>
            <w:r>
              <w:t>0.5833 (7/12)</w:t>
            </w:r>
          </w:p>
        </w:tc>
        <w:tc>
          <w:tcPr>
            <w:tcW w:type="dxa" w:w="1872"/>
            <w:shd w:fill="F8F9FA"/>
            <w:tcMar>
              <w:top w:w="80" w:type="dxa"/>
              <w:bottom w:w="80" w:type="dxa"/>
              <w:left w:w="100" w:type="dxa"/>
              <w:right w:w="100" w:type="dxa"/>
            </w:tcMar>
          </w:tcPr>
          <w:p>
            <w:r>
              <w:t>0.6667</w:t>
            </w:r>
          </w:p>
        </w:tc>
        <w:tc>
          <w:tcPr>
            <w:tcW w:type="dxa" w:w="1872"/>
            <w:shd w:fill="F8F9FA"/>
            <w:tcMar>
              <w:top w:w="80" w:type="dxa"/>
              <w:bottom w:w="80" w:type="dxa"/>
              <w:left w:w="100" w:type="dxa"/>
              <w:right w:w="100" w:type="dxa"/>
            </w:tcMar>
          </w:tcPr>
          <w:p>
            <w:r>
              <w:t>12 Patients (0 missed as CN)</w:t>
            </w:r>
          </w:p>
        </w:tc>
      </w:tr>
      <w:tr>
        <w:tc>
          <w:tcPr>
            <w:tcW w:type="dxa" w:w="1872"/>
            <w:shd w:fill="EBF3FA"/>
            <w:tcMar>
              <w:top w:w="80" w:type="dxa"/>
              <w:bottom w:w="80" w:type="dxa"/>
              <w:left w:w="100" w:type="dxa"/>
              <w:right w:w="100" w:type="dxa"/>
            </w:tcMar>
          </w:tcPr>
          <w:p>
            <w:r>
              <w:t>Macro Average / Total</w:t>
            </w:r>
          </w:p>
        </w:tc>
        <w:tc>
          <w:tcPr>
            <w:tcW w:type="dxa" w:w="1872"/>
            <w:shd w:fill="EBF3FA"/>
            <w:tcMar>
              <w:top w:w="80" w:type="dxa"/>
              <w:bottom w:w="80" w:type="dxa"/>
              <w:left w:w="100" w:type="dxa"/>
              <w:right w:w="100" w:type="dxa"/>
            </w:tcMar>
          </w:tcPr>
          <w:p>
            <w:r>
              <w:t>0.6970</w:t>
            </w:r>
          </w:p>
        </w:tc>
        <w:tc>
          <w:tcPr>
            <w:tcW w:type="dxa" w:w="1872"/>
            <w:shd w:fill="EBF3FA"/>
            <w:tcMar>
              <w:top w:w="80" w:type="dxa"/>
              <w:bottom w:w="80" w:type="dxa"/>
              <w:left w:w="100" w:type="dxa"/>
              <w:right w:w="100" w:type="dxa"/>
            </w:tcMar>
          </w:tcPr>
          <w:p>
            <w:r>
              <w:t>0.6706</w:t>
            </w:r>
          </w:p>
        </w:tc>
        <w:tc>
          <w:tcPr>
            <w:tcW w:type="dxa" w:w="1872"/>
            <w:shd w:fill="EBF3FA"/>
            <w:tcMar>
              <w:top w:w="80" w:type="dxa"/>
              <w:bottom w:w="80" w:type="dxa"/>
              <w:left w:w="100" w:type="dxa"/>
              <w:right w:w="100" w:type="dxa"/>
            </w:tcMar>
          </w:tcPr>
          <w:p>
            <w:r>
              <w:t>0.6778</w:t>
            </w:r>
          </w:p>
        </w:tc>
        <w:tc>
          <w:tcPr>
            <w:tcW w:type="dxa" w:w="1872"/>
            <w:shd w:fill="EBF3FA"/>
            <w:tcMar>
              <w:top w:w="80" w:type="dxa"/>
              <w:bottom w:w="80" w:type="dxa"/>
              <w:left w:w="100" w:type="dxa"/>
              <w:right w:w="100" w:type="dxa"/>
            </w:tcMar>
          </w:tcPr>
          <w:p>
            <w:r>
              <w:t>50 Patients (76.00% Acc 🏆)</w:t>
            </w:r>
          </w:p>
        </w:tc>
      </w:tr>
    </w:tbl>
    <w:p>
      <w:pPr>
        <w:spacing w:after="200"/>
      </w:pPr>
    </w:p>
    <w:p>
      <w:pPr>
        <w:pStyle w:val="Heading1"/>
      </w:pPr>
      <w:r>
        <w:t>6. Explainable AI: Gradient-Weighted Class Activation Mapping (Grad-CAM)</w:t>
      </w:r>
    </w:p>
    <w:p>
      <w:r>
        <w:t>To ensure trust and clinical transparency, the system implements 2D Grad-CAM computed on the final convolutional layer (layer4.1.conv2) of the ResNet-18 vision backbone. The activation map generates spatial heatmaps highlighting where the neural network focused its visual attention. In dementia cases, the model consistently attends to lateral ventricular enlargement, cortical thinning, and medial temporal lobe atrophy.</w:t>
      </w:r>
    </w:p>
    <w:p>
      <w:pPr>
        <w:pStyle w:val="Heading1"/>
      </w:pPr>
      <w:r>
        <w:t>7. Project Roadmap &amp; Next Implementation Steps</w:t>
      </w:r>
    </w:p>
    <w:p>
      <w:r>
        <w:rPr>
          <w:b/>
          <w:color w:val="102C57"/>
        </w:rPr>
        <w:t>1. FastAPI Inference Backend Integration</w:t>
      </w:r>
    </w:p>
    <w:p>
      <w:pPr>
        <w:spacing w:after="80"/>
        <w:ind w:left="360"/>
      </w:pPr>
      <w:r>
        <w:t>Package the trained multimodal weights (multimodal_resnet18_best.pt) behind REST endpoints (/api/predict, /api/explain, /api/health) with sub-second inference latency.</w:t>
      </w:r>
    </w:p>
    <w:p>
      <w:r>
        <w:rPr>
          <w:b/>
          <w:color w:val="102C57"/>
        </w:rPr>
        <w:t>2. Interactive Clinical Web Dashboard</w:t>
      </w:r>
    </w:p>
    <w:p>
      <w:pPr>
        <w:spacing w:after="80"/>
        <w:ind w:left="360"/>
      </w:pPr>
      <w:r>
        <w:t>Develop a web interface allowing neurologists to upload raw NIfTI/DICOM scans, view an interactive axial slice slider, and toggle live Grad-CAM heatmaps.</w:t>
      </w:r>
    </w:p>
    <w:p>
      <w:r>
        <w:rPr>
          <w:b/>
          <w:color w:val="102C57"/>
        </w:rPr>
        <w:t>3. Automated PDF Diagnostic Report Generator</w:t>
      </w:r>
    </w:p>
    <w:p>
      <w:pPr>
        <w:spacing w:after="80"/>
        <w:ind w:left="360"/>
      </w:pPr>
      <w:r>
        <w:t>Implement automated PDF export compiling patient demographics, CDR probability distribution, confidence scores, and visual attention maps for clinical records.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02C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