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1B2A0" w14:textId="77777777" w:rsidR="003C41A9" w:rsidRDefault="00000000">
      <w:pPr>
        <w:spacing w:before="480" w:after="160"/>
        <w:jc w:val="center"/>
        <w:rPr>
          <w:rFonts w:ascii="Arial" w:hAnsi="Arial"/>
          <w:b/>
          <w:color w:val="1E3A8A"/>
          <w:sz w:val="40"/>
        </w:rPr>
      </w:pPr>
      <w:r>
        <w:rPr>
          <w:rFonts w:ascii="Arial" w:hAnsi="Arial"/>
          <w:b/>
          <w:color w:val="1E3A8A"/>
          <w:sz w:val="40"/>
        </w:rPr>
        <w:t>Explainable Deep Learning for Alzheimer's-Related Dementia Stage Classification Using Structural MRI</w:t>
      </w:r>
    </w:p>
    <w:p w14:paraId="48BAFB6A" w14:textId="77777777" w:rsidR="00EE5E21" w:rsidRDefault="00EE5E21">
      <w:pPr>
        <w:spacing w:before="480" w:after="160"/>
        <w:jc w:val="center"/>
        <w:rPr>
          <w:rFonts w:ascii="Arial" w:hAnsi="Arial"/>
          <w:b/>
          <w:color w:val="1E3A8A"/>
          <w:sz w:val="40"/>
        </w:rPr>
      </w:pPr>
    </w:p>
    <w:p w14:paraId="260BCA6D" w14:textId="77777777" w:rsidR="00EE5E21" w:rsidRDefault="00EE5E21">
      <w:pPr>
        <w:spacing w:before="480" w:after="160"/>
        <w:jc w:val="center"/>
      </w:pPr>
    </w:p>
    <w:p w14:paraId="6FF0AB25" w14:textId="77777777" w:rsidR="003C41A9" w:rsidRDefault="00000000">
      <w:pPr>
        <w:spacing w:after="320"/>
        <w:jc w:val="center"/>
      </w:pPr>
      <w:r>
        <w:rPr>
          <w:rFonts w:ascii="Arial" w:hAnsi="Arial"/>
          <w:b/>
          <w:color w:val="0F172A"/>
          <w:sz w:val="26"/>
        </w:rPr>
        <w:t>MINOR PROJECT SYNOPSIS SUBMISSION</w:t>
      </w:r>
    </w:p>
    <w:p w14:paraId="7EE2B0A2" w14:textId="77777777" w:rsidR="003C41A9" w:rsidRDefault="00000000">
      <w:pPr>
        <w:spacing w:after="80"/>
        <w:jc w:val="center"/>
      </w:pPr>
      <w:r>
        <w:rPr>
          <w:rFonts w:ascii="Arial" w:hAnsi="Arial"/>
          <w:b/>
        </w:rPr>
        <w:t>Submitted By (Team Members &amp; Registration Numbers):</w:t>
      </w:r>
    </w:p>
    <w:p w14:paraId="599F4357" w14:textId="77777777" w:rsidR="003C41A9" w:rsidRDefault="00000000">
      <w:pPr>
        <w:spacing w:after="40"/>
        <w:jc w:val="center"/>
      </w:pPr>
      <w:r>
        <w:rPr>
          <w:sz w:val="21"/>
        </w:rPr>
        <w:t>Spandan Chatterjee (Reg. No. 230905488) – Department of Computer Science &amp; Engineering</w:t>
      </w:r>
    </w:p>
    <w:p w14:paraId="4DE7509F" w14:textId="77777777" w:rsidR="003C41A9" w:rsidRDefault="00000000">
      <w:pPr>
        <w:spacing w:after="40"/>
        <w:jc w:val="center"/>
      </w:pPr>
      <w:r>
        <w:rPr>
          <w:sz w:val="21"/>
        </w:rPr>
        <w:t>Sambit Manna (Reg. No. 230905181) – Department of Computer Science &amp; Engineering</w:t>
      </w:r>
    </w:p>
    <w:p w14:paraId="3E0CD2CE" w14:textId="77777777" w:rsidR="003C41A9" w:rsidRDefault="00000000">
      <w:pPr>
        <w:spacing w:after="40"/>
        <w:jc w:val="center"/>
      </w:pPr>
      <w:r>
        <w:rPr>
          <w:sz w:val="21"/>
        </w:rPr>
        <w:t>Guru Asrith Nakka (Reg. No. 230905182) – Department of Computer Science &amp; Engineering</w:t>
      </w:r>
    </w:p>
    <w:p w14:paraId="0D000A05" w14:textId="77777777" w:rsidR="003C41A9" w:rsidRDefault="00000000">
      <w:pPr>
        <w:spacing w:after="40"/>
        <w:jc w:val="center"/>
      </w:pPr>
      <w:r>
        <w:rPr>
          <w:sz w:val="21"/>
        </w:rPr>
        <w:t>Tanishque Srivastava (Reg. No. 220905123) – Department of Computer Science &amp; Engineering</w:t>
      </w:r>
    </w:p>
    <w:p w14:paraId="558D2BD8" w14:textId="77777777" w:rsidR="003C41A9" w:rsidRDefault="003C41A9">
      <w:pPr>
        <w:spacing w:after="160"/>
      </w:pPr>
    </w:p>
    <w:p w14:paraId="23D7E8FE" w14:textId="77777777" w:rsidR="003C41A9" w:rsidRDefault="00000000">
      <w:pPr>
        <w:spacing w:after="60"/>
        <w:jc w:val="center"/>
      </w:pPr>
      <w:r>
        <w:rPr>
          <w:rFonts w:ascii="Arial" w:hAnsi="Arial"/>
          <w:b/>
          <w:sz w:val="21"/>
        </w:rPr>
        <w:t xml:space="preserve">Minor Specialization: </w:t>
      </w:r>
      <w:r>
        <w:rPr>
          <w:sz w:val="21"/>
        </w:rPr>
        <w:t>Artificial Intelligence &amp; Machine Learning</w:t>
      </w:r>
    </w:p>
    <w:p w14:paraId="2D1224DA" w14:textId="77777777" w:rsidR="003C41A9" w:rsidRDefault="00000000">
      <w:pPr>
        <w:spacing w:after="60"/>
        <w:jc w:val="center"/>
      </w:pPr>
      <w:r>
        <w:rPr>
          <w:rFonts w:ascii="Arial" w:hAnsi="Arial"/>
          <w:b/>
          <w:sz w:val="21"/>
        </w:rPr>
        <w:t xml:space="preserve">Department Offering: </w:t>
      </w:r>
      <w:r>
        <w:rPr>
          <w:sz w:val="21"/>
        </w:rPr>
        <w:t>Department of Computer Science &amp; Engineering</w:t>
      </w:r>
    </w:p>
    <w:p w14:paraId="2C1C8B19" w14:textId="77777777" w:rsidR="003C41A9" w:rsidRDefault="00000000">
      <w:pPr>
        <w:spacing w:after="60"/>
        <w:jc w:val="center"/>
      </w:pPr>
      <w:r>
        <w:rPr>
          <w:rFonts w:ascii="Arial" w:hAnsi="Arial"/>
          <w:b/>
          <w:sz w:val="21"/>
        </w:rPr>
        <w:t xml:space="preserve">Institution: </w:t>
      </w:r>
      <w:r>
        <w:rPr>
          <w:sz w:val="21"/>
        </w:rPr>
        <w:t>Manipal Institute of Technology (MIT), Manipal</w:t>
      </w:r>
    </w:p>
    <w:p w14:paraId="5E1117FF" w14:textId="2BFBFBD3" w:rsidR="003C41A9" w:rsidRDefault="00000000">
      <w:pPr>
        <w:spacing w:after="60"/>
        <w:jc w:val="center"/>
      </w:pPr>
      <w:r>
        <w:rPr>
          <w:rFonts w:ascii="Arial" w:hAnsi="Arial"/>
          <w:b/>
          <w:sz w:val="21"/>
        </w:rPr>
        <w:t xml:space="preserve">Faculty </w:t>
      </w:r>
      <w:r w:rsidR="00EE5E21">
        <w:rPr>
          <w:rFonts w:ascii="Arial" w:hAnsi="Arial"/>
          <w:b/>
          <w:sz w:val="21"/>
        </w:rPr>
        <w:t>Guide:</w:t>
      </w:r>
      <w:r>
        <w:rPr>
          <w:rFonts w:ascii="Arial" w:hAnsi="Arial"/>
          <w:b/>
          <w:sz w:val="21"/>
        </w:rPr>
        <w:t xml:space="preserve"> </w:t>
      </w:r>
      <w:r w:rsidR="00EE5E21">
        <w:rPr>
          <w:rFonts w:ascii="Arial" w:hAnsi="Arial"/>
          <w:b/>
          <w:sz w:val="21"/>
        </w:rPr>
        <w:t>Shankar Biradar</w:t>
      </w:r>
    </w:p>
    <w:p w14:paraId="50D26A47" w14:textId="158040B8" w:rsidR="003C41A9" w:rsidRDefault="003C41A9">
      <w:pPr>
        <w:spacing w:after="60"/>
        <w:jc w:val="center"/>
      </w:pPr>
    </w:p>
    <w:p w14:paraId="3343FB10" w14:textId="77777777" w:rsidR="003C41A9" w:rsidRDefault="00000000">
      <w:r>
        <w:br w:type="page"/>
      </w:r>
    </w:p>
    <w:p w14:paraId="52036369" w14:textId="77777777" w:rsidR="003C41A9" w:rsidRDefault="00000000">
      <w:pPr>
        <w:keepNext/>
        <w:spacing w:before="360"/>
      </w:pPr>
      <w:r>
        <w:rPr>
          <w:rFonts w:ascii="Arial" w:hAnsi="Arial"/>
          <w:b/>
          <w:color w:val="1E3A8A"/>
          <w:sz w:val="30"/>
        </w:rPr>
        <w:lastRenderedPageBreak/>
        <w:t>1. Introduction</w:t>
      </w:r>
    </w:p>
    <w:p w14:paraId="6709A1BD" w14:textId="77777777" w:rsidR="003C41A9" w:rsidRDefault="00000000">
      <w:pPr>
        <w:jc w:val="both"/>
      </w:pPr>
      <w:r>
        <w:t>Alzheimer's disease (AD) represents the primary cause of neurodegenerative dementia globally, characterized by progressive synaptic disruption, neuronal loss, and macrostructural brain atrophy. As populations age globally, the prevalence of Alzheimer's disease and related dementias is projected to affect over 130 million individuals by 2050, imposing an unprecedented socio-economic burden on healthcare systems worldwide. Early discrimination of dementia severity stages is paramount for timely therapeutic intervention, patient management, and clinical trial stratification.</w:t>
      </w:r>
    </w:p>
    <w:p w14:paraId="778EAD64" w14:textId="77777777" w:rsidR="003C41A9" w:rsidRDefault="00000000">
      <w:pPr>
        <w:jc w:val="both"/>
      </w:pPr>
      <w:r>
        <w:t>In clinical practice, structural Magnetic Resonance Imaging (sMRI) is the non-invasive imaging modality of choice for evaluating macrostructural brain alterations associated with neurodegeneration. T1-weighted sMRI enables the visualization of anatomical hallmarks such as progressive hippocampal atrophy, entorhinal cortical thinning, and compensatory ventricular enlargement. However, manually inspecting hundreds of 2D MRI slices per patient is time-consuming, subject to inter-observer variability, and prone to missing subtle early-stage structural changes.</w:t>
      </w:r>
    </w:p>
    <w:p w14:paraId="379EDE73" w14:textId="77777777" w:rsidR="003C41A9" w:rsidRDefault="00000000">
      <w:pPr>
        <w:jc w:val="both"/>
      </w:pPr>
      <w:r>
        <w:t>To address these challenges, this project presents an explainable, 2D slice-based deep-learning framework for four-class Alzheimer's-related dementia stage classification using structural sMRI scans from the Open Access Series of Imaging Studies (OASIS-1) cross-sectional cohort. The primary goal is to classify sMRI representations into Clinical Dementia Rating (CDR) severity stages: Cognitively Normal (CDR 0), Very Mild Dementia (CDR 0.5), Mild Dementia (CDR 1), and Moderate Dementia (CDR 2).</w:t>
      </w:r>
    </w:p>
    <w:p w14:paraId="64C8A4D6" w14:textId="77777777" w:rsidR="003C41A9" w:rsidRDefault="00000000">
      <w:pPr>
        <w:jc w:val="both"/>
      </w:pPr>
      <w:r>
        <w:t>To maximize computational efficiency, reduce GPU memory requirements, and accelerate model training while retaining critical anatomical features, the primary deep-learning pipeline utilizes 2D EfficientNet-B0 operating on standardized 2D MRI slices (224 × 224) extracted across the Axial anatomical plane. Predictions generated at the slice level are aggregated to the patient level via Mean Probability Aggregation. Furthermore, Gradient-Weighted Class Activation Mapping (2D Grad-CAM / Grad-CAM++) is integrated to visualize salient anatomical features driving model predictions. Finally, the preprocessing engine, 2D inference model, and XAI visualizations are unified into a web-based clinical decision-support prototype built with FastAPI and React/Next.js.</w:t>
      </w:r>
    </w:p>
    <w:p w14:paraId="00689564" w14:textId="77777777" w:rsidR="003C41A9" w:rsidRDefault="00000000">
      <w:pPr>
        <w:keepNext/>
        <w:spacing w:before="360"/>
      </w:pPr>
      <w:r>
        <w:rPr>
          <w:rFonts w:ascii="Arial" w:hAnsi="Arial"/>
          <w:b/>
          <w:color w:val="1E3A8A"/>
          <w:sz w:val="30"/>
        </w:rPr>
        <w:t>2. Literature Review</w:t>
      </w:r>
    </w:p>
    <w:p w14:paraId="4737C32B" w14:textId="77777777" w:rsidR="003C41A9" w:rsidRDefault="00000000">
      <w:pPr>
        <w:jc w:val="both"/>
      </w:pPr>
      <w:r>
        <w:t>Neuroimaging-based computer-aided diagnosis of dementia has evolved significantly with advances in machine learning and deep neural networks. Marcus et al. (2007) introduced the Open Access Series of Imaging Studies (OASIS-1) cross-sectional cohort, establishing a benchmark dataset of T1-weighted sMRI scans across non-demented and demented individuals aged 18 to 96. Morris (1993) formalized the Clinical Dementia Rating (CDR) scale, providing a validated clinical scoring system across six functional domains to grade dementia severity as Normal (CDR 0), Very Mild (CDR 0.5), Mild (CDR 1), and Moderate (CDR 2).</w:t>
      </w:r>
    </w:p>
    <w:p w14:paraId="4147180C" w14:textId="77777777" w:rsidR="003C41A9" w:rsidRDefault="00000000">
      <w:pPr>
        <w:jc w:val="both"/>
      </w:pPr>
      <w:r>
        <w:t xml:space="preserve">In deep learning literature, Convolutional Neural Networks (CNNs) have shown strong capability in extracting volumetric and spatial biomarkers. He et al. (2016) introduced Deep Residual Learning (ResNet), mitigating vanishing gradient degradation in deep networks. Tan &amp; Le (2019) developed EfficientNet, demonstrating that compound scaling of network depth, width, and resolution achieves superior feature representation efficiency with significantly fewer parameters compared to standard CNNs. For model interpretability, Selvaraju et al. (2017) formulated Gradient-Weighted Class Activation </w:t>
      </w:r>
      <w:r>
        <w:lastRenderedPageBreak/>
        <w:t>Mapping (Grad-CAM), enabling visual localization of salient image regions influencing network predictions.</w:t>
      </w:r>
    </w:p>
    <w:p w14:paraId="5F725AE6" w14:textId="77777777" w:rsidR="003C41A9" w:rsidRDefault="00000000">
      <w:pPr>
        <w:jc w:val="both"/>
      </w:pPr>
      <w:r>
        <w:t>Recent clinical frameworks (Jack et al., 2018; Cardoso et al., 2022) emphasize the necessity of combining high-efficiency deep neural networks with rigorous data partitioning and explainability tools to ensure reproducible and interpretable decision-support systems in neuroimaging research.</w:t>
      </w:r>
    </w:p>
    <w:p w14:paraId="411621E4" w14:textId="77777777" w:rsidR="003C41A9" w:rsidRDefault="00000000">
      <w:pPr>
        <w:keepNext/>
        <w:spacing w:before="360"/>
      </w:pPr>
      <w:r>
        <w:rPr>
          <w:rFonts w:ascii="Arial" w:hAnsi="Arial"/>
          <w:b/>
          <w:color w:val="1E3A8A"/>
          <w:sz w:val="30"/>
        </w:rPr>
        <w:t>3. Problem Statement</w:t>
      </w:r>
    </w:p>
    <w:p w14:paraId="091EF6BB" w14:textId="77777777" w:rsidR="003C41A9" w:rsidRDefault="00000000">
      <w:pPr>
        <w:jc w:val="both"/>
      </w:pPr>
      <w:r>
        <w:t>Current medical imaging AI research for dementia stage classification faces three critical vulnerabilities:</w:t>
      </w:r>
    </w:p>
    <w:p w14:paraId="03EC21AE" w14:textId="77777777" w:rsidR="003C41A9" w:rsidRDefault="00000000">
      <w:pPr>
        <w:pStyle w:val="ListBullet"/>
        <w:spacing w:after="80"/>
        <w:jc w:val="both"/>
      </w:pPr>
      <w:r>
        <w:rPr>
          <w:b/>
          <w:color w:val="0F172A"/>
        </w:rPr>
        <w:t xml:space="preserve">1. Slice-Wise Data Leakage: </w:t>
      </w:r>
      <w:r>
        <w:t>Many published studies perform random 2D slice-wise or image-wise splitting. Because consecutive MRI slices from the same patient share near-identical anatomical features, assigning slices from one patient to both training and test sets causes severe data leakage, leading to artificially inflated accuracy that fails catastrophically on unseen clinical patients.</w:t>
      </w:r>
    </w:p>
    <w:p w14:paraId="14D4B71A" w14:textId="77777777" w:rsidR="003C41A9" w:rsidRDefault="00000000">
      <w:pPr>
        <w:pStyle w:val="ListBullet"/>
        <w:spacing w:after="80"/>
        <w:jc w:val="both"/>
      </w:pPr>
      <w:r>
        <w:rPr>
          <w:b/>
          <w:color w:val="0F172A"/>
        </w:rPr>
        <w:t xml:space="preserve">2. Preprocessing Discrepancies: </w:t>
      </w:r>
      <w:r>
        <w:t>Inconsistencies between training-time preprocessing and deployment-time serving create train-test skew, causing deep learning models to fail when processing raw scans uploaded by clinicians.</w:t>
      </w:r>
    </w:p>
    <w:p w14:paraId="3F811E56" w14:textId="77777777" w:rsidR="003C41A9" w:rsidRDefault="00000000">
      <w:pPr>
        <w:pStyle w:val="ListBullet"/>
        <w:spacing w:after="80"/>
        <w:jc w:val="both"/>
      </w:pPr>
      <w:r>
        <w:rPr>
          <w:b/>
          <w:color w:val="0F172A"/>
        </w:rPr>
        <w:t xml:space="preserve">3. Lack of Model Interpretability: </w:t>
      </w:r>
      <w:r>
        <w:t>Standard deep neural networks output probability scores without highlighting which anatomical regions influenced the prediction, limiting clinician trust and clinical adoptability.</w:t>
      </w:r>
    </w:p>
    <w:p w14:paraId="5775A46E" w14:textId="77777777" w:rsidR="003C41A9" w:rsidRDefault="00000000">
      <w:pPr>
        <w:keepNext/>
        <w:spacing w:before="360"/>
      </w:pPr>
      <w:r>
        <w:rPr>
          <w:rFonts w:ascii="Arial" w:hAnsi="Arial"/>
          <w:b/>
          <w:color w:val="1E3A8A"/>
          <w:sz w:val="30"/>
        </w:rPr>
        <w:t>4. Objectives of the Project</w:t>
      </w:r>
    </w:p>
    <w:p w14:paraId="5731EBF9" w14:textId="77777777" w:rsidR="003C41A9" w:rsidRDefault="00000000">
      <w:pPr>
        <w:pStyle w:val="ListBullet"/>
        <w:spacing w:after="80"/>
        <w:jc w:val="both"/>
      </w:pPr>
      <w:r>
        <w:rPr>
          <w:b/>
          <w:color w:val="0F172A"/>
        </w:rPr>
        <w:t xml:space="preserve">1. </w:t>
      </w:r>
      <w:r>
        <w:t>Develop a robust, reusable 13-stage modular preprocessing engine for structural MRI scans.</w:t>
      </w:r>
    </w:p>
    <w:p w14:paraId="31368B65" w14:textId="77777777" w:rsidR="003C41A9" w:rsidRDefault="00000000">
      <w:pPr>
        <w:pStyle w:val="ListBullet"/>
        <w:spacing w:after="80"/>
        <w:jc w:val="both"/>
      </w:pPr>
      <w:r>
        <w:rPr>
          <w:b/>
          <w:color w:val="0F172A"/>
        </w:rPr>
        <w:t xml:space="preserve">2. </w:t>
      </w:r>
      <w:r>
        <w:t>Construct a strictly patient-wise partitioned supervised dataset from the OASIS-1 cohort to prevent data leakage.</w:t>
      </w:r>
    </w:p>
    <w:p w14:paraId="148E76AA" w14:textId="77777777" w:rsidR="003C41A9" w:rsidRDefault="00000000">
      <w:pPr>
        <w:pStyle w:val="ListBullet"/>
        <w:spacing w:after="80"/>
        <w:jc w:val="both"/>
      </w:pPr>
      <w:r>
        <w:rPr>
          <w:b/>
          <w:color w:val="0F172A"/>
        </w:rPr>
        <w:t xml:space="preserve">3. </w:t>
      </w:r>
      <w:r>
        <w:t>Implement a 2D EfficientNet-B0 deep neural network tailored for 224 × 224 2D MRI slice classification.</w:t>
      </w:r>
    </w:p>
    <w:p w14:paraId="386B0A7C" w14:textId="77777777" w:rsidR="003C41A9" w:rsidRDefault="00000000">
      <w:pPr>
        <w:pStyle w:val="ListBullet"/>
        <w:spacing w:after="80"/>
        <w:jc w:val="both"/>
      </w:pPr>
      <w:r>
        <w:rPr>
          <w:b/>
          <w:color w:val="0F172A"/>
        </w:rPr>
        <w:t xml:space="preserve">4. </w:t>
      </w:r>
      <w:r>
        <w:t>Output a multi-class probability distribution across four CDR categories (CDR 0, 0.5, 1, and 2).</w:t>
      </w:r>
    </w:p>
    <w:p w14:paraId="7D7E0FC2" w14:textId="77777777" w:rsidR="003C41A9" w:rsidRDefault="00000000">
      <w:pPr>
        <w:pStyle w:val="ListBullet"/>
        <w:spacing w:after="80"/>
        <w:jc w:val="both"/>
      </w:pPr>
      <w:r>
        <w:rPr>
          <w:b/>
          <w:color w:val="0F172A"/>
        </w:rPr>
        <w:t xml:space="preserve">5. </w:t>
      </w:r>
      <w:r>
        <w:t>Aggregate slice-level probability vectors to patient-level probability distributions via Mean Probability Aggregation.</w:t>
      </w:r>
    </w:p>
    <w:p w14:paraId="682F8813" w14:textId="77777777" w:rsidR="003C41A9" w:rsidRDefault="00000000">
      <w:pPr>
        <w:pStyle w:val="ListBullet"/>
        <w:spacing w:after="80"/>
        <w:jc w:val="both"/>
      </w:pPr>
      <w:r>
        <w:rPr>
          <w:b/>
          <w:color w:val="0F172A"/>
        </w:rPr>
        <w:t xml:space="preserve">6. </w:t>
      </w:r>
      <w:r>
        <w:t>Derive an aggregated overall dementia-related classification probability from non-zero CDR classes.</w:t>
      </w:r>
    </w:p>
    <w:p w14:paraId="028431D3" w14:textId="77777777" w:rsidR="003C41A9" w:rsidRDefault="00000000">
      <w:pPr>
        <w:pStyle w:val="ListBullet"/>
        <w:spacing w:after="80"/>
        <w:jc w:val="both"/>
      </w:pPr>
      <w:r>
        <w:rPr>
          <w:b/>
          <w:color w:val="0F172A"/>
        </w:rPr>
        <w:t xml:space="preserve">7. </w:t>
      </w:r>
      <w:r>
        <w:t>Rigorously evaluate model performance using multi-class medical machine learning metrics (ROC-AUC, F1-Score, Confusion Matrix).</w:t>
      </w:r>
    </w:p>
    <w:p w14:paraId="247814DD" w14:textId="77777777" w:rsidR="003C41A9" w:rsidRDefault="00000000">
      <w:pPr>
        <w:pStyle w:val="ListBullet"/>
        <w:spacing w:after="80"/>
        <w:jc w:val="both"/>
      </w:pPr>
      <w:r>
        <w:rPr>
          <w:b/>
          <w:color w:val="0F172A"/>
        </w:rPr>
        <w:t xml:space="preserve">8. </w:t>
      </w:r>
      <w:r>
        <w:t>Incorporate 2D Grad-CAM / Grad-CAM++ Explainable AI for spatial feature attribution visualization.</w:t>
      </w:r>
    </w:p>
    <w:p w14:paraId="2DC53862" w14:textId="77777777" w:rsidR="003C41A9" w:rsidRDefault="00000000">
      <w:pPr>
        <w:pStyle w:val="ListBullet"/>
        <w:spacing w:after="80"/>
        <w:jc w:val="both"/>
      </w:pPr>
      <w:r>
        <w:rPr>
          <w:b/>
          <w:color w:val="0F172A"/>
        </w:rPr>
        <w:t xml:space="preserve">9. </w:t>
      </w:r>
      <w:r>
        <w:t>Integrate the preprocessing pipeline, model inference, and XAI heatmaps into a FastAPI + React web prototype.</w:t>
      </w:r>
    </w:p>
    <w:p w14:paraId="0210C6C5" w14:textId="77777777" w:rsidR="003C41A9" w:rsidRDefault="00000000">
      <w:pPr>
        <w:pStyle w:val="ListBullet"/>
        <w:spacing w:after="80"/>
        <w:jc w:val="both"/>
      </w:pPr>
      <w:r>
        <w:rPr>
          <w:b/>
          <w:color w:val="0F172A"/>
        </w:rPr>
        <w:t xml:space="preserve">10. </w:t>
      </w:r>
      <w:r>
        <w:t>Establish a permanent, reproducible research data pipeline for future comparative AI studies (2D ResNet-18, Vision Transformers, SSL).</w:t>
      </w:r>
    </w:p>
    <w:p w14:paraId="58A62BC3" w14:textId="77777777" w:rsidR="003C41A9" w:rsidRDefault="00000000">
      <w:pPr>
        <w:keepNext/>
        <w:spacing w:before="360"/>
      </w:pPr>
      <w:r>
        <w:rPr>
          <w:rFonts w:ascii="Arial" w:hAnsi="Arial"/>
          <w:b/>
          <w:color w:val="1E3A8A"/>
          <w:sz w:val="30"/>
        </w:rPr>
        <w:lastRenderedPageBreak/>
        <w:t>5. Methodology</w:t>
      </w:r>
    </w:p>
    <w:p w14:paraId="79E9BA85" w14:textId="77777777" w:rsidR="003C41A9" w:rsidRDefault="00000000">
      <w:pPr>
        <w:jc w:val="both"/>
      </w:pPr>
      <w:r>
        <w:t>The project architecture follows Clean Architecture (Domain-Driven Design) principles, enforcing strict separation of concerns across modular packages: dataset management, preprocessing core, model registry, training engine, inference serving, backend REST API, and frontend web UI.</w:t>
      </w:r>
    </w:p>
    <w:p w14:paraId="16A579A1" w14:textId="77777777" w:rsidR="003C41A9" w:rsidRDefault="00000000">
      <w:pPr>
        <w:keepNext/>
        <w:spacing w:before="240" w:after="80"/>
      </w:pPr>
      <w:r>
        <w:rPr>
          <w:rFonts w:ascii="Arial" w:hAnsi="Arial"/>
          <w:b/>
          <w:color w:val="0F766E"/>
          <w:sz w:val="25"/>
        </w:rPr>
        <w:t>5.1 Preprocessing Engine &amp; Patient-Wise Data Splitting</w:t>
      </w:r>
    </w:p>
    <w:p w14:paraId="6537CBF6" w14:textId="77777777" w:rsidR="003C41A9" w:rsidRDefault="00000000">
      <w:pPr>
        <w:jc w:val="both"/>
      </w:pPr>
      <w:r>
        <w:t>The preprocessing engine processes raw volumetric Analyze 7.5 scans from PROCESSED/MPRAGE/SUBJ_111/ through 13 sequential, deterministic operations: dataset discovery, metadata parsing, volume validation, spatial RAS reorientation, intensity Z-score normalization, brain bounding-box cropping, 2D slice extraction across Axial, Coronal, and Sagittal planes, Shannon entropy quality filtering (H ≥ 1.5, tissue ratio ≥ 15%), 224 × 224 slice resizing, PyTorch tensor serialization, and metadata logging.</w:t>
      </w:r>
    </w:p>
    <w:p w14:paraId="2898783B" w14:textId="77777777" w:rsidR="003C41A9" w:rsidRDefault="00000000">
      <w:pPr>
        <w:jc w:val="both"/>
      </w:pPr>
      <w:r>
        <w:t>Supervised training utilizes the 234 labelled OASIS-1 subjects. Data splitting is enforced strictly at the subject level (80% Train / 187 patients, 10% Validation / 23 patients, 10% Test / 24 patients). Every slice belonging to Patient A remains exclusively within Patient A's designated split, guaranteeing zero slice-wise data leakage. The 179 unlabelled young control subjects are preserved in unlabelled_manifest.csv for self-supervised pre-training.</w:t>
      </w:r>
    </w:p>
    <w:p w14:paraId="7C493D6E" w14:textId="77777777" w:rsidR="003C41A9" w:rsidRDefault="00000000">
      <w:pPr>
        <w:keepNext/>
        <w:spacing w:before="240" w:after="80"/>
      </w:pPr>
      <w:r>
        <w:rPr>
          <w:rFonts w:ascii="Arial" w:hAnsi="Arial"/>
          <w:b/>
          <w:color w:val="0F766E"/>
          <w:sz w:val="25"/>
        </w:rPr>
        <w:t>5.2 2D EfficientNet-B0 Architecture &amp; Slice Aggregation</w:t>
      </w:r>
    </w:p>
    <w:p w14:paraId="20C6A88A" w14:textId="77777777" w:rsidR="003C41A9" w:rsidRDefault="00000000">
      <w:pPr>
        <w:jc w:val="both"/>
      </w:pPr>
      <w:r>
        <w:t>The primary deep-learning pipeline utilizes 2D EfficientNet-B0 operating on standardized 224 × 224 2D MRI slices (Axial plane default). To reduce computational overhead and accelerate training throughput while preserving transfer learning capabilities, ImageNet pre-trained weights are adapted for single-channel grayscale MRI slice inputs. The final classification head outputs a 4-class softmax probability vector P_slice = [p0, p0.5, p1, p2].</w:t>
      </w:r>
    </w:p>
    <w:p w14:paraId="003C681D" w14:textId="77777777" w:rsidR="003C41A9" w:rsidRDefault="00000000">
      <w:pPr>
        <w:jc w:val="both"/>
      </w:pPr>
      <w:r>
        <w:t>Slice-level probabilities across all valid slices of a patient are aggregated to the patient level via Mean Probability Aggregation:</w:t>
      </w:r>
    </w:p>
    <w:p w14:paraId="2872D9EF" w14:textId="77777777" w:rsidR="003C41A9" w:rsidRDefault="00000000">
      <w:pPr>
        <w:jc w:val="both"/>
      </w:pPr>
      <w:r>
        <w:t>P_patient = Mean({P_slice, i}) = [p0, p0.5, p1, p2]</w:t>
      </w:r>
    </w:p>
    <w:p w14:paraId="591F5E8C" w14:textId="77777777" w:rsidR="003C41A9" w:rsidRDefault="00000000">
      <w:pPr>
        <w:jc w:val="both"/>
      </w:pPr>
      <w:r>
        <w:t>An overall dementia-related classification probability is derived by aggregating non-zero CDR probabilities: P(Dementia) = P(CDR=0.5) + P(CDR=1.0) + P(CDR=2.0).</w:t>
      </w:r>
    </w:p>
    <w:p w14:paraId="237AF5FB" w14:textId="77777777" w:rsidR="003C41A9" w:rsidRDefault="00000000">
      <w:pPr>
        <w:keepNext/>
        <w:spacing w:before="240" w:after="80"/>
      </w:pPr>
      <w:r>
        <w:rPr>
          <w:rFonts w:ascii="Arial" w:hAnsi="Arial"/>
          <w:b/>
          <w:color w:val="0F766E"/>
          <w:sz w:val="25"/>
        </w:rPr>
        <w:t>5.3 2D Grad-CAM Explainable AI</w:t>
      </w:r>
    </w:p>
    <w:p w14:paraId="3F3B5ED9" w14:textId="77777777" w:rsidR="003C41A9" w:rsidRDefault="00000000">
      <w:pPr>
        <w:jc w:val="both"/>
      </w:pPr>
      <w:r>
        <w:t>Gradient-Weighted Class Activation Mapping (2D Grad-CAM / Grad-CAM++) computes the gradients of the target CDR class score with respect to feature maps in the final 2D convolutional layer of EfficientNet-B0, generating spatial heatmap overlays highlighting model feature attention on representative 2D MRI slices.</w:t>
      </w:r>
    </w:p>
    <w:p w14:paraId="63B27B4E" w14:textId="77777777" w:rsidR="003C41A9" w:rsidRDefault="00000000">
      <w:pPr>
        <w:keepNext/>
        <w:spacing w:before="240" w:after="80"/>
      </w:pPr>
      <w:r>
        <w:rPr>
          <w:rFonts w:ascii="Arial" w:hAnsi="Arial"/>
          <w:b/>
          <w:color w:val="0F766E"/>
          <w:sz w:val="25"/>
        </w:rPr>
        <w:t>5.4 Web Decision-Support Architecture</w:t>
      </w:r>
    </w:p>
    <w:p w14:paraId="51313C52" w14:textId="77777777" w:rsidR="003C41A9" w:rsidRDefault="00000000">
      <w:pPr>
        <w:jc w:val="both"/>
      </w:pPr>
      <w:r>
        <w:t>The trained inference engine and XAI module are deployed as a web application prototype. The FastAPI backend receives uploaded MRI scans (.hdr/.img or .nii/.nii.gz), executes the shared preprocessing pipeline, computes slice predictions and patient mean aggregation, generates 2D Grad-CAM heatmaps, and serves JSON results to a React/Next.js dashboard for interactive radiological review.</w:t>
      </w:r>
    </w:p>
    <w:tbl>
      <w:tblPr>
        <w:tblW w:w="0" w:type="auto"/>
        <w:jc w:val="center"/>
        <w:tblLook w:val="04A0" w:firstRow="1" w:lastRow="0" w:firstColumn="1" w:lastColumn="0" w:noHBand="0" w:noVBand="1"/>
      </w:tblPr>
      <w:tblGrid>
        <w:gridCol w:w="3120"/>
        <w:gridCol w:w="3120"/>
        <w:gridCol w:w="3120"/>
      </w:tblGrid>
      <w:tr w:rsidR="003C41A9" w14:paraId="42086CEF" w14:textId="77777777">
        <w:trPr>
          <w:jc w:val="center"/>
        </w:trPr>
        <w:tc>
          <w:tcPr>
            <w:tcW w:w="3120" w:type="dxa"/>
            <w:shd w:val="clear" w:color="auto" w:fill="1E3A8A"/>
          </w:tcPr>
          <w:p w14:paraId="68E3FF96" w14:textId="77777777" w:rsidR="003C41A9" w:rsidRDefault="00000000">
            <w:pPr>
              <w:spacing w:after="0"/>
              <w:jc w:val="center"/>
            </w:pPr>
            <w:r>
              <w:rPr>
                <w:rFonts w:ascii="Arial" w:hAnsi="Arial"/>
                <w:b/>
                <w:color w:val="FFFFFF"/>
                <w:sz w:val="20"/>
              </w:rPr>
              <w:lastRenderedPageBreak/>
              <w:t>System Module</w:t>
            </w:r>
          </w:p>
        </w:tc>
        <w:tc>
          <w:tcPr>
            <w:tcW w:w="3120" w:type="dxa"/>
            <w:shd w:val="clear" w:color="auto" w:fill="1E3A8A"/>
          </w:tcPr>
          <w:p w14:paraId="0DD1099E" w14:textId="77777777" w:rsidR="003C41A9" w:rsidRDefault="00000000">
            <w:pPr>
              <w:spacing w:after="0"/>
              <w:jc w:val="center"/>
            </w:pPr>
            <w:r>
              <w:rPr>
                <w:rFonts w:ascii="Arial" w:hAnsi="Arial"/>
                <w:b/>
                <w:color w:val="FFFFFF"/>
                <w:sz w:val="20"/>
              </w:rPr>
              <w:t>Core Components &amp; Artifacts</w:t>
            </w:r>
          </w:p>
        </w:tc>
        <w:tc>
          <w:tcPr>
            <w:tcW w:w="3120" w:type="dxa"/>
            <w:shd w:val="clear" w:color="auto" w:fill="1E3A8A"/>
          </w:tcPr>
          <w:p w14:paraId="276AA9FF" w14:textId="77777777" w:rsidR="003C41A9" w:rsidRDefault="00000000">
            <w:pPr>
              <w:spacing w:after="0"/>
              <w:jc w:val="center"/>
            </w:pPr>
            <w:r>
              <w:rPr>
                <w:rFonts w:ascii="Arial" w:hAnsi="Arial"/>
                <w:b/>
                <w:color w:val="FFFFFF"/>
                <w:sz w:val="20"/>
              </w:rPr>
              <w:t>Responsibility &amp; Data Flow</w:t>
            </w:r>
          </w:p>
        </w:tc>
      </w:tr>
      <w:tr w:rsidR="003C41A9" w14:paraId="5920653C" w14:textId="77777777">
        <w:trPr>
          <w:jc w:val="center"/>
        </w:trPr>
        <w:tc>
          <w:tcPr>
            <w:tcW w:w="3120" w:type="dxa"/>
            <w:shd w:val="clear" w:color="auto" w:fill="F8FAFC"/>
          </w:tcPr>
          <w:p w14:paraId="5847E9BC" w14:textId="77777777" w:rsidR="003C41A9" w:rsidRDefault="00000000">
            <w:pPr>
              <w:spacing w:after="0"/>
            </w:pPr>
            <w:r>
              <w:rPr>
                <w:sz w:val="20"/>
              </w:rPr>
              <w:t>Dataset Scanner &amp; Splitter</w:t>
            </w:r>
          </w:p>
        </w:tc>
        <w:tc>
          <w:tcPr>
            <w:tcW w:w="3120" w:type="dxa"/>
            <w:shd w:val="clear" w:color="auto" w:fill="F8FAFC"/>
          </w:tcPr>
          <w:p w14:paraId="59DEB420" w14:textId="77777777" w:rsidR="003C41A9" w:rsidRDefault="00000000">
            <w:pPr>
              <w:spacing w:after="0"/>
            </w:pPr>
            <w:r>
              <w:rPr>
                <w:sz w:val="20"/>
              </w:rPr>
              <w:t>scanner.py, split_generator.py, manifests/</w:t>
            </w:r>
          </w:p>
        </w:tc>
        <w:tc>
          <w:tcPr>
            <w:tcW w:w="3120" w:type="dxa"/>
            <w:shd w:val="clear" w:color="auto" w:fill="F8FAFC"/>
          </w:tcPr>
          <w:p w14:paraId="4FB11FDE" w14:textId="77777777" w:rsidR="003C41A9" w:rsidRDefault="00000000">
            <w:pPr>
              <w:spacing w:after="0"/>
            </w:pPr>
            <w:r>
              <w:rPr>
                <w:sz w:val="20"/>
              </w:rPr>
              <w:t>Discovers 413 patients, parses metadata, generates patient-wise 80/10/10 splits.</w:t>
            </w:r>
          </w:p>
        </w:tc>
      </w:tr>
      <w:tr w:rsidR="003C41A9" w14:paraId="5C874159" w14:textId="77777777">
        <w:trPr>
          <w:jc w:val="center"/>
        </w:trPr>
        <w:tc>
          <w:tcPr>
            <w:tcW w:w="3120" w:type="dxa"/>
            <w:shd w:val="clear" w:color="auto" w:fill="FFFFFF"/>
          </w:tcPr>
          <w:p w14:paraId="4AD8839E" w14:textId="77777777" w:rsidR="003C41A9" w:rsidRDefault="00000000">
            <w:pPr>
              <w:spacing w:after="0"/>
            </w:pPr>
            <w:r>
              <w:rPr>
                <w:sz w:val="20"/>
              </w:rPr>
              <w:t>Preprocessing Core</w:t>
            </w:r>
          </w:p>
        </w:tc>
        <w:tc>
          <w:tcPr>
            <w:tcW w:w="3120" w:type="dxa"/>
            <w:shd w:val="clear" w:color="auto" w:fill="FFFFFF"/>
          </w:tcPr>
          <w:p w14:paraId="6F3E0F8D" w14:textId="77777777" w:rsidR="003C41A9" w:rsidRDefault="00000000">
            <w:pPr>
              <w:spacing w:after="0"/>
            </w:pPr>
            <w:r>
              <w:rPr>
                <w:sz w:val="20"/>
              </w:rPr>
              <w:t>loader.py, normalizer.py, cropper.py, resizer.py</w:t>
            </w:r>
          </w:p>
        </w:tc>
        <w:tc>
          <w:tcPr>
            <w:tcW w:w="3120" w:type="dxa"/>
            <w:shd w:val="clear" w:color="auto" w:fill="FFFFFF"/>
          </w:tcPr>
          <w:p w14:paraId="3AE7752E" w14:textId="77777777" w:rsidR="003C41A9" w:rsidRDefault="00000000">
            <w:pPr>
              <w:spacing w:after="0"/>
            </w:pPr>
            <w:r>
              <w:rPr>
                <w:sz w:val="20"/>
              </w:rPr>
              <w:t>Executes 13-stage pipeline; generates 224x224 2D slices and 128x128x128 volumes.</w:t>
            </w:r>
          </w:p>
        </w:tc>
      </w:tr>
      <w:tr w:rsidR="003C41A9" w14:paraId="24851CAB" w14:textId="77777777">
        <w:trPr>
          <w:jc w:val="center"/>
        </w:trPr>
        <w:tc>
          <w:tcPr>
            <w:tcW w:w="3120" w:type="dxa"/>
            <w:shd w:val="clear" w:color="auto" w:fill="F8FAFC"/>
          </w:tcPr>
          <w:p w14:paraId="4BE2D2CA" w14:textId="77777777" w:rsidR="003C41A9" w:rsidRDefault="00000000">
            <w:pPr>
              <w:spacing w:after="0"/>
            </w:pPr>
            <w:r>
              <w:rPr>
                <w:sz w:val="20"/>
              </w:rPr>
              <w:t>PyTorch Data Pipeline</w:t>
            </w:r>
          </w:p>
        </w:tc>
        <w:tc>
          <w:tcPr>
            <w:tcW w:w="3120" w:type="dxa"/>
            <w:shd w:val="clear" w:color="auto" w:fill="F8FAFC"/>
          </w:tcPr>
          <w:p w14:paraId="57BD78F5" w14:textId="77777777" w:rsidR="003C41A9" w:rsidRDefault="00000000">
            <w:pPr>
              <w:spacing w:after="0"/>
            </w:pPr>
            <w:r>
              <w:rPr>
                <w:sz w:val="20"/>
              </w:rPr>
              <w:t>torch_dataset.py, PyTorch DataLoader</w:t>
            </w:r>
          </w:p>
        </w:tc>
        <w:tc>
          <w:tcPr>
            <w:tcW w:w="3120" w:type="dxa"/>
            <w:shd w:val="clear" w:color="auto" w:fill="F8FAFC"/>
          </w:tcPr>
          <w:p w14:paraId="1AD62639" w14:textId="77777777" w:rsidR="003C41A9" w:rsidRDefault="00000000">
            <w:pPr>
              <w:spacing w:after="0"/>
            </w:pPr>
            <w:r>
              <w:rPr>
                <w:sz w:val="20"/>
              </w:rPr>
              <w:t>Feeds 2D [1,224,224] slice tensors (Axial default) to GPU training loop.</w:t>
            </w:r>
          </w:p>
        </w:tc>
      </w:tr>
      <w:tr w:rsidR="003C41A9" w14:paraId="30733F40" w14:textId="77777777">
        <w:trPr>
          <w:jc w:val="center"/>
        </w:trPr>
        <w:tc>
          <w:tcPr>
            <w:tcW w:w="3120" w:type="dxa"/>
            <w:shd w:val="clear" w:color="auto" w:fill="FFFFFF"/>
          </w:tcPr>
          <w:p w14:paraId="21A99C4C" w14:textId="77777777" w:rsidR="003C41A9" w:rsidRDefault="00000000">
            <w:pPr>
              <w:spacing w:after="0"/>
            </w:pPr>
            <w:r>
              <w:rPr>
                <w:sz w:val="20"/>
              </w:rPr>
              <w:t>Deep Learning Model</w:t>
            </w:r>
          </w:p>
        </w:tc>
        <w:tc>
          <w:tcPr>
            <w:tcW w:w="3120" w:type="dxa"/>
            <w:shd w:val="clear" w:color="auto" w:fill="FFFFFF"/>
          </w:tcPr>
          <w:p w14:paraId="02DDD0BA" w14:textId="77777777" w:rsidR="003C41A9" w:rsidRDefault="00000000">
            <w:pPr>
              <w:spacing w:after="0"/>
            </w:pPr>
            <w:r>
              <w:rPr>
                <w:sz w:val="20"/>
              </w:rPr>
              <w:t>2D EfficientNet-B0 (models/cnn_2d/)</w:t>
            </w:r>
          </w:p>
        </w:tc>
        <w:tc>
          <w:tcPr>
            <w:tcW w:w="3120" w:type="dxa"/>
            <w:shd w:val="clear" w:color="auto" w:fill="FFFFFF"/>
          </w:tcPr>
          <w:p w14:paraId="129D1D21" w14:textId="77777777" w:rsidR="003C41A9" w:rsidRDefault="00000000">
            <w:pPr>
              <w:spacing w:after="0"/>
            </w:pPr>
            <w:r>
              <w:rPr>
                <w:sz w:val="20"/>
              </w:rPr>
              <w:t>Computes 4-class CDR probability distributions for valid 2D slices.</w:t>
            </w:r>
          </w:p>
        </w:tc>
      </w:tr>
      <w:tr w:rsidR="003C41A9" w14:paraId="79AFBFC0" w14:textId="77777777">
        <w:trPr>
          <w:jc w:val="center"/>
        </w:trPr>
        <w:tc>
          <w:tcPr>
            <w:tcW w:w="3120" w:type="dxa"/>
            <w:shd w:val="clear" w:color="auto" w:fill="F8FAFC"/>
          </w:tcPr>
          <w:p w14:paraId="504E56F0" w14:textId="77777777" w:rsidR="003C41A9" w:rsidRDefault="00000000">
            <w:pPr>
              <w:spacing w:after="0"/>
            </w:pPr>
            <w:r>
              <w:rPr>
                <w:sz w:val="20"/>
              </w:rPr>
              <w:t>Slice Aggregation Engine</w:t>
            </w:r>
          </w:p>
        </w:tc>
        <w:tc>
          <w:tcPr>
            <w:tcW w:w="3120" w:type="dxa"/>
            <w:shd w:val="clear" w:color="auto" w:fill="F8FAFC"/>
          </w:tcPr>
          <w:p w14:paraId="686A031C" w14:textId="77777777" w:rsidR="003C41A9" w:rsidRDefault="00000000">
            <w:pPr>
              <w:spacing w:after="0"/>
            </w:pPr>
            <w:r>
              <w:rPr>
                <w:sz w:val="20"/>
              </w:rPr>
              <w:t>trainer_2d.py, aggregate_slice_probabilities</w:t>
            </w:r>
          </w:p>
        </w:tc>
        <w:tc>
          <w:tcPr>
            <w:tcW w:w="3120" w:type="dxa"/>
            <w:shd w:val="clear" w:color="auto" w:fill="F8FAFC"/>
          </w:tcPr>
          <w:p w14:paraId="460645C7" w14:textId="77777777" w:rsidR="003C41A9" w:rsidRDefault="00000000">
            <w:pPr>
              <w:spacing w:after="0"/>
            </w:pPr>
            <w:r>
              <w:rPr>
                <w:sz w:val="20"/>
              </w:rPr>
              <w:t>Aggregates slice probability vectors to patient level via Mean Probability Aggregation.</w:t>
            </w:r>
          </w:p>
        </w:tc>
      </w:tr>
      <w:tr w:rsidR="003C41A9" w14:paraId="696A4142" w14:textId="77777777">
        <w:trPr>
          <w:jc w:val="center"/>
        </w:trPr>
        <w:tc>
          <w:tcPr>
            <w:tcW w:w="3120" w:type="dxa"/>
            <w:shd w:val="clear" w:color="auto" w:fill="FFFFFF"/>
          </w:tcPr>
          <w:p w14:paraId="665C2E7F" w14:textId="77777777" w:rsidR="003C41A9" w:rsidRDefault="00000000">
            <w:pPr>
              <w:spacing w:after="0"/>
            </w:pPr>
            <w:r>
              <w:rPr>
                <w:sz w:val="20"/>
              </w:rPr>
              <w:t>Explainable AI (XAI)</w:t>
            </w:r>
          </w:p>
        </w:tc>
        <w:tc>
          <w:tcPr>
            <w:tcW w:w="3120" w:type="dxa"/>
            <w:shd w:val="clear" w:color="auto" w:fill="FFFFFF"/>
          </w:tcPr>
          <w:p w14:paraId="7970A0D0" w14:textId="77777777" w:rsidR="003C41A9" w:rsidRDefault="00000000">
            <w:pPr>
              <w:spacing w:after="0"/>
            </w:pPr>
            <w:r>
              <w:rPr>
                <w:sz w:val="20"/>
              </w:rPr>
              <w:t>2D Grad-CAM / Grad-CAM++ engine</w:t>
            </w:r>
          </w:p>
        </w:tc>
        <w:tc>
          <w:tcPr>
            <w:tcW w:w="3120" w:type="dxa"/>
            <w:shd w:val="clear" w:color="auto" w:fill="FFFFFF"/>
          </w:tcPr>
          <w:p w14:paraId="70D6543B" w14:textId="77777777" w:rsidR="003C41A9" w:rsidRDefault="00000000">
            <w:pPr>
              <w:spacing w:after="0"/>
            </w:pPr>
            <w:r>
              <w:rPr>
                <w:sz w:val="20"/>
              </w:rPr>
              <w:t>Generates 2D spatial heatmap overlays highlighting model feature attention on slices.</w:t>
            </w:r>
          </w:p>
        </w:tc>
      </w:tr>
      <w:tr w:rsidR="003C41A9" w14:paraId="6F0BE216" w14:textId="77777777">
        <w:trPr>
          <w:jc w:val="center"/>
        </w:trPr>
        <w:tc>
          <w:tcPr>
            <w:tcW w:w="3120" w:type="dxa"/>
            <w:shd w:val="clear" w:color="auto" w:fill="F8FAFC"/>
          </w:tcPr>
          <w:p w14:paraId="2C567B7C" w14:textId="77777777" w:rsidR="003C41A9" w:rsidRDefault="00000000">
            <w:pPr>
              <w:spacing w:after="0"/>
            </w:pPr>
            <w:r>
              <w:rPr>
                <w:sz w:val="20"/>
              </w:rPr>
              <w:t>Inference Engine</w:t>
            </w:r>
          </w:p>
        </w:tc>
        <w:tc>
          <w:tcPr>
            <w:tcW w:w="3120" w:type="dxa"/>
            <w:shd w:val="clear" w:color="auto" w:fill="F8FAFC"/>
          </w:tcPr>
          <w:p w14:paraId="0CCC1D37" w14:textId="77777777" w:rsidR="003C41A9" w:rsidRDefault="00000000">
            <w:pPr>
              <w:spacing w:after="0"/>
            </w:pPr>
            <w:r>
              <w:rPr>
                <w:sz w:val="20"/>
              </w:rPr>
              <w:t>inference_preprocessor.py, engine.py</w:t>
            </w:r>
          </w:p>
        </w:tc>
        <w:tc>
          <w:tcPr>
            <w:tcW w:w="3120" w:type="dxa"/>
            <w:shd w:val="clear" w:color="auto" w:fill="F8FAFC"/>
          </w:tcPr>
          <w:p w14:paraId="0D89804E" w14:textId="77777777" w:rsidR="003C41A9" w:rsidRDefault="00000000">
            <w:pPr>
              <w:spacing w:after="0"/>
            </w:pPr>
            <w:r>
              <w:rPr>
                <w:sz w:val="20"/>
              </w:rPr>
              <w:t>Executes single-volume 2D slice extraction &amp; prediction for uploaded MRI scans.</w:t>
            </w:r>
          </w:p>
        </w:tc>
      </w:tr>
      <w:tr w:rsidR="003C41A9" w14:paraId="49850C10" w14:textId="77777777">
        <w:trPr>
          <w:jc w:val="center"/>
        </w:trPr>
        <w:tc>
          <w:tcPr>
            <w:tcW w:w="3120" w:type="dxa"/>
            <w:shd w:val="clear" w:color="auto" w:fill="FFFFFF"/>
          </w:tcPr>
          <w:p w14:paraId="35ED5736" w14:textId="77777777" w:rsidR="003C41A9" w:rsidRDefault="00000000">
            <w:pPr>
              <w:spacing w:after="0"/>
            </w:pPr>
            <w:r>
              <w:rPr>
                <w:sz w:val="20"/>
              </w:rPr>
              <w:t>Backend REST API</w:t>
            </w:r>
          </w:p>
        </w:tc>
        <w:tc>
          <w:tcPr>
            <w:tcW w:w="3120" w:type="dxa"/>
            <w:shd w:val="clear" w:color="auto" w:fill="FFFFFF"/>
          </w:tcPr>
          <w:p w14:paraId="6D3777C6" w14:textId="77777777" w:rsidR="003C41A9" w:rsidRDefault="00000000">
            <w:pPr>
              <w:spacing w:after="0"/>
            </w:pPr>
            <w:r>
              <w:rPr>
                <w:sz w:val="20"/>
              </w:rPr>
              <w:t>FastAPI (backend/app/main.py)</w:t>
            </w:r>
          </w:p>
        </w:tc>
        <w:tc>
          <w:tcPr>
            <w:tcW w:w="3120" w:type="dxa"/>
            <w:shd w:val="clear" w:color="auto" w:fill="FFFFFF"/>
          </w:tcPr>
          <w:p w14:paraId="03FAD9E0" w14:textId="77777777" w:rsidR="003C41A9" w:rsidRDefault="00000000">
            <w:pPr>
              <w:spacing w:after="0"/>
            </w:pPr>
            <w:r>
              <w:rPr>
                <w:sz w:val="20"/>
              </w:rPr>
              <w:t>Exposes /predict, /explain, and /report endpoints for clinical web UI.</w:t>
            </w:r>
          </w:p>
        </w:tc>
      </w:tr>
      <w:tr w:rsidR="003C41A9" w14:paraId="080A53C8" w14:textId="77777777">
        <w:trPr>
          <w:jc w:val="center"/>
        </w:trPr>
        <w:tc>
          <w:tcPr>
            <w:tcW w:w="3120" w:type="dxa"/>
            <w:shd w:val="clear" w:color="auto" w:fill="F8FAFC"/>
          </w:tcPr>
          <w:p w14:paraId="102CA9AB" w14:textId="77777777" w:rsidR="003C41A9" w:rsidRDefault="00000000">
            <w:pPr>
              <w:spacing w:after="0"/>
            </w:pPr>
            <w:r>
              <w:rPr>
                <w:sz w:val="20"/>
              </w:rPr>
              <w:t>Frontend Web App</w:t>
            </w:r>
          </w:p>
        </w:tc>
        <w:tc>
          <w:tcPr>
            <w:tcW w:w="3120" w:type="dxa"/>
            <w:shd w:val="clear" w:color="auto" w:fill="F8FAFC"/>
          </w:tcPr>
          <w:p w14:paraId="1C75AF29" w14:textId="77777777" w:rsidR="003C41A9" w:rsidRDefault="00000000">
            <w:pPr>
              <w:spacing w:after="0"/>
            </w:pPr>
            <w:r>
              <w:rPr>
                <w:sz w:val="20"/>
              </w:rPr>
              <w:t>React / Next.js Dashboard</w:t>
            </w:r>
          </w:p>
        </w:tc>
        <w:tc>
          <w:tcPr>
            <w:tcW w:w="3120" w:type="dxa"/>
            <w:shd w:val="clear" w:color="auto" w:fill="F8FAFC"/>
          </w:tcPr>
          <w:p w14:paraId="69CD678C" w14:textId="77777777" w:rsidR="003C41A9" w:rsidRDefault="00000000">
            <w:pPr>
              <w:spacing w:after="0"/>
            </w:pPr>
            <w:r>
              <w:rPr>
                <w:sz w:val="20"/>
              </w:rPr>
              <w:t>Provides MRI drag-and-drop upload, 2D viewer, prediction scores, and PDF report.</w:t>
            </w:r>
          </w:p>
        </w:tc>
      </w:tr>
    </w:tbl>
    <w:p w14:paraId="0F3CE50B" w14:textId="77777777" w:rsidR="003C41A9" w:rsidRDefault="00000000">
      <w:pPr>
        <w:keepNext/>
        <w:spacing w:before="360"/>
      </w:pPr>
      <w:r>
        <w:rPr>
          <w:rFonts w:ascii="Arial" w:hAnsi="Arial"/>
          <w:b/>
          <w:color w:val="1E3A8A"/>
          <w:sz w:val="30"/>
        </w:rPr>
        <w:t>6. References</w:t>
      </w:r>
    </w:p>
    <w:p w14:paraId="2E2B921E" w14:textId="77777777" w:rsidR="003C41A9" w:rsidRDefault="00000000">
      <w:pPr>
        <w:pStyle w:val="ListBullet"/>
        <w:spacing w:after="80"/>
        <w:jc w:val="both"/>
      </w:pPr>
      <w:r>
        <w:rPr>
          <w:b/>
          <w:color w:val="0F172A"/>
        </w:rPr>
        <w:t xml:space="preserve">[Ref] </w:t>
      </w:r>
      <w:r>
        <w:t>Marcus, D. S., et al. (2007). 'Open Access Series of Imaging Studies (OASIS): Cross-sectional MRI Data in Young, Middle Aged, Nondemented, and Demented Older Adults.' Journal of Cognitive Neuroscience, 19(9), 1498–1507.</w:t>
      </w:r>
    </w:p>
    <w:p w14:paraId="58914870" w14:textId="77777777" w:rsidR="003C41A9" w:rsidRDefault="00000000">
      <w:pPr>
        <w:pStyle w:val="ListBullet"/>
        <w:spacing w:after="80"/>
        <w:jc w:val="both"/>
      </w:pPr>
      <w:r>
        <w:rPr>
          <w:b/>
          <w:color w:val="0F172A"/>
        </w:rPr>
        <w:t xml:space="preserve">[Ref] </w:t>
      </w:r>
      <w:r>
        <w:t>Morris, J. C. (1993). 'The Clinical Dementia Rating (CDR): current version and scoring rules.' Neurology, 43(11), 2412–2414.</w:t>
      </w:r>
    </w:p>
    <w:p w14:paraId="5894CBB9" w14:textId="77777777" w:rsidR="003C41A9" w:rsidRDefault="00000000">
      <w:pPr>
        <w:pStyle w:val="ListBullet"/>
        <w:spacing w:after="80"/>
        <w:jc w:val="both"/>
      </w:pPr>
      <w:r>
        <w:rPr>
          <w:b/>
          <w:color w:val="0F172A"/>
        </w:rPr>
        <w:t xml:space="preserve">[Ref] </w:t>
      </w:r>
      <w:r>
        <w:t>Tan, M., &amp; Le, Q. (2019). 'EfficientNet: Rethinking model scaling for convolutional neural networks.' In International Conference on Machine Learning (pp. 6105–6114).</w:t>
      </w:r>
    </w:p>
    <w:p w14:paraId="5F586CA5" w14:textId="77777777" w:rsidR="003C41A9" w:rsidRDefault="00000000">
      <w:pPr>
        <w:pStyle w:val="ListBullet"/>
        <w:spacing w:after="80"/>
        <w:jc w:val="both"/>
      </w:pPr>
      <w:r>
        <w:rPr>
          <w:b/>
          <w:color w:val="0F172A"/>
        </w:rPr>
        <w:t xml:space="preserve">[Ref] </w:t>
      </w:r>
      <w:r>
        <w:t>He, K., Zhang, X., Ren, S., &amp; Sun, J. (2016). 'Deep residual learning for image recognition.' In IEEE Conference on Computer Vision and Pattern Recognition (pp. 770–778).</w:t>
      </w:r>
    </w:p>
    <w:p w14:paraId="5E4CDA1E" w14:textId="77777777" w:rsidR="003C41A9" w:rsidRDefault="00000000">
      <w:pPr>
        <w:pStyle w:val="ListBullet"/>
        <w:spacing w:after="80"/>
        <w:jc w:val="both"/>
      </w:pPr>
      <w:r>
        <w:rPr>
          <w:b/>
          <w:color w:val="0F172A"/>
        </w:rPr>
        <w:t xml:space="preserve">[Ref] </w:t>
      </w:r>
      <w:r>
        <w:t>Selvaraju, R. R., et al. (2017). 'Grad-CAM: Visual explanations from deep networks via gradient-based localization.' In IEEE International Conference on Computer Vision (pp. 618–626).</w:t>
      </w:r>
    </w:p>
    <w:p w14:paraId="4558AB7B" w14:textId="77777777" w:rsidR="003C41A9" w:rsidRDefault="00000000">
      <w:pPr>
        <w:pStyle w:val="ListBullet"/>
        <w:spacing w:after="80"/>
        <w:jc w:val="both"/>
      </w:pPr>
      <w:r>
        <w:rPr>
          <w:b/>
          <w:color w:val="0F172A"/>
        </w:rPr>
        <w:t xml:space="preserve">[Ref] </w:t>
      </w:r>
      <w:r>
        <w:t>Jack, C. R., et al. (2018). 'NIA-AA Research Framework: Toward a biological definition of Alzheimer's disease.' Alzheimer's &amp; Dementia, 14(4), 535–562.</w:t>
      </w:r>
    </w:p>
    <w:p w14:paraId="75B76DD0" w14:textId="77777777" w:rsidR="003C41A9" w:rsidRDefault="00000000">
      <w:pPr>
        <w:pStyle w:val="ListBullet"/>
        <w:spacing w:after="80"/>
        <w:jc w:val="both"/>
      </w:pPr>
      <w:r>
        <w:rPr>
          <w:b/>
          <w:color w:val="0F172A"/>
        </w:rPr>
        <w:t xml:space="preserve">[Ref] </w:t>
      </w:r>
      <w:r>
        <w:t>Tustison, N. J., et al. (2010). 'N4ITK: improved N4 bias field correction.' IEEE Transactions on Medical Imaging, 29(6), 1310–1320.</w:t>
      </w:r>
    </w:p>
    <w:p w14:paraId="18FCC67E" w14:textId="77777777" w:rsidR="003C41A9" w:rsidRDefault="00000000">
      <w:pPr>
        <w:pStyle w:val="ListBullet"/>
        <w:spacing w:after="80"/>
        <w:jc w:val="both"/>
      </w:pPr>
      <w:r>
        <w:rPr>
          <w:b/>
          <w:color w:val="0F172A"/>
        </w:rPr>
        <w:lastRenderedPageBreak/>
        <w:t xml:space="preserve">[Ref] </w:t>
      </w:r>
      <w:r>
        <w:t>Ronneberger, O., Fischer, P., &amp; Brox, T. (2015). 'U-net: Convolutional networks for biomedical image segmentation.' In MICCAI (pp. 234–241). Springer.</w:t>
      </w:r>
    </w:p>
    <w:p w14:paraId="3457820D" w14:textId="77777777" w:rsidR="003C41A9" w:rsidRDefault="00000000">
      <w:pPr>
        <w:pStyle w:val="ListBullet"/>
        <w:spacing w:after="80"/>
        <w:jc w:val="both"/>
      </w:pPr>
      <w:r>
        <w:rPr>
          <w:b/>
          <w:color w:val="0F172A"/>
        </w:rPr>
        <w:t xml:space="preserve">[Ref] </w:t>
      </w:r>
      <w:r>
        <w:t>Dosovitskiy, A., et al. (2020). 'An image is worth 16x16 words: Transformers for image recognition at scale.' arXiv preprint arXiv:2010.11929.</w:t>
      </w:r>
    </w:p>
    <w:p w14:paraId="1C2501FE" w14:textId="77777777" w:rsidR="003C41A9" w:rsidRDefault="00000000">
      <w:pPr>
        <w:pStyle w:val="ListBullet"/>
        <w:spacing w:after="80"/>
        <w:jc w:val="both"/>
      </w:pPr>
      <w:r>
        <w:rPr>
          <w:b/>
          <w:color w:val="0F172A"/>
        </w:rPr>
        <w:t xml:space="preserve">[Ref] </w:t>
      </w:r>
      <w:r>
        <w:t>Cardoso, M. J., et al. (2022). 'MONAI: An open-source framework for deep learning in healthcare.' arXiv preprint arXiv:2211.02701.</w:t>
      </w:r>
    </w:p>
    <w:sectPr w:rsidR="003C41A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8011827">
    <w:abstractNumId w:val="8"/>
  </w:num>
  <w:num w:numId="2" w16cid:durableId="1911846525">
    <w:abstractNumId w:val="6"/>
  </w:num>
  <w:num w:numId="3" w16cid:durableId="695540941">
    <w:abstractNumId w:val="5"/>
  </w:num>
  <w:num w:numId="4" w16cid:durableId="2039892405">
    <w:abstractNumId w:val="4"/>
  </w:num>
  <w:num w:numId="5" w16cid:durableId="281502870">
    <w:abstractNumId w:val="7"/>
  </w:num>
  <w:num w:numId="6" w16cid:durableId="1768621142">
    <w:abstractNumId w:val="3"/>
  </w:num>
  <w:num w:numId="7" w16cid:durableId="1694501485">
    <w:abstractNumId w:val="2"/>
  </w:num>
  <w:num w:numId="8" w16cid:durableId="343479284">
    <w:abstractNumId w:val="1"/>
  </w:num>
  <w:num w:numId="9" w16cid:durableId="41953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41A9"/>
    <w:rsid w:val="0070264B"/>
    <w:rsid w:val="00AA1D8D"/>
    <w:rsid w:val="00B47730"/>
    <w:rsid w:val="00CB0664"/>
    <w:rsid w:val="00EE5E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DF48C1"/>
  <w14:defaultImageDpi w14:val="300"/>
  <w15:docId w15:val="{CF7CCA0A-D46A-43E2-B037-C1D9C6F95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1911</Words>
  <Characters>10898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SPANDAN CHATTERJEE - 123194923 - MITMPL</cp:lastModifiedBy>
  <cp:revision>2</cp:revision>
  <dcterms:created xsi:type="dcterms:W3CDTF">2013-12-23T23:15:00Z</dcterms:created>
  <dcterms:modified xsi:type="dcterms:W3CDTF">2026-08-13T04:31:00Z</dcterms:modified>
  <cp:category/>
</cp:coreProperties>
</file>