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Customer Segmentation via Unsupervised Learning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PCA + K-Means Clustering on Retail Customer Data</w:t>
      </w:r>
    </w:p>
    <w:p>
      <w:pPr>
        <w:spacing w:after="160"/>
      </w:pPr>
      <w:r>
        <w:rPr>
          <w:b/>
          <w:bCs/>
        </w:rPr>
        <w:t xml:space="preserve">Project 3 — Unsupervised Learning (Customer Segmentation)</w:t>
      </w:r>
    </w:p>
    <w:p>
      <w:pPr>
        <w:spacing w:after="160"/>
      </w:pPr>
      <w:r>
        <w:t xml:space="preserve">Goal: Use distance-based algorithms to discover hidden mathematical groupings in unlabeled retail data.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t xml:space="preserve">This project applies fully unsupervised machine learning to a retail dataset of 2,000 customers described by 28 behavioral, demographic, and transactional features — with no pre-existing labels. Principal Component Analysis (PCA) compressed the feature space into 2-3 dimensions, and K-Means clustering was applied on that reduced space. The Elbow Method and Silhouette Score were used together to mathematically justify the number of clusters, rather than guessing. The result is 4 statistically distinct, well-separated customer segments (overall silhouette score of 0.628, indicating strong cluster cohesion and separation), each translated below into an actionable business persona.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pStyle w:val="Heading2"/>
        <w:spacing w:after="150" w:before="300"/>
      </w:pPr>
      <w:r>
        <w:t xml:space="preserve">2.1 Data &amp; Preprocessing</w:t>
      </w:r>
    </w:p>
    <w:p>
      <w:pPr>
        <w:spacing w:after="160"/>
      </w:pPr>
      <w:r>
        <w:t xml:space="preserve">The dataset contains 2,000 customers x 28 numeric features spanning demographics (age, income, tenure), purchase behavior (frequency, monetary value, average order value, recency), channel usage (web/store/catalog purchases, app sessions, web visits), engagement (email open rate, social engagement, reviews, wishlist items), service signals (complaints, returns, customer service contacts), and category-level spend (electronics, apparel, grocery, home goods, beauty). All features were standardized (zero mean, unit variance) using StandardScaler before any distance-based computation — this is essential because raw features span wildly different scales (e.g., discount rates of 0-1 vs. monetary totals in the thousands), and without scaling, the largest-magnitude feature would dominate every distance calculation.</w:t>
      </w:r>
    </w:p>
    <w:p>
      <w:pPr>
        <w:pStyle w:val="Heading2"/>
        <w:spacing w:after="150" w:before="300"/>
      </w:pPr>
      <w:r>
        <w:t xml:space="preserve">2.2 Dimensionality Reduction (PCA)</w:t>
      </w:r>
    </w:p>
    <w:p>
      <w:pPr>
        <w:spacing w:after="160"/>
      </w:pPr>
      <w:r>
        <w:t xml:space="preserve">PCA reduced the 28-dimensional standardized feature space down to 2 and 3 principal components for clustering and visualization. The first 2 components capture 57.5% of total variance (PC1: 36.0%, PC2: 21.5%); the first 3 components capture 65.3%. PC1 is driven primarily by overall purchase volume and value (MonetaryTotal, Frequency, Web/Store Purchases, Loyalty Points) — effectively a 'customer value' axis. PC2 is driven by digital engagement and lifecycle stage (Wishlist Items, Cart Abandon Rate, Web Visits, Tenure, Age) — effectively a 'digital-native vs. established-customer' axis.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Cumulative explained variance by principal component.</w:t>
      </w:r>
    </w:p>
    <w:p>
      <w:pPr>
        <w:pStyle w:val="Heading2"/>
        <w:spacing w:after="150" w:before="300"/>
      </w:pPr>
      <w:r>
        <w:t xml:space="preserve">2.3 Determining Optimal K: Elbow Method + Silhouette Score</w:t>
      </w:r>
    </w:p>
    <w:p>
      <w:pPr>
        <w:spacing w:after="160"/>
      </w:pPr>
      <w:r>
        <w:t xml:space="preserve">Two independent methods were run across k = 2 to 10 to mathematically identify the optimal number of clusters, rather than relying on a visual guess alone: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Elbow Method: plots within-cluster sum of squares (inertia) vs. k. The rate of improvement slows sharply after k=4, forming the 'elbow'.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Silhouette Score: measures how well-separated and internally cohesive clusters are (range -1 to 1; higher is better). This is the more rigorous, quantitative signal since the elbow can be visually ambiguous.</w:t>
      </w:r>
    </w:p>
    <w:p>
      <w:pPr>
        <w:spacing w:after="160"/>
      </w:pPr>
      <w:r>
        <w:rPr>
          <w:i/>
          <w:iCs/>
        </w:rPr>
        <w:t xml:space="preserve">Silhouette scores by k: k=2: 0.541 | k=3: 0.593 | k=4: 0.628 (peak) | k=5: 0.611 | k=6: 0.515 | k=7: 0.513 | k=8: 0.522 | k=9: 0.461 | k=10: 0.451.</w:t>
      </w:r>
    </w:p>
    <w:p>
      <w:pPr>
        <w:spacing w:after="160"/>
      </w:pPr>
      <w:r>
        <w:t xml:space="preserve">k=4 produces the maximum silhouette score (0.628) and coincides with the elbow in the inertia curve — both methods agree, giving strong mathematical justification for 4 clusters.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Elbow Method (left) and Silhouette Score (right) across k=2..10. Both methods point to k=4.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Per-cluster silhouette diagram at k=4. All four clusters sit at or above the average line (red dashed), confirming healthy, well-separated groupings with no weak/overlapping cluster.</w:t>
      </w:r>
    </w:p>
    <w:p>
      <w:pPr>
        <w:pStyle w:val="Heading2"/>
        <w:spacing w:after="150" w:before="300"/>
      </w:pPr>
      <w:r>
        <w:t xml:space="preserve">2.4 Final Clustering Result</w:t>
      </w:r>
    </w:p>
    <w:p>
      <w:pPr>
        <w:spacing w:after="160"/>
      </w:pPr>
      <w:r>
        <w:t xml:space="preserve">K-Means was fit with k=4 on the 2D PCA-reduced space (25 random initializations to avoid poor local minima), producing an overall silhouette score of 0.628.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The four customer segments, visualized in 2D PCA space. Centroids (black X) mark each cluster's mathematical center.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The same four segments in 3D PCA space (adds the 3rd component, +7.8% variance), confirming separation holds beyond 2 dimensions.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 — Standardized (z-score) feature profile per cluster. Red = above-average, blue = below-average. This heatmap is the direct source for the persona descriptions in Section 3.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 — Customer count per cluster.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Business Personas</w:t>
      </w:r>
    </w:p>
    <w:p>
      <w:pPr>
        <w:spacing w:after="160"/>
      </w:pPr>
      <w:r>
        <w:t xml:space="preserve">Each mathematical cluster is translated below into a persona a marketing or CRM team can act on directly — including what makes them distinct and specific recommended actions.</w:t>
      </w:r>
    </w:p>
    <w:p>
      <w:pPr>
        <w:pStyle w:val="Heading2"/>
        <w:spacing w:after="150" w:before="300"/>
      </w:pPr>
      <w:r>
        <w:t xml:space="preserve">Cluster 3: The Digital Deal-Seekers</w:t>
      </w:r>
    </w:p>
    <w:p>
      <w:pPr>
        <w:spacing w:after="160"/>
      </w:pPr>
      <w:r>
        <w:rPr>
          <w:b/>
          <w:bCs/>
          <w:i/>
          <w:iCs/>
          <w:color w:val="2C7FB8"/>
        </w:rPr>
        <w:t xml:space="preserve">38.6% of customers (n=773) — the largest segment</w:t>
      </w:r>
    </w:p>
    <w:p>
      <w:pPr>
        <w:spacing w:after="160"/>
      </w:pPr>
      <w:r>
        <w:t xml:space="preserve">Young (avg. age 32), short tenure (~22 months), extremely active online — highest web visits, app usage (117 min/mo) and social engagement (62.3) of any group — but they hunt for discounts (48% discount usage) and abandon carts nearly twice as often as average (40%).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Income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$55.5k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19.3 / yr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$857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Usage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Abandon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Session Min/Month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116.7</w:t>
            </w:r>
          </w:p>
        </w:tc>
      </w:tr>
    </w:tbl>
    <w:p>
      <w:pPr>
        <w:spacing w:after="160"/>
      </w:pPr>
      <w:r>
        <w:rPr>
          <w:b/>
          <w:bCs/>
        </w:rPr>
        <w:br/>
        <w:t xml:space="preserve">Recommended 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 cart-abandonment email/SMS flows with a time-boxed small discount to convert the 40% abandon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Gamify the mobile app (points, streaks, referral badges) — this segment already lives there.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flash sales and limited-time bundles via app notifications rather than email (their open rate is average, but app engagement is 3x the base rate).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 lifetime value gradually with a tiered loyalty program rather than one-time discounts, to reduce long-run margin erosion.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Cluster 1: Premium Loyalists (VIPs)</w:t>
      </w:r>
    </w:p>
    <w:p>
      <w:pPr>
        <w:spacing w:after="160"/>
      </w:pPr>
      <w:r>
        <w:rPr>
          <w:b/>
          <w:bCs/>
          <w:i/>
          <w:iCs/>
          <w:color w:val="2C7FB8"/>
        </w:rPr>
        <w:t xml:space="preserve">17.6% of customers (n=352) — smallest but most valuable segment</w:t>
      </w:r>
    </w:p>
    <w:p>
      <w:pPr>
        <w:spacing w:after="160"/>
      </w:pPr>
      <w:r>
        <w:t xml:space="preserve">Highest income ($110.9k), highest spend ($4,324/yr — 5x the overall average), highest order values ($149.81), and they buy across every category. Very low return rate (3%) and complaints (0.18), with the highest email engagement (53% open rate).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Income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$110.9k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$4,324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29.1 / yr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Order Value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$149.81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Recency (days since last order)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</w:tbl>
    <w:p>
      <w:pPr>
        <w:spacing w:after="160"/>
      </w:pPr>
      <w:r>
        <w:rPr>
          <w:b/>
          <w:bCs/>
        </w:rPr>
        <w:br/>
        <w:t xml:space="preserve">Recommended 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 this segment first — a small % churn here has an outsized revenue impact given ~5x average spend.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Launch/expand a white-glove loyalty tier: early access to new arrivals, dedicated support line, free premium shipping.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them as a source of testimonials/referral drivers — low complaint rate signals genuine satisfaction.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Cross-sell rather than discount — they respond to curated recommendations and email, not price cuts.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Cluster 2: Steady Average Shoppers</w:t>
      </w:r>
    </w:p>
    <w:p>
      <w:pPr>
        <w:spacing w:after="160"/>
      </w:pPr>
      <w:r>
        <w:rPr>
          <w:b/>
          <w:bCs/>
          <w:i/>
          <w:iCs/>
          <w:color w:val="2C7FB8"/>
        </w:rPr>
        <w:t xml:space="preserve">23.0% of customers (n=461) — the stable middle</w:t>
      </w:r>
    </w:p>
    <w:p>
      <w:pPr>
        <w:spacing w:after="160"/>
      </w:pPr>
      <w:r>
        <w:t xml:space="preserve">A middle-of-the-road segment on almost every metric: moderate income ($72.7k), moderate spend ($742.77/yr), moderate engagement. Nothing about them is extreme — the opportunity is to nudge them toward either the Loyalist or Digital segment before they drift toward the At-Risk group.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40.9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Income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$72.7k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$742.77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11.3 / yr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Usage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Recency (days)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31.8</w:t>
            </w:r>
          </w:p>
        </w:tc>
      </w:tr>
    </w:tbl>
    <w:p>
      <w:pPr>
        <w:spacing w:after="160"/>
      </w:pPr>
      <w:r>
        <w:rPr>
          <w:b/>
          <w:bCs/>
        </w:rPr>
        <w:br/>
        <w:t xml:space="preserve">Recommended 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A/B test personalized product recommendations to lift engagement above the current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a loyalty-program enrollment nudge — they're engaged enough to convert but aren't currently in a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recency trend monthly; a rising recency value here is the earliest warning sign of drift into the At-Risk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Light-touch win-back content (not heavy discounting) to reinforce brand engagement.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Cluster 0: At-Risk / Dormant Customers</w:t>
      </w:r>
    </w:p>
    <w:p>
      <w:pPr>
        <w:spacing w:after="160"/>
      </w:pPr>
      <w:r>
        <w:rPr>
          <w:b/>
          <w:bCs/>
          <w:i/>
          <w:iCs/>
          <w:color w:val="2C7FB8"/>
        </w:rPr>
        <w:t xml:space="preserve">20.7% of customers (n=414) — churn-risk priority</w:t>
      </w:r>
    </w:p>
    <w:p>
      <w:pPr>
        <w:spacing w:after="160"/>
      </w:pPr>
      <w:r>
        <w:t xml:space="preserve">Long-tenured (60 months average — these are OLD customers) but have gone quiet: 139 days since last purchase (vs. 8-32 days for other segments), lowest purchase frequency (3.0/yr), highest return rate (20%) and by far the most complaints (2.06 vs &lt;1 elsewhere). Email open rate has collapsed to 5%.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C7FB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Tenure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60.2 months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Recency (days since last order)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139.2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 / yr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Complaints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2.06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$145.93</w:t>
            </w:r>
          </w:p>
        </w:tc>
      </w:tr>
    </w:tbl>
    <w:p>
      <w:pPr>
        <w:spacing w:after="160"/>
      </w:pPr>
      <w:r>
        <w:rPr>
          <w:b/>
          <w:bCs/>
        </w:rPr>
        <w:br/>
        <w:t xml:space="preserve">Recommended 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a win-back campaign via a channel other than email (5% open rate signals email fatigue) — try SMS, direct mail, or retargeting 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root cause: this group's elevated complaints + returns suggest a service-quality issue, not just disinterest.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a genuine save-the-relationship incentive (not a generic coupon) — e.g., a personal outreach or service recovery gesture given their long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no response after 1-2 win-back attempts, suppress from regular marketing sends to protect deliverability/reputation and stop wasting spend.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4. Conclusion &amp; Next Steps</w:t>
      </w:r>
    </w:p>
    <w:p>
      <w:pPr>
        <w:spacing w:after="160"/>
      </w:pPr>
      <w:r>
        <w:t xml:space="preserve">The combination of PCA + K-Means, validated by the Elbow Method and Silhouette Score, uncovered 4 mathematically distinct and business-interpretable customer segments from fully unlabeled data: Digital Deal-Seekers (38.6%), Premium Loyalists (17.6%), Steady Average Shoppers (23.0%), and At-Risk/Dormant Customers (20.7%). These segments differ meaningfully on value, channel behavior, and service signals — differences invisible in the raw 28-column dataset but clear once distance-based unsupervised learning was applied.</w:t>
      </w:r>
    </w:p>
    <w:p>
      <w:pPr>
        <w:spacing w:after="160"/>
      </w:pPr>
      <w:r>
        <w:rPr>
          <w:b/>
          <w:bCs/>
        </w:rPr>
        <w:t xml:space="preserve">Suggested next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this pipeline quarterly to track how customers migrate between segments over time (e.g., Steady -&gt; At-Risk drift).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 the Cluster label back into the CRM/marketing platform as a customer attribute to drive segment-specific campaigns.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alternative distance metrics (e.g., cosine distance) or algorithms (DBSCAN, Gaussian Mixture Models) to check cluster stability.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Deepen the At-Risk segment analysis with a churn-prediction (supervised) follow-up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5725734f3fd15f8fb5cd415653392ddc161029.png"/><Relationship Id="rId8" Type="http://schemas.openxmlformats.org/officeDocument/2006/relationships/image" Target="media/3182961b446817255bebdfe485e834631a72dca7.png"/><Relationship Id="rId9" Type="http://schemas.openxmlformats.org/officeDocument/2006/relationships/image" Target="media/ec94481e0530b2d8807fe062097ed01282a412a0.png"/><Relationship Id="rId10" Type="http://schemas.openxmlformats.org/officeDocument/2006/relationships/image" Target="media/bb458b3a8c4cb639c117508aae7150e632e28385.png"/><Relationship Id="rId11" Type="http://schemas.openxmlformats.org/officeDocument/2006/relationships/image" Target="media/38727c518418fe0e0880748201772c45fa44ce43.png"/><Relationship Id="rId12" Type="http://schemas.openxmlformats.org/officeDocument/2006/relationships/image" Target="media/5a2038246af4a15ad1f78949af590c85c385a7cb.png"/><Relationship Id="rId13" Type="http://schemas.openxmlformats.org/officeDocument/2006/relationships/image" Target="media/d17fec9d0858697be1d350dc90ca76e3173bae8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2026-08-10T14:00:42.014Z</dcterms:created>
  <dcterms:modified xsi:type="dcterms:W3CDTF">2026-08-10T14:00:42.028Z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