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line="276" w:lineRule="auto"/>
        <w:rPr/>
      </w:pPr>
      <w:r w:rsidDel="00000000" w:rsidR="00000000" w:rsidRPr="00000000">
        <w:rPr>
          <w:rtl w:val="0"/>
        </w:rPr>
        <w:t xml:space="preserve">The database server stores sensitive customer and business data essential for company operations. Securing this server is critical to maintain customer trust, business continuity, and data integrity. If the database were compromised, attackers could access confidential information, leading to financial losses and reputational damage. Additionally, if the server became unavailable, remote employees would be unable to retrieve or process customer data, disrupting core business activities. This analysis aims to identify vulnerabilities and recommend mitigation strategies to strengthen system defenses.</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510"/>
        <w:gridCol w:w="1395"/>
        <w:gridCol w:w="1320"/>
        <w:gridCol w:w="1110"/>
        <w:tblGridChange w:id="0">
          <w:tblGrid>
            <w:gridCol w:w="1965"/>
            <w:gridCol w:w="3510"/>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Outsider(hacker)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denial-of-service (DoS)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Privileged User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 or delete critical customer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020">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1">
      <w:pPr>
        <w:rPr/>
      </w:pPr>
      <w:r w:rsidDel="00000000" w:rsidR="00000000" w:rsidRPr="00000000">
        <w:rPr>
          <w:rtl w:val="0"/>
        </w:rPr>
        <w:t xml:space="preserve">This qualitative assessment considers both internal and external threat sources. Hackers pose a significant risk since the database is publicly accessible, making data exfiltration highly likely. A competitor might perform a DoS attack to disrupt operations and gain an advantage in the market. Additionally, a privileged insider could accidentally or maliciously alter data due to excessive access permissions. These threats were chosen because they directly affect data confidentiality, integrity, and availability — the three pillars of information security.</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these vulnerabilities, implement multi-factor authentication (MFA) and role-based access control (RBAC) to ensure only authorized users can access or modify sensitive data. Restrict public access by placing the database behind a firewall or virtual private network (VPN). Encrypt all data in transit using TLS 1.3 and audit database activities regularly using monitoring tools. Apply the principle of least privilege and regularly review user accounts to reduce insider threats. Finally, deploy intrusion detection/prevention systems (IDS/IPS) to detect and block malicious traffic proactively.</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