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yxwy7jae7omi" w:id="0"/>
      <w:bookmarkEnd w:id="0"/>
      <w:r w:rsidDel="00000000" w:rsidR="00000000" w:rsidRPr="00000000">
        <w:rPr>
          <w:rFonts w:ascii="Google Sans" w:cs="Google Sans" w:eastAsia="Google Sans" w:hAnsi="Google Sans"/>
          <w:b w:val="1"/>
          <w:rtl w:val="0"/>
        </w:rPr>
        <w:t xml:space="preserve">Parking lot USB exercise</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6600"/>
        <w:tblGridChange w:id="0">
          <w:tblGrid>
            <w:gridCol w:w="2760"/>
            <w:gridCol w:w="6600"/>
          </w:tblGrid>
        </w:tblGridChange>
      </w:tblGrid>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The USB drive contains both personal and work-related files, such as family and pet photos, employee shift schedules, and HR-related documents like a new hire letter and a resume. These files may include personally identifiable information (PII) and sensitive organizational data. Storing personal and professional files together increases the risk of accidental data exposure or misuse.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i w:val="1"/>
              </w:rPr>
            </w:pPr>
            <w:r w:rsidDel="00000000" w:rsidR="00000000" w:rsidRPr="00000000">
              <w:rPr>
                <w:rtl w:val="0"/>
              </w:rPr>
            </w:r>
          </w:p>
        </w:tc>
      </w:tr>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Attacker mindset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An attacker could use the HR documents to gather employee details, impersonate staff, or craft phishing emails targeting Rhetorical Hospital employees. Personal files could be exploited for social engineering, making it easier to guess passwords or manipulate Jorge or his colleagues. The attacker might also use the drive to install malware or gain unauthorized access to hospital systems.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i w:val="1"/>
              </w:rPr>
            </w:pPr>
            <w:r w:rsidDel="00000000" w:rsidR="00000000" w:rsidRPr="00000000">
              <w:rPr>
                <w:rtl w:val="0"/>
              </w:rPr>
            </w:r>
          </w:p>
        </w:tc>
      </w:tr>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Risk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240" w:before="24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Malware such as ransomware, keyloggers, or backdoors could be hidden on such USB devices. If an employee unknowingly plugged in an infected drive, it could compromise the hospital’s internal network, leading to data theft or service disruption. To mitigate this risk, organizations should implement USB usage policies, disable autorun features, provide cybersecurity training, and use sandboxed or virtual environments for investigating unknown devices. Endpoint protection and device control solutions should also be enforced to detect and block unauthorized USB access.</w:t>
            </w:r>
            <w:r w:rsidDel="00000000" w:rsidR="00000000" w:rsidRPr="00000000">
              <w:rPr>
                <w:rtl w:val="0"/>
              </w:rPr>
            </w:r>
          </w:p>
        </w:tc>
      </w:tr>
    </w:tbl>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