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100" w:before="480"/>
        <w:jc w:val="center"/>
      </w:pPr>
      <w:r>
        <w:rPr>
          <w:rFonts w:ascii="Arial" w:cs="Arial" w:eastAsia="Arial" w:hAnsi="Arial"/>
          <w:b/>
          <w:bCs/>
          <w:color w:val="1F4E79"/>
          <w:sz w:val="60"/>
          <w:szCs w:val="60"/>
        </w:rPr>
        <w:t xml:space="preserve">SpanForge-Core</w:t>
      </w:r>
    </w:p>
    <w:p>
      <w:pPr>
        <w:spacing w:after="80" w:before="0"/>
        <w:jc w:val="center"/>
      </w:pPr>
      <w:r>
        <w:rPr>
          <w:rFonts w:ascii="Arial" w:cs="Arial" w:eastAsia="Arial" w:hAnsi="Arial"/>
          <w:color w:val="2E75B6"/>
          <w:sz w:val="40"/>
          <w:szCs w:val="40"/>
        </w:rPr>
        <w:t xml:space="preserve">Learning Curriculum</w:t>
      </w:r>
    </w:p>
    <w:p>
      <w:pPr>
        <w:spacing w:after="60" w:before="0"/>
        <w:jc w:val="center"/>
      </w:pPr>
      <w:r>
        <w:rPr>
          <w:rFonts w:ascii="Arial" w:cs="Arial" w:eastAsia="Arial" w:hAnsi="Arial"/>
          <w:color w:val="404040"/>
          <w:sz w:val="28"/>
          <w:szCs w:val="28"/>
        </w:rPr>
        <w:t xml:space="preserve">Complete Table of Contents</w:t>
      </w:r>
    </w:p>
    <w:p>
      <w:pPr>
        <w:spacing w:after="60" w:before="0"/>
        <w:jc w:val="center"/>
      </w:pPr>
      <w:r>
        <w:rPr>
          <w:rFonts w:ascii="Arial" w:cs="Arial" w:eastAsia="Arial" w:hAnsi="Arial"/>
          <w:color w:val="999999"/>
          <w:sz w:val="20"/>
          <w:szCs w:val="20"/>
        </w:rPr>
        <w:t xml:space="preserve">April 2026  •  Confidential</w:t>
      </w:r>
    </w:p>
    <w:p>
      <w:pPr>
        <w:spacing w:after="6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50"/>
      </w:tblGrid>
      <w:tr>
        <w:tc>
          <w:tcPr>
            <w:tcW w:type="dxa" w:w="2350"/>
            <w:tcBorders>
              <w:top w:val="single" w:color="CCCCCC" w:sz="1"/>
              <w:left w:val="single" w:color="CCCCCC" w:sz="1"/>
              <w:bottom w:val="single" w:color="CCCCCC" w:sz="1"/>
              <w:right w:val="single" w:color="CCCCCC" w:sz="1"/>
            </w:tcBorders>
            <w:shd w:fill="D6E4F0" w:val="clear"/>
            <w:tcMar>
              <w:top w:type="dxa" w:w="160"/>
              <w:left w:type="dxa" w:w="160"/>
              <w:bottom w:type="dxa" w:w="80"/>
              <w:right w:type="dxa" w:w="160"/>
            </w:tcMar>
          </w:tcPr>
          <w:p>
            <w:pPr>
              <w:jc w:val="center"/>
            </w:pPr>
            <w:r>
              <w:rPr>
                <w:rFonts w:ascii="Arial" w:cs="Arial" w:eastAsia="Arial" w:hAnsi="Arial"/>
                <w:b/>
                <w:bCs/>
                <w:color w:val="1F4E79"/>
                <w:sz w:val="36"/>
                <w:szCs w:val="36"/>
              </w:rPr>
              <w:t xml:space="preserve">8</w:t>
            </w:r>
          </w:p>
          <w:p>
            <w:pPr>
              <w:spacing w:before="20"/>
              <w:jc w:val="center"/>
            </w:pPr>
            <w:r>
              <w:rPr>
                <w:rFonts w:ascii="Arial" w:cs="Arial" w:eastAsia="Arial" w:hAnsi="Arial"/>
                <w:color w:val="404040"/>
                <w:sz w:val="17"/>
                <w:szCs w:val="17"/>
              </w:rPr>
              <w:t xml:space="preserve">Parts</w:t>
            </w:r>
          </w:p>
        </w:tc>
        <w:tc>
          <w:tcPr>
            <w:tcW w:type="dxa" w:w="2350"/>
            <w:tcBorders>
              <w:top w:val="single" w:color="CCCCCC" w:sz="1"/>
              <w:left w:val="single" w:color="CCCCCC" w:sz="1"/>
              <w:bottom w:val="single" w:color="CCCCCC" w:sz="1"/>
              <w:right w:val="single" w:color="CCCCCC" w:sz="1"/>
            </w:tcBorders>
            <w:shd w:fill="F0F0F0" w:val="clear"/>
            <w:tcMar>
              <w:top w:type="dxa" w:w="160"/>
              <w:left w:type="dxa" w:w="160"/>
              <w:bottom w:type="dxa" w:w="80"/>
              <w:right w:type="dxa" w:w="160"/>
            </w:tcMar>
          </w:tcPr>
          <w:p>
            <w:pPr>
              <w:jc w:val="center"/>
            </w:pPr>
            <w:r>
              <w:rPr>
                <w:rFonts w:ascii="Arial" w:cs="Arial" w:eastAsia="Arial" w:hAnsi="Arial"/>
                <w:b/>
                <w:bCs/>
                <w:color w:val="1F4E79"/>
                <w:sz w:val="36"/>
                <w:szCs w:val="36"/>
              </w:rPr>
              <w:t xml:space="preserve">47</w:t>
            </w:r>
          </w:p>
          <w:p>
            <w:pPr>
              <w:spacing w:before="20"/>
              <w:jc w:val="center"/>
            </w:pPr>
            <w:r>
              <w:rPr>
                <w:rFonts w:ascii="Arial" w:cs="Arial" w:eastAsia="Arial" w:hAnsi="Arial"/>
                <w:color w:val="404040"/>
                <w:sz w:val="17"/>
                <w:szCs w:val="17"/>
              </w:rPr>
              <w:t xml:space="preserve">Chapters</w:t>
            </w:r>
          </w:p>
        </w:tc>
        <w:tc>
          <w:tcPr>
            <w:tcW w:type="dxa" w:w="2350"/>
            <w:tcBorders>
              <w:top w:val="single" w:color="CCCCCC" w:sz="1"/>
              <w:left w:val="single" w:color="CCCCCC" w:sz="1"/>
              <w:bottom w:val="single" w:color="CCCCCC" w:sz="1"/>
              <w:right w:val="single" w:color="CCCCCC" w:sz="1"/>
            </w:tcBorders>
            <w:shd w:fill="D6E4F0" w:val="clear"/>
            <w:tcMar>
              <w:top w:type="dxa" w:w="160"/>
              <w:left w:type="dxa" w:w="160"/>
              <w:bottom w:type="dxa" w:w="80"/>
              <w:right w:type="dxa" w:w="160"/>
            </w:tcMar>
          </w:tcPr>
          <w:p>
            <w:pPr>
              <w:jc w:val="center"/>
            </w:pPr>
            <w:r>
              <w:rPr>
                <w:rFonts w:ascii="Arial" w:cs="Arial" w:eastAsia="Arial" w:hAnsi="Arial"/>
                <w:b/>
                <w:bCs/>
                <w:color w:val="1F4E79"/>
                <w:sz w:val="36"/>
                <w:szCs w:val="36"/>
              </w:rPr>
              <w:t xml:space="preserve">~120 hrs</w:t>
            </w:r>
          </w:p>
          <w:p>
            <w:pPr>
              <w:spacing w:before="20"/>
              <w:jc w:val="center"/>
            </w:pPr>
            <w:r>
              <w:rPr>
                <w:rFonts w:ascii="Arial" w:cs="Arial" w:eastAsia="Arial" w:hAnsi="Arial"/>
                <w:color w:val="404040"/>
                <w:sz w:val="17"/>
                <w:szCs w:val="17"/>
              </w:rPr>
              <w:t xml:space="preserve">Estimated study time</w:t>
            </w:r>
          </w:p>
        </w:tc>
        <w:tc>
          <w:tcPr>
            <w:tcW w:type="dxa" w:w="2350"/>
            <w:tcBorders>
              <w:top w:val="single" w:color="CCCCCC" w:sz="1"/>
              <w:left w:val="single" w:color="CCCCCC" w:sz="1"/>
              <w:bottom w:val="single" w:color="CCCCCC" w:sz="1"/>
              <w:right w:val="single" w:color="CCCCCC" w:sz="1"/>
            </w:tcBorders>
            <w:shd w:fill="F0F0F0" w:val="clear"/>
            <w:tcMar>
              <w:top w:type="dxa" w:w="160"/>
              <w:left w:type="dxa" w:w="160"/>
              <w:bottom w:type="dxa" w:w="80"/>
              <w:right w:type="dxa" w:w="160"/>
            </w:tcMar>
          </w:tcPr>
          <w:p>
            <w:pPr>
              <w:jc w:val="center"/>
            </w:pPr>
            <w:r>
              <w:rPr>
                <w:rFonts w:ascii="Arial" w:cs="Arial" w:eastAsia="Arial" w:hAnsi="Arial"/>
                <w:b/>
                <w:bCs/>
                <w:color w:val="1F4E79"/>
                <w:sz w:val="36"/>
                <w:szCs w:val="36"/>
              </w:rPr>
              <w:t xml:space="preserve">6</w:t>
            </w:r>
          </w:p>
          <w:p>
            <w:pPr>
              <w:spacing w:before="20"/>
              <w:jc w:val="center"/>
            </w:pPr>
            <w:r>
              <w:rPr>
                <w:rFonts w:ascii="Arial" w:cs="Arial" w:eastAsia="Arial" w:hAnsi="Arial"/>
                <w:color w:val="404040"/>
                <w:sz w:val="17"/>
                <w:szCs w:val="17"/>
              </w:rPr>
              <w:t xml:space="preserve">Concept tracks</w:t>
            </w:r>
          </w:p>
        </w:tc>
      </w:tr>
    </w:tbl>
    <w:p>
      <w:pPr>
        <w:spacing w:after="60" w:before="60"/>
      </w:pPr>
      <w:r>
        <w:t xml:space="preserve"/>
      </w:r>
    </w:p>
    <w:p>
      <w:pPr>
        <w:pBdr>
          <w:bottom w:val="single" w:color="2E75B6" w:sz="4"/>
        </w:pBdr>
        <w:spacing w:after="140" w:before="140"/>
      </w:pPr>
      <w:r>
        <w:t xml:space="preserve"/>
      </w:r>
    </w:p>
    <w:p>
      <w:pPr>
        <w:pStyle w:val="Heading1"/>
        <w:spacing w:after="100" w:before="300"/>
      </w:pPr>
      <w:r>
        <w:rPr>
          <w:rFonts w:ascii="Arial" w:cs="Arial" w:eastAsia="Arial" w:hAnsi="Arial"/>
          <w:b/>
          <w:bCs/>
          <w:color w:val="1F4E79"/>
          <w:sz w:val="32"/>
          <w:szCs w:val="32"/>
        </w:rPr>
        <w:t xml:space="preserve">About this curriculum</w:t>
      </w:r>
    </w:p>
    <w:p>
      <w:pPr>
        <w:spacing w:after="60" w:before="60"/>
      </w:pPr>
      <w:r>
        <w:rPr>
          <w:rFonts w:ascii="Arial" w:cs="Arial" w:eastAsia="Arial" w:hAnsi="Arial"/>
          <w:b w:val="false"/>
          <w:bCs w:val="false"/>
          <w:color w:val="000000"/>
          <w:sz w:val="20"/>
          <w:szCs w:val="20"/>
        </w:rPr>
        <w:t xml:space="preserve">SpanForge-Core is a compliance-grade AI observability SDK that covers an unusually broad range of computer science and engineering concepts: cryptographic audit chains, distributed tracing, privacy regulation, compliance engineering, SDK architecture patterns, enterprise security, and production testing. Built in 2 months with AI-assisted development, it represents a condensed reference implementation across all of these domains.</w:t>
      </w:r>
    </w:p>
    <w:p>
      <w:pPr>
        <w:spacing w:after="60" w:before="60"/>
      </w:pPr>
      <w:r>
        <w:rPr>
          <w:rFonts w:ascii="Arial" w:cs="Arial" w:eastAsia="Arial" w:hAnsi="Arial"/>
          <w:b w:val="false"/>
          <w:bCs w:val="false"/>
          <w:color w:val="000000"/>
          <w:sz w:val="20"/>
          <w:szCs w:val="20"/>
        </w:rPr>
        <w:t xml:space="preserve">This curriculum organises every concept in the codebase into 8 parts and 47 chapters, structured to build understanding progressively — from the core event model through to enterprise deployment and supply chain security. Each chapter includes 3 specific learning points grounded in the actual SpanForge implementation.</w:t>
      </w:r>
    </w:p>
    <w:p>
      <w:pPr>
        <w:spacing w:after="60" w:before="60"/>
      </w:pPr>
      <w:r>
        <w:t xml:space="preserve"/>
      </w:r>
    </w:p>
    <w:p>
      <w:pPr>
        <w:pStyle w:val="Heading2"/>
        <w:spacing w:after="80" w:before="200"/>
      </w:pPr>
      <w:r>
        <w:rPr>
          <w:rFonts w:ascii="Arial" w:cs="Arial" w:eastAsia="Arial" w:hAnsi="Arial"/>
          <w:b/>
          <w:bCs/>
          <w:color w:val="2E75B6"/>
          <w:sz w:val="26"/>
          <w:szCs w:val="26"/>
        </w:rPr>
        <w:t xml:space="preserve">Concept tracks</w:t>
      </w:r>
    </w:p>
    <w:p>
      <w:pPr>
        <w:spacing w:after="60" w:before="60"/>
      </w:pPr>
      <w:r>
        <w:rPr>
          <w:rFonts w:ascii="Arial" w:cs="Arial" w:eastAsia="Arial" w:hAnsi="Arial"/>
          <w:b w:val="false"/>
          <w:bCs w:val="false"/>
          <w:color w:val="000000"/>
          <w:sz w:val="20"/>
          <w:szCs w:val="20"/>
        </w:rPr>
        <w:t xml:space="preserve">Six colour-coded concept tracks run across the curriculum. Each chapter is tagged with its primary track:</w:t>
      </w:r>
    </w:p>
    <w:p>
      <w:pPr>
        <w:spacing w:after="6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60"/>
        <w:gridCol w:w="7840"/>
      </w:tblGrid>
      <w:tr>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0C447C"/>
                <w:sz w:val="18"/>
                <w:szCs w:val="18"/>
              </w:rPr>
              <w:t xml:space="preserve">core</w:t>
            </w:r>
          </w:p>
        </w:tc>
        <w:tc>
          <w:tcPr>
            <w:tcW w:type="dxa" w:w="78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04040"/>
                <w:sz w:val="18"/>
                <w:szCs w:val="18"/>
              </w:rPr>
              <w:t xml:space="preserve">Event model, tracing, exporters</w:t>
            </w:r>
          </w:p>
        </w:tc>
      </w:tr>
      <w:tr>
        <w:tc>
          <w:tcPr>
            <w:tcW w:type="dxa" w:w="15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pPr>
              <w:jc w:val="center"/>
            </w:pPr>
            <w:r>
              <w:rPr>
                <w:rFonts w:ascii="Arial" w:cs="Arial" w:eastAsia="Arial" w:hAnsi="Arial"/>
                <w:b/>
                <w:bCs/>
                <w:color w:val="791F1F"/>
                <w:sz w:val="18"/>
                <w:szCs w:val="18"/>
              </w:rPr>
              <w:t xml:space="preserve">security</w:t>
            </w:r>
          </w:p>
        </w:tc>
        <w:tc>
          <w:tcPr>
            <w:tcW w:type="dxa" w:w="78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04040"/>
                <w:sz w:val="18"/>
                <w:szCs w:val="18"/>
              </w:rPr>
              <w:t xml:space="preserve">Cryptography, auth, secrets</w:t>
            </w:r>
          </w:p>
        </w:tc>
      </w:tr>
      <w:tr>
        <w:tc>
          <w:tcPr>
            <w:tcW w:type="dxa" w:w="15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pPr>
              <w:jc w:val="center"/>
            </w:pPr>
            <w:r>
              <w:rPr>
                <w:rFonts w:ascii="Arial" w:cs="Arial" w:eastAsia="Arial" w:hAnsi="Arial"/>
                <w:b/>
                <w:bCs/>
                <w:color w:val="27500A"/>
                <w:sz w:val="18"/>
                <w:szCs w:val="18"/>
              </w:rPr>
              <w:t xml:space="preserve">compliance</w:t>
            </w:r>
          </w:p>
        </w:tc>
        <w:tc>
          <w:tcPr>
            <w:tcW w:type="dxa" w:w="78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04040"/>
                <w:sz w:val="18"/>
                <w:szCs w:val="18"/>
              </w:rPr>
              <w:t xml:space="preserve">PII, regulations, evidence chains</w:t>
            </w:r>
          </w:p>
        </w:tc>
      </w:tr>
      <w:tr>
        <w:tc>
          <w:tcPr>
            <w:tcW w:type="dxa" w:w="15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center"/>
            </w:pPr>
            <w:r>
              <w:rPr>
                <w:rFonts w:ascii="Arial" w:cs="Arial" w:eastAsia="Arial" w:hAnsi="Arial"/>
                <w:b/>
                <w:bCs/>
                <w:color w:val="633806"/>
                <w:sz w:val="18"/>
                <w:szCs w:val="18"/>
              </w:rPr>
              <w:t xml:space="preserve">ops</w:t>
            </w:r>
          </w:p>
        </w:tc>
        <w:tc>
          <w:tcPr>
            <w:tcW w:type="dxa" w:w="78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04040"/>
                <w:sz w:val="18"/>
                <w:szCs w:val="18"/>
              </w:rPr>
              <w:t xml:space="preserve">Observability, cost, drift, alerts</w:t>
            </w:r>
          </w:p>
        </w:tc>
      </w:tr>
      <w:tr>
        <w:tc>
          <w:tcPr>
            <w:tcW w:type="dxa" w:w="15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center"/>
            </w:pPr>
            <w:r>
              <w:rPr>
                <w:rFonts w:ascii="Arial" w:cs="Arial" w:eastAsia="Arial" w:hAnsi="Arial"/>
                <w:b/>
                <w:bCs/>
                <w:color w:val="3C3489"/>
                <w:sz w:val="18"/>
                <w:szCs w:val="18"/>
              </w:rPr>
              <w:t xml:space="preserve">advanced</w:t>
            </w:r>
          </w:p>
        </w:tc>
        <w:tc>
          <w:tcPr>
            <w:tcW w:type="dxa" w:w="78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04040"/>
                <w:sz w:val="18"/>
                <w:szCs w:val="18"/>
              </w:rPr>
              <w:t xml:space="preserve">SDK architecture, enterprise</w:t>
            </w:r>
          </w:p>
        </w:tc>
      </w:tr>
      <w:tr>
        <w:tc>
          <w:tcPr>
            <w:tcW w:type="dxa" w:w="15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85041"/>
                <w:sz w:val="18"/>
                <w:szCs w:val="18"/>
              </w:rPr>
              <w:t xml:space="preserve">testing</w:t>
            </w:r>
          </w:p>
        </w:tc>
        <w:tc>
          <w:tcPr>
            <w:tcW w:type="dxa" w:w="78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04040"/>
                <w:sz w:val="18"/>
                <w:szCs w:val="18"/>
              </w:rPr>
              <w:t xml:space="preserve">Testing, DX, toolchain</w:t>
            </w:r>
          </w:p>
        </w:tc>
      </w:tr>
    </w:tbl>
    <w:p>
      <w:pPr>
        <w:spacing w:after="60" w:before="60"/>
      </w:pPr>
      <w:r>
        <w:t xml:space="preserve"/>
      </w:r>
    </w:p>
    <w:p>
      <w:pPr>
        <w:pStyle w:val="Heading2"/>
        <w:spacing w:after="80" w:before="200"/>
      </w:pPr>
      <w:r>
        <w:rPr>
          <w:rFonts w:ascii="Arial" w:cs="Arial" w:eastAsia="Arial" w:hAnsi="Arial"/>
          <w:b/>
          <w:bCs/>
          <w:color w:val="2E75B6"/>
          <w:sz w:val="26"/>
          <w:szCs w:val="26"/>
        </w:rPr>
        <w:t xml:space="preserve">Suggested learning tracks</w:t>
      </w:r>
    </w:p>
    <w:p>
      <w:pPr>
        <w:spacing w:after="60" w:before="60"/>
      </w:pPr>
      <w:r>
        <w:rPr>
          <w:rFonts w:ascii="Arial" w:cs="Arial" w:eastAsia="Arial" w:hAnsi="Arial"/>
          <w:b w:val="false"/>
          <w:bCs w:val="false"/>
          <w:color w:val="000000"/>
          <w:sz w:val="20"/>
          <w:szCs w:val="20"/>
        </w:rPr>
        <w:t xml:space="preserve">Learners can follow the full curriculum in order, or take a focused track based on their role:</w:t>
      </w:r>
    </w:p>
    <w:p>
      <w:pPr>
        <w:spacing w:after="6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60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Track</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Parts covered</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Audience</w:t>
            </w:r>
          </w:p>
        </w:tc>
      </w:tr>
      <w:tr>
        <w:tc>
          <w:tcPr>
            <w:tcW w:type="dxa" w:w="26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791F1F"/>
                <w:sz w:val="18"/>
                <w:szCs w:val="18"/>
              </w:rPr>
              <w:t xml:space="preserve">Security engineering track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Part 2 + Part 7 §7.1–7.7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Security engineers, platform engineers</w:t>
            </w:r>
          </w:p>
        </w:tc>
      </w:tr>
      <w:tr>
        <w:tc>
          <w:tcPr>
            <w:tcW w:type="dxa" w:w="26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Compliance &amp; privacy track</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Part 3 + Part 5</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Compliance officers, legal, data engineers</w:t>
            </w:r>
          </w:p>
        </w:tc>
      </w:tr>
      <w:tr>
        <w:tc>
          <w:tcPr>
            <w:tcW w:type="dxa" w:w="2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633806"/>
                <w:sz w:val="18"/>
                <w:szCs w:val="18"/>
              </w:rPr>
              <w:t xml:space="preserve">Observability track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Part 1 + Part 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SRE, DevOps, platform teams</w:t>
            </w:r>
          </w:p>
        </w:tc>
      </w:tr>
      <w:tr>
        <w:tc>
          <w:tcPr>
            <w:tcW w:type="dxa" w:w="2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18"/>
                <w:szCs w:val="18"/>
              </w:rPr>
              <w:t xml:space="preserve">SDK architecture track</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Part 6 + Part 8</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Senior engineers, library authors</w:t>
            </w:r>
          </w:p>
        </w:tc>
      </w:tr>
      <w:tr>
        <w:tc>
          <w:tcPr>
            <w:tcW w:type="dxa" w:w="2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18"/>
                <w:szCs w:val="18"/>
              </w:rPr>
              <w:t xml:space="preserve">Enterprise deployment track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Part 7 (all sections)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Enterprise architects, infrastructure leads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C447C"/>
                <w:sz w:val="18"/>
                <w:szCs w:val="18"/>
              </w:rPr>
              <w:t xml:space="preserve">Full curriculum</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Parts 1–8 in order</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All engineers joining the SpanForge project</w:t>
            </w:r>
          </w:p>
        </w:tc>
      </w:tr>
    </w:tbl>
    <w:p>
      <w:pPr>
        <w:spacing w:after="60" w:before="60"/>
      </w:pPr>
      <w:r>
        <w:t xml:space="preserve"/>
      </w:r>
    </w:p>
    <w:p>
      <w:pPr>
        <w:spacing w:after="80" w:before="40"/>
      </w:pPr>
      <w:r>
        <w:rPr>
          <w:rFonts w:ascii="Arial" w:cs="Arial" w:eastAsia="Arial" w:hAnsi="Arial"/>
          <w:color w:val="666666"/>
          <w:sz w:val="18"/>
          <w:szCs w:val="18"/>
        </w:rPr>
        <w:t xml:space="preserve">Parts 1 and 2 are prerequisites for all tracks. The event model (Part 1) and security primitives (Part 2) underpin every other module in the codebase.</w:t>
      </w:r>
    </w:p>
    <w:p>
      <w:pPr>
        <w:spacing w:after="60" w:before="60"/>
      </w:pPr>
      <w:r>
        <w:t xml:space="preserve"/>
      </w:r>
    </w:p>
    <w:p>
      <w:pPr>
        <w:pBdr>
          <w:bottom w:val="single" w:color="2E75B6" w:sz="4"/>
        </w:pBdr>
        <w:spacing w:after="140" w:before="14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5800"/>
        <w:gridCol w:w="1200"/>
        <w:gridCol w:w="1200"/>
      </w:tblGrid>
      <w:tr>
        <w:tc>
          <w:tcPr>
            <w:tcW w:type="dxa" w:w="1200"/>
            <w:tcBorders>
              <w:top w:val="single" w:color="0C447C" w:sz="6"/>
              <w:left w:val="single" w:color="0C447C" w:sz="6"/>
              <w:bottom w:val="single" w:color="0C447C" w:sz="6"/>
              <w:right w:val="single" w:color="CCCCCC" w:sz="1"/>
            </w:tcBorders>
            <w:shd w:fill="D6E4F0" w:val="clear"/>
            <w:tcMar>
              <w:top w:type="dxa" w:w="120"/>
              <w:left w:type="dxa" w:w="140"/>
              <w:bottom w:type="dxa" w:w="120"/>
              <w:right w:type="dxa" w:w="140"/>
            </w:tcMar>
            <w:vAlign w:val="center"/>
          </w:tcPr>
          <w:p>
            <w:pPr>
              <w:jc w:val="center"/>
            </w:pPr>
            <w:r>
              <w:rPr>
                <w:rFonts w:ascii="Arial" w:cs="Arial" w:eastAsia="Arial" w:hAnsi="Arial"/>
                <w:b/>
                <w:bCs/>
                <w:color w:val="0C447C"/>
                <w:sz w:val="20"/>
                <w:szCs w:val="20"/>
              </w:rPr>
              <w:t xml:space="preserve">Part 1</w:t>
            </w:r>
          </w:p>
          <w:p>
            <w:pPr>
              <w:spacing w:before="20"/>
              <w:jc w:val="center"/>
            </w:pPr>
            <w:r>
              <w:rPr>
                <w:rFonts w:ascii="Arial" w:cs="Arial" w:eastAsia="Arial" w:hAnsi="Arial"/>
                <w:color w:val="0C447C"/>
                <w:sz w:val="15"/>
                <w:szCs w:val="15"/>
              </w:rPr>
              <w:t xml:space="preserve">core</w:t>
            </w:r>
          </w:p>
        </w:tc>
        <w:tc>
          <w:tcPr>
            <w:tcW w:type="dxa" w:w="5800"/>
            <w:tcBorders>
              <w:top w:val="single" w:color="0C447C" w:sz="6"/>
              <w:left w:val="single" w:color="CCCCCC" w:sz="1"/>
              <w:bottom w:val="single" w:color="0C447C" w:sz="6"/>
              <w:right w:val="single" w:color="CCCCCC" w:sz="1"/>
            </w:tcBorders>
            <w:shd w:fill="FFFFFF" w:val="clear"/>
            <w:tcMar>
              <w:top w:type="dxa" w:w="120"/>
              <w:left w:type="dxa" w:w="180"/>
              <w:bottom w:type="dxa" w:w="120"/>
              <w:right w:type="dxa" w:w="140"/>
            </w:tcMar>
          </w:tcPr>
          <w:p>
            <w:r>
              <w:rPr>
                <w:rFonts w:ascii="Arial" w:cs="Arial" w:eastAsia="Arial" w:hAnsi="Arial"/>
                <w:b/>
                <w:bCs/>
                <w:color w:val="1F4E79"/>
                <w:sz w:val="24"/>
                <w:szCs w:val="24"/>
              </w:rPr>
              <w:t xml:space="preserve">Foundations — how SpanForge works</w:t>
            </w:r>
          </w:p>
        </w:tc>
        <w:tc>
          <w:tcPr>
            <w:tcW w:type="dxa" w:w="1200"/>
            <w:tcBorders>
              <w:top w:val="single" w:color="0C447C" w:sz="6"/>
              <w:left w:val="single" w:color="CCCCCC" w:sz="1"/>
              <w:bottom w:val="single" w:color="0C447C" w:sz="6"/>
              <w:right w:val="single" w:color="CCCCCC" w:sz="1"/>
            </w:tcBorders>
            <w:shd w:fill="F2F2F2" w:val="clear"/>
            <w:tcMar>
              <w:top w:type="dxa" w:w="120"/>
              <w:left w:type="dxa" w:w="120"/>
              <w:bottom w:type="dxa" w:w="120"/>
              <w:right w:type="dxa" w:w="120"/>
            </w:tcMar>
          </w:tcPr>
          <w:p>
            <w:pPr>
              <w:jc w:val="center"/>
            </w:pPr>
            <w:r>
              <w:rPr>
                <w:rFonts w:ascii="Arial" w:cs="Arial" w:eastAsia="Arial" w:hAnsi="Arial"/>
                <w:b/>
                <w:bCs/>
                <w:color w:val="2E75B6"/>
                <w:sz w:val="26"/>
                <w:szCs w:val="26"/>
              </w:rPr>
              <w:t xml:space="preserve">8</w:t>
            </w:r>
          </w:p>
          <w:p>
            <w:pPr>
              <w:spacing w:before="20"/>
              <w:jc w:val="center"/>
            </w:pPr>
            <w:r>
              <w:rPr>
                <w:rFonts w:ascii="Arial" w:cs="Arial" w:eastAsia="Arial" w:hAnsi="Arial"/>
                <w:color w:val="404040"/>
                <w:sz w:val="15"/>
                <w:szCs w:val="15"/>
              </w:rPr>
              <w:t xml:space="preserve">chapters</w:t>
            </w:r>
          </w:p>
        </w:tc>
        <w:tc>
          <w:tcPr>
            <w:tcW w:type="dxa" w:w="1200"/>
            <w:tcBorders>
              <w:top w:val="single" w:color="0C447C" w:sz="6"/>
              <w:left w:val="single" w:color="CCCCCC" w:sz="1"/>
              <w:bottom w:val="single" w:color="0C447C" w:sz="6"/>
              <w:right w:val="single" w:color="0C447C" w:sz="6"/>
            </w:tcBorders>
            <w:shd w:fill="F2F2F2" w:val="clear"/>
            <w:tcMar>
              <w:top w:type="dxa" w:w="120"/>
              <w:left w:type="dxa" w:w="120"/>
              <w:bottom w:type="dxa" w:w="120"/>
              <w:right w:type="dxa" w:w="120"/>
            </w:tcMar>
          </w:tcPr>
          <w:p>
            <w:pPr>
              <w:jc w:val="center"/>
            </w:pPr>
            <w:r>
              <w:rPr>
                <w:rFonts w:ascii="Arial" w:cs="Arial" w:eastAsia="Arial" w:hAnsi="Arial"/>
                <w:b/>
                <w:bCs/>
                <w:color w:val="404040"/>
                <w:sz w:val="20"/>
                <w:szCs w:val="20"/>
              </w:rPr>
              <w:t xml:space="preserve">~12 hrs</w:t>
            </w:r>
          </w:p>
          <w:p>
            <w:pPr>
              <w:spacing w:before="20"/>
              <w:jc w:val="center"/>
            </w:pPr>
            <w:r>
              <w:rPr>
                <w:rFonts w:ascii="Arial" w:cs="Arial" w:eastAsia="Arial" w:hAnsi="Arial"/>
                <w:color w:val="404040"/>
                <w:sz w:val="15"/>
                <w:szCs w:val="15"/>
              </w:rPr>
              <w:t xml:space="preserve">est. time</w:t>
            </w:r>
          </w:p>
        </w:tc>
      </w:tr>
    </w:tbl>
    <w:p>
      <w:pPr>
        <w:spacing w:after="60" w:before="60"/>
      </w:pPr>
      <w:r>
        <w:t xml:space="preserve"/>
      </w:r>
    </w:p>
    <w:p>
      <w:pPr>
        <w:spacing w:after="60" w:before="60"/>
      </w:pPr>
      <w:r>
        <w:rPr>
          <w:rFonts w:ascii="Arial" w:cs="Arial" w:eastAsia="Arial" w:hAnsi="Arial"/>
          <w:b w:val="false"/>
          <w:bCs w:val="false"/>
          <w:color w:val="404040"/>
          <w:sz w:val="20"/>
          <w:szCs w:val="20"/>
        </w:rPr>
        <w:t xml:space="preserve">Everything in SpanForge rests on a small number of carefully designed primitives: the event envelope, the ULID, the tracer, and the batch exporter. Understanding these well means understanding every module that builds on them.</w:t>
      </w:r>
    </w:p>
    <w:p>
      <w:pPr>
        <w:spacing w:after="6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800"/>
        <w:gridCol w:w="7700"/>
        <w:gridCol w:w="900"/>
      </w:tblGrid>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pPr>
              <w:jc w:val="center"/>
            </w:pPr>
            <w:r>
              <w:rPr>
                <w:rFonts w:ascii="Arial" w:cs="Arial" w:eastAsia="Arial" w:hAnsi="Arial"/>
                <w:b/>
                <w:bCs/>
                <w:color w:val="0C447C"/>
                <w:sz w:val="17"/>
                <w:szCs w:val="17"/>
              </w:rPr>
              <w:t xml:space="preserve">1.1</w:t>
            </w:r>
          </w:p>
        </w:tc>
        <w:tc>
          <w:tcPr>
            <w:tcW w:type="dxa" w:w="7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000000"/>
                <w:sz w:val="19"/>
                <w:szCs w:val="19"/>
              </w:rPr>
              <w:t xml:space="preserve">What is AI observability and why it matters</w:t>
            </w:r>
          </w:p>
        </w:tc>
        <w:tc>
          <w:tcPr>
            <w:tcW w:type="dxa" w:w="9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color w:val="0C447C"/>
                <w:sz w:val="15"/>
                <w:szCs w:val="15"/>
              </w:rPr>
              <w:t xml:space="preserve">core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bCs/>
                <w:color w:val="0C447C"/>
                <w:sz w:val="17"/>
                <w:szCs w:val="17"/>
              </w:rPr>
              <w:t xml:space="preserve">1.2</w:t>
            </w:r>
          </w:p>
        </w:tc>
        <w:tc>
          <w:tcPr>
            <w:tcW w:type="dxa" w:w="77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color w:val="000000"/>
                <w:sz w:val="19"/>
                <w:szCs w:val="19"/>
              </w:rPr>
              <w:t xml:space="preserve">The RFC-0001 event envelope — schema, fields, versioning</w:t>
            </w:r>
          </w:p>
        </w:tc>
        <w:tc>
          <w:tcPr>
            <w:tcW w:type="dxa" w:w="9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color w:val="0C447C"/>
                <w:sz w:val="15"/>
                <w:szCs w:val="15"/>
              </w:rPr>
              <w:t xml:space="preserve">core</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pPr>
              <w:jc w:val="center"/>
            </w:pPr>
            <w:r>
              <w:rPr>
                <w:rFonts w:ascii="Arial" w:cs="Arial" w:eastAsia="Arial" w:hAnsi="Arial"/>
                <w:b/>
                <w:bCs/>
                <w:color w:val="0C447C"/>
                <w:sz w:val="17"/>
                <w:szCs w:val="17"/>
              </w:rPr>
              <w:t xml:space="preserve">1.3</w:t>
            </w:r>
          </w:p>
        </w:tc>
        <w:tc>
          <w:tcPr>
            <w:tcW w:type="dxa" w:w="7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000000"/>
                <w:sz w:val="19"/>
                <w:szCs w:val="19"/>
              </w:rPr>
              <w:t xml:space="preserve">ULID — lexicographically sortable IDs without coordination</w:t>
            </w:r>
          </w:p>
        </w:tc>
        <w:tc>
          <w:tcPr>
            <w:tcW w:type="dxa" w:w="9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color w:val="0C447C"/>
                <w:sz w:val="15"/>
                <w:szCs w:val="15"/>
              </w:rPr>
              <w:t xml:space="preserve">core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bCs/>
                <w:color w:val="0C447C"/>
                <w:sz w:val="17"/>
                <w:szCs w:val="17"/>
              </w:rPr>
              <w:t xml:space="preserve">1.4</w:t>
            </w:r>
          </w:p>
        </w:tc>
        <w:tc>
          <w:tcPr>
            <w:tcW w:type="dxa" w:w="77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color w:val="000000"/>
                <w:sz w:val="19"/>
                <w:szCs w:val="19"/>
              </w:rPr>
              <w:t xml:space="preserve">The event type registry — 74 canonical types across 17 namespaces</w:t>
            </w:r>
          </w:p>
        </w:tc>
        <w:tc>
          <w:tcPr>
            <w:tcW w:type="dxa" w:w="9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color w:val="0C447C"/>
                <w:sz w:val="15"/>
                <w:szCs w:val="15"/>
              </w:rPr>
              <w:t xml:space="preserve">core</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pPr>
              <w:jc w:val="center"/>
            </w:pPr>
            <w:r>
              <w:rPr>
                <w:rFonts w:ascii="Arial" w:cs="Arial" w:eastAsia="Arial" w:hAnsi="Arial"/>
                <w:b/>
                <w:bCs/>
                <w:color w:val="0C447C"/>
                <w:sz w:val="17"/>
                <w:szCs w:val="17"/>
              </w:rPr>
              <w:t xml:space="preserve">1.5</w:t>
            </w:r>
          </w:p>
        </w:tc>
        <w:tc>
          <w:tcPr>
            <w:tcW w:type="dxa" w:w="7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000000"/>
                <w:sz w:val="19"/>
                <w:szCs w:val="19"/>
              </w:rPr>
              <w:t xml:space="preserve">Traces, spans, and the context propagation model</w:t>
            </w:r>
          </w:p>
        </w:tc>
        <w:tc>
          <w:tcPr>
            <w:tcW w:type="dxa" w:w="9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color w:val="0C447C"/>
                <w:sz w:val="15"/>
                <w:szCs w:val="15"/>
              </w:rPr>
              <w:t xml:space="preserve">core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bCs/>
                <w:color w:val="0C447C"/>
                <w:sz w:val="17"/>
                <w:szCs w:val="17"/>
              </w:rPr>
              <w:t xml:space="preserve">1.6</w:t>
            </w:r>
          </w:p>
        </w:tc>
        <w:tc>
          <w:tcPr>
            <w:tcW w:type="dxa" w:w="77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color w:val="000000"/>
                <w:sz w:val="19"/>
                <w:szCs w:val="19"/>
              </w:rPr>
              <w:t xml:space="preserve">The tracer, the @trace decorator, and span lifecycle hooks</w:t>
            </w:r>
          </w:p>
        </w:tc>
        <w:tc>
          <w:tcPr>
            <w:tcW w:type="dxa" w:w="9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color w:val="0C447C"/>
                <w:sz w:val="15"/>
                <w:szCs w:val="15"/>
              </w:rPr>
              <w:t xml:space="preserve">core</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80"/>
            </w:tcMar>
          </w:tcPr>
          <w:p>
            <w:pPr>
              <w:jc w:val="center"/>
            </w:pPr>
            <w:r>
              <w:rPr>
                <w:rFonts w:ascii="Arial" w:cs="Arial" w:eastAsia="Arial" w:hAnsi="Arial"/>
                <w:b/>
                <w:bCs/>
                <w:color w:val="0C447C"/>
                <w:sz w:val="17"/>
                <w:szCs w:val="17"/>
              </w:rPr>
              <w:t xml:space="preserve">1.7</w:t>
            </w:r>
          </w:p>
        </w:tc>
        <w:tc>
          <w:tcPr>
            <w:tcW w:type="dxa" w:w="7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000000"/>
                <w:sz w:val="19"/>
                <w:szCs w:val="19"/>
              </w:rPr>
              <w:t xml:space="preserve">The batch exporter — buffering, backpressure, and circuit breaking</w:t>
            </w:r>
          </w:p>
        </w:tc>
        <w:tc>
          <w:tcPr>
            <w:tcW w:type="dxa" w:w="9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color w:val="0C447C"/>
                <w:sz w:val="15"/>
                <w:szCs w:val="15"/>
              </w:rPr>
              <w:t xml:space="preserve">core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bCs/>
                <w:color w:val="0C447C"/>
                <w:sz w:val="17"/>
                <w:szCs w:val="17"/>
              </w:rPr>
              <w:t xml:space="preserve">1.8</w:t>
            </w:r>
          </w:p>
        </w:tc>
        <w:tc>
          <w:tcPr>
            <w:tcW w:type="dxa" w:w="77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color w:val="000000"/>
                <w:sz w:val="19"/>
                <w:szCs w:val="19"/>
              </w:rPr>
              <w:t xml:space="preserve">Sampling strategies — TraceIdRatio, ParentBased, AlwaysOn</w:t>
            </w:r>
          </w:p>
        </w:tc>
        <w:tc>
          <w:tcPr>
            <w:tcW w:type="dxa" w:w="900"/>
            <w:tcBorders>
              <w:top w:val="single" w:color="CCCCCC" w:sz="1"/>
              <w:left w:val="single" w:color="CCCCCC" w:sz="1"/>
              <w:bottom w:val="single" w:color="CCCCCC" w:sz="1"/>
              <w:right w:val="single" w:color="CCCCCC" w:sz="1"/>
            </w:tcBorders>
            <w:shd w:fill="D6E4F0" w:val="clear"/>
            <w:tcMar>
              <w:top w:type="dxa" w:w="80"/>
              <w:left w:type="dxa" w:w="80"/>
              <w:bottom w:type="dxa" w:w="80"/>
              <w:right w:type="dxa" w:w="80"/>
            </w:tcMar>
          </w:tcPr>
          <w:p>
            <w:pPr>
              <w:jc w:val="center"/>
            </w:pPr>
            <w:r>
              <w:rPr>
                <w:rFonts w:ascii="Arial" w:cs="Arial" w:eastAsia="Arial" w:hAnsi="Arial"/>
                <w:color w:val="0C447C"/>
                <w:sz w:val="15"/>
                <w:szCs w:val="15"/>
              </w:rPr>
              <w:t xml:space="preserve">core</w:t>
            </w:r>
          </w:p>
        </w:tc>
      </w:tr>
    </w:tbl>
    <w:p>
      <w:pPr>
        <w:spacing w:after="60" w:before="60"/>
      </w:pPr>
      <w:r>
        <w:t xml:space="preserve"/>
      </w:r>
    </w:p>
    <w:p>
      <w:pPr>
        <w:pStyle w:val="Heading2"/>
        <w:spacing w:after="80" w:before="200"/>
      </w:pPr>
      <w:r>
        <w:rPr>
          <w:rFonts w:ascii="Arial" w:cs="Arial" w:eastAsia="Arial" w:hAnsi="Arial"/>
          <w:b/>
          <w:bCs/>
          <w:color w:val="2E75B6"/>
          <w:sz w:val="24"/>
          <w:szCs w:val="24"/>
        </w:rPr>
        <w:t xml:space="preserve">Chapter details</w:t>
      </w:r>
    </w:p>
    <w:p>
      <w:pPr>
        <w:shd w:fill="D6E4F0" w:val="clear"/>
        <w:spacing w:after="0" w:before="120"/>
        <w:ind w:left="0"/>
      </w:pPr>
      <w:r>
        <w:rPr>
          <w:rFonts w:ascii="Arial" w:cs="Arial" w:eastAsia="Arial" w:hAnsi="Arial"/>
          <w:b/>
          <w:bCs/>
          <w:color w:val="0C447C"/>
          <w:sz w:val="20"/>
          <w:szCs w:val="20"/>
        </w:rPr>
        <w:t xml:space="preserve">  1.1  </w:t>
      </w:r>
      <w:r>
        <w:rPr>
          <w:rFonts w:ascii="Arial" w:cs="Arial" w:eastAsia="Arial" w:hAnsi="Arial"/>
          <w:b/>
          <w:bCs/>
          <w:color w:val="0C447C"/>
          <w:sz w:val="20"/>
          <w:szCs w:val="20"/>
        </w:rPr>
        <w:t xml:space="preserve">What is AI observability and why it matters</w:t>
      </w:r>
    </w:p>
    <w:p>
      <w:pPr>
        <w:pStyle w:val="ListParagraph"/>
        <w:numPr>
          <w:ilvl w:val="0"/>
          <w:numId w:val="2"/>
        </w:numPr>
        <w:spacing w:after="30" w:before="30"/>
      </w:pPr>
      <w:r>
        <w:rPr>
          <w:rFonts w:ascii="Arial" w:cs="Arial" w:eastAsia="Arial" w:hAnsi="Arial"/>
          <w:color w:val="000000"/>
          <w:sz w:val="19"/>
          <w:szCs w:val="19"/>
        </w:rPr>
        <w:t xml:space="preserve">The difference between logging, monitoring, and observability in LLM systems</w:t>
      </w:r>
    </w:p>
    <w:p>
      <w:pPr>
        <w:pStyle w:val="ListParagraph"/>
        <w:numPr>
          <w:ilvl w:val="0"/>
          <w:numId w:val="2"/>
        </w:numPr>
        <w:spacing w:after="30" w:before="30"/>
      </w:pPr>
      <w:r>
        <w:rPr>
          <w:rFonts w:ascii="Arial" w:cs="Arial" w:eastAsia="Arial" w:hAnsi="Arial"/>
          <w:color w:val="000000"/>
          <w:sz w:val="19"/>
          <w:szCs w:val="19"/>
        </w:rPr>
        <w:t xml:space="preserve">Why standard APM tools miss LLM-specific failure modes (hallucination, cost drift, PII leakage)</w:t>
      </w:r>
    </w:p>
    <w:p>
      <w:pPr>
        <w:pStyle w:val="ListParagraph"/>
        <w:numPr>
          <w:ilvl w:val="0"/>
          <w:numId w:val="2"/>
        </w:numPr>
        <w:spacing w:after="30" w:before="30"/>
      </w:pPr>
      <w:r>
        <w:rPr>
          <w:rFonts w:ascii="Arial" w:cs="Arial" w:eastAsia="Arial" w:hAnsi="Arial"/>
          <w:color w:val="000000"/>
          <w:sz w:val="19"/>
          <w:szCs w:val="19"/>
        </w:rPr>
        <w:t xml:space="preserve">How SpanForge positions itself against Langfuse, Arize, and Helicone</w:t>
      </w:r>
    </w:p>
    <w:p>
      <w:pPr>
        <w:spacing w:after="60" w:before="60"/>
      </w:pPr>
      <w:r>
        <w:t xml:space="preserve"/>
      </w:r>
    </w:p>
    <w:p>
      <w:pPr>
        <w:shd w:fill="D6E4F0" w:val="clear"/>
        <w:spacing w:after="0" w:before="120"/>
        <w:ind w:left="0"/>
      </w:pPr>
      <w:r>
        <w:rPr>
          <w:rFonts w:ascii="Arial" w:cs="Arial" w:eastAsia="Arial" w:hAnsi="Arial"/>
          <w:b/>
          <w:bCs/>
          <w:color w:val="0C447C"/>
          <w:sz w:val="20"/>
          <w:szCs w:val="20"/>
        </w:rPr>
        <w:t xml:space="preserve">  1.2  </w:t>
      </w:r>
      <w:r>
        <w:rPr>
          <w:rFonts w:ascii="Arial" w:cs="Arial" w:eastAsia="Arial" w:hAnsi="Arial"/>
          <w:b/>
          <w:bCs/>
          <w:color w:val="0C447C"/>
          <w:sz w:val="20"/>
          <w:szCs w:val="20"/>
        </w:rPr>
        <w:t xml:space="preserve">The RFC-0001 event envelope — schema, fields, versioning</w:t>
      </w:r>
    </w:p>
    <w:p>
      <w:pPr>
        <w:pStyle w:val="ListParagraph"/>
        <w:numPr>
          <w:ilvl w:val="0"/>
          <w:numId w:val="2"/>
        </w:numPr>
        <w:spacing w:after="30" w:before="30"/>
      </w:pPr>
      <w:r>
        <w:rPr>
          <w:rFonts w:ascii="Arial" w:cs="Arial" w:eastAsia="Arial" w:hAnsi="Arial"/>
          <w:color w:val="000000"/>
          <w:sz w:val="19"/>
          <w:szCs w:val="19"/>
        </w:rPr>
        <w:t xml:space="preserve">Schema version negotiation between producers and consumers</w:t>
      </w:r>
    </w:p>
    <w:p>
      <w:pPr>
        <w:pStyle w:val="ListParagraph"/>
        <w:numPr>
          <w:ilvl w:val="0"/>
          <w:numId w:val="2"/>
        </w:numPr>
        <w:spacing w:after="30" w:before="30"/>
      </w:pPr>
      <w:r>
        <w:rPr>
          <w:rFonts w:ascii="Arial" w:cs="Arial" w:eastAsia="Arial" w:hAnsi="Arial"/>
          <w:color w:val="000000"/>
          <w:sz w:val="19"/>
          <w:szCs w:val="19"/>
        </w:rPr>
        <w:t xml:space="preserve">Mandatory fields, optional extensions, and the reverse-domain namespace requirement for third-party types</w:t>
      </w:r>
    </w:p>
    <w:p>
      <w:pPr>
        <w:pStyle w:val="ListParagraph"/>
        <w:numPr>
          <w:ilvl w:val="0"/>
          <w:numId w:val="2"/>
        </w:numPr>
        <w:spacing w:after="30" w:before="30"/>
      </w:pPr>
      <w:r>
        <w:rPr>
          <w:rFonts w:ascii="Arial" w:cs="Arial" w:eastAsia="Arial" w:hAnsi="Arial"/>
          <w:color w:val="000000"/>
          <w:sz w:val="19"/>
          <w:szCs w:val="19"/>
        </w:rPr>
        <w:t xml:space="preserve">__slots__ and MappingProxyType — why immutability matters for HMAC stability</w:t>
      </w:r>
    </w:p>
    <w:p>
      <w:pPr>
        <w:spacing w:after="60" w:before="60"/>
      </w:pPr>
      <w:r>
        <w:t xml:space="preserve"/>
      </w:r>
    </w:p>
    <w:p>
      <w:pPr>
        <w:shd w:fill="D6E4F0" w:val="clear"/>
        <w:spacing w:after="0" w:before="120"/>
        <w:ind w:left="0"/>
      </w:pPr>
      <w:r>
        <w:rPr>
          <w:rFonts w:ascii="Arial" w:cs="Arial" w:eastAsia="Arial" w:hAnsi="Arial"/>
          <w:b/>
          <w:bCs/>
          <w:color w:val="0C447C"/>
          <w:sz w:val="20"/>
          <w:szCs w:val="20"/>
        </w:rPr>
        <w:t xml:space="preserve">  1.3  </w:t>
      </w:r>
      <w:r>
        <w:rPr>
          <w:rFonts w:ascii="Arial" w:cs="Arial" w:eastAsia="Arial" w:hAnsi="Arial"/>
          <w:b/>
          <w:bCs/>
          <w:color w:val="0C447C"/>
          <w:sz w:val="20"/>
          <w:szCs w:val="20"/>
        </w:rPr>
        <w:t xml:space="preserve">ULID — lexicographically sortable IDs without coordination</w:t>
      </w:r>
    </w:p>
    <w:p>
      <w:pPr>
        <w:pStyle w:val="ListParagraph"/>
        <w:numPr>
          <w:ilvl w:val="0"/>
          <w:numId w:val="2"/>
        </w:numPr>
        <w:spacing w:after="30" w:before="30"/>
      </w:pPr>
      <w:r>
        <w:rPr>
          <w:rFonts w:ascii="Arial" w:cs="Arial" w:eastAsia="Arial" w:hAnsi="Arial"/>
          <w:color w:val="000000"/>
          <w:sz w:val="19"/>
          <w:szCs w:val="19"/>
        </w:rPr>
        <w:t xml:space="preserve">Why UUIDs are wrong for distributed event systems and ULIDs are right</w:t>
      </w:r>
    </w:p>
    <w:p>
      <w:pPr>
        <w:pStyle w:val="ListParagraph"/>
        <w:numPr>
          <w:ilvl w:val="0"/>
          <w:numId w:val="2"/>
        </w:numPr>
        <w:spacing w:after="30" w:before="30"/>
      </w:pPr>
      <w:r>
        <w:rPr>
          <w:rFonts w:ascii="Arial" w:cs="Arial" w:eastAsia="Arial" w:hAnsi="Arial"/>
          <w:color w:val="000000"/>
          <w:sz w:val="19"/>
          <w:szCs w:val="19"/>
        </w:rPr>
        <w:t xml:space="preserve">Crockford Base32 alphabet, O(1) decode table, and I/L/O lookalike rejection</w:t>
      </w:r>
    </w:p>
    <w:p>
      <w:pPr>
        <w:pStyle w:val="ListParagraph"/>
        <w:numPr>
          <w:ilvl w:val="0"/>
          <w:numId w:val="2"/>
        </w:numPr>
        <w:spacing w:after="30" w:before="30"/>
      </w:pPr>
      <w:r>
        <w:rPr>
          <w:rFonts w:ascii="Arial" w:cs="Arial" w:eastAsia="Arial" w:hAnsi="Arial"/>
          <w:color w:val="000000"/>
          <w:sz w:val="19"/>
          <w:szCs w:val="19"/>
        </w:rPr>
        <w:t xml:space="preserve">threading.Lock for monotonicity across runtimes — not just CPython GIL</w:t>
      </w:r>
    </w:p>
    <w:p>
      <w:pPr>
        <w:spacing w:after="60" w:before="60"/>
      </w:pPr>
      <w:r>
        <w:t xml:space="preserve"/>
      </w:r>
    </w:p>
    <w:p>
      <w:pPr>
        <w:shd w:fill="D6E4F0" w:val="clear"/>
        <w:spacing w:after="0" w:before="120"/>
        <w:ind w:left="0"/>
      </w:pPr>
      <w:r>
        <w:rPr>
          <w:rFonts w:ascii="Arial" w:cs="Arial" w:eastAsia="Arial" w:hAnsi="Arial"/>
          <w:b/>
          <w:bCs/>
          <w:color w:val="0C447C"/>
          <w:sz w:val="20"/>
          <w:szCs w:val="20"/>
        </w:rPr>
        <w:t xml:space="preserve">  1.4  </w:t>
      </w:r>
      <w:r>
        <w:rPr>
          <w:rFonts w:ascii="Arial" w:cs="Arial" w:eastAsia="Arial" w:hAnsi="Arial"/>
          <w:b/>
          <w:bCs/>
          <w:color w:val="0C447C"/>
          <w:sz w:val="20"/>
          <w:szCs w:val="20"/>
        </w:rPr>
        <w:t xml:space="preserve">The event type registry — 74 canonical types across 17 namespaces</w:t>
      </w:r>
    </w:p>
    <w:p>
      <w:pPr>
        <w:pStyle w:val="ListParagraph"/>
        <w:numPr>
          <w:ilvl w:val="0"/>
          <w:numId w:val="2"/>
        </w:numPr>
        <w:spacing w:after="30" w:before="30"/>
      </w:pPr>
      <w:r>
        <w:rPr>
          <w:rFonts w:ascii="Arial" w:cs="Arial" w:eastAsia="Arial" w:hAnsi="Arial"/>
          <w:color w:val="000000"/>
          <w:sz w:val="19"/>
          <w:szCs w:val="19"/>
        </w:rPr>
        <w:t xml:space="preserve">How namespaces are structured: llm.trace.*, llm.cost.*, llm.guard.*, decision.*, consent.*</w:t>
      </w:r>
    </w:p>
    <w:p>
      <w:pPr>
        <w:pStyle w:val="ListParagraph"/>
        <w:numPr>
          <w:ilvl w:val="0"/>
          <w:numId w:val="2"/>
        </w:numPr>
        <w:spacing w:after="30" w:before="30"/>
      </w:pPr>
      <w:r>
        <w:rPr>
          <w:rFonts w:ascii="Arial" w:cs="Arial" w:eastAsia="Arial" w:hAnsi="Arial"/>
          <w:color w:val="000000"/>
          <w:sz w:val="19"/>
          <w:szCs w:val="19"/>
        </w:rPr>
        <w:t xml:space="preserve">Why EventType is a str subclass rather than an Enum</w:t>
      </w:r>
    </w:p>
    <w:p>
      <w:pPr>
        <w:pStyle w:val="ListParagraph"/>
        <w:numPr>
          <w:ilvl w:val="0"/>
          <w:numId w:val="2"/>
        </w:numPr>
        <w:spacing w:after="30" w:before="30"/>
      </w:pPr>
      <w:r>
        <w:rPr>
          <w:rFonts w:ascii="Arial" w:cs="Arial" w:eastAsia="Arial" w:hAnsi="Arial"/>
          <w:color w:val="000000"/>
          <w:sz w:val="19"/>
          <w:szCs w:val="19"/>
        </w:rPr>
        <w:t xml:space="preserve">Third-party extension types and the reverse-domain prefix requirement</w:t>
      </w:r>
    </w:p>
    <w:p>
      <w:pPr>
        <w:spacing w:after="60" w:before="60"/>
      </w:pPr>
      <w:r>
        <w:t xml:space="preserve"/>
      </w:r>
    </w:p>
    <w:p>
      <w:pPr>
        <w:shd w:fill="D6E4F0" w:val="clear"/>
        <w:spacing w:after="0" w:before="120"/>
        <w:ind w:left="0"/>
      </w:pPr>
      <w:r>
        <w:rPr>
          <w:rFonts w:ascii="Arial" w:cs="Arial" w:eastAsia="Arial" w:hAnsi="Arial"/>
          <w:b/>
          <w:bCs/>
          <w:color w:val="0C447C"/>
          <w:sz w:val="20"/>
          <w:szCs w:val="20"/>
        </w:rPr>
        <w:t xml:space="preserve">  1.5  </w:t>
      </w:r>
      <w:r>
        <w:rPr>
          <w:rFonts w:ascii="Arial" w:cs="Arial" w:eastAsia="Arial" w:hAnsi="Arial"/>
          <w:b/>
          <w:bCs/>
          <w:color w:val="0C447C"/>
          <w:sz w:val="20"/>
          <w:szCs w:val="20"/>
        </w:rPr>
        <w:t xml:space="preserve">Traces, spans, and the context propagation model</w:t>
      </w:r>
    </w:p>
    <w:p>
      <w:pPr>
        <w:pStyle w:val="ListParagraph"/>
        <w:numPr>
          <w:ilvl w:val="0"/>
          <w:numId w:val="2"/>
        </w:numPr>
        <w:spacing w:after="30" w:before="30"/>
      </w:pPr>
      <w:r>
        <w:rPr>
          <w:rFonts w:ascii="Arial" w:cs="Arial" w:eastAsia="Arial" w:hAnsi="Arial"/>
          <w:color w:val="000000"/>
          <w:sz w:val="19"/>
          <w:szCs w:val="19"/>
        </w:rPr>
        <w:t xml:space="preserve">contextvars vs. thread-local — why contextvars is the right choice for asyncio</w:t>
      </w:r>
    </w:p>
    <w:p>
      <w:pPr>
        <w:pStyle w:val="ListParagraph"/>
        <w:numPr>
          <w:ilvl w:val="0"/>
          <w:numId w:val="2"/>
        </w:numPr>
        <w:spacing w:after="30" w:before="30"/>
      </w:pPr>
      <w:r>
        <w:rPr>
          <w:rFonts w:ascii="Arial" w:cs="Arial" w:eastAsia="Arial" w:hAnsi="Arial"/>
          <w:color w:val="000000"/>
          <w:sz w:val="19"/>
          <w:szCs w:val="19"/>
        </w:rPr>
        <w:t xml:space="preserve">W3C TraceContext and Baggage propagation across service boundaries</w:t>
      </w:r>
    </w:p>
    <w:p>
      <w:pPr>
        <w:pStyle w:val="ListParagraph"/>
        <w:numPr>
          <w:ilvl w:val="0"/>
          <w:numId w:val="2"/>
        </w:numPr>
        <w:spacing w:after="30" w:before="30"/>
      </w:pPr>
      <w:r>
        <w:rPr>
          <w:rFonts w:ascii="Arial" w:cs="Arial" w:eastAsia="Arial" w:hAnsi="Arial"/>
          <w:color w:val="000000"/>
          <w:sz w:val="19"/>
          <w:szCs w:val="19"/>
        </w:rPr>
        <w:t xml:space="preserve">Parent-child span relationships and how they survive across await points</w:t>
      </w:r>
    </w:p>
    <w:p>
      <w:pPr>
        <w:spacing w:after="60" w:before="60"/>
      </w:pPr>
      <w:r>
        <w:t xml:space="preserve"/>
      </w:r>
    </w:p>
    <w:p>
      <w:pPr>
        <w:shd w:fill="D6E4F0" w:val="clear"/>
        <w:spacing w:after="0" w:before="120"/>
        <w:ind w:left="0"/>
      </w:pPr>
      <w:r>
        <w:rPr>
          <w:rFonts w:ascii="Arial" w:cs="Arial" w:eastAsia="Arial" w:hAnsi="Arial"/>
          <w:b/>
          <w:bCs/>
          <w:color w:val="0C447C"/>
          <w:sz w:val="20"/>
          <w:szCs w:val="20"/>
        </w:rPr>
        <w:t xml:space="preserve">  1.6  </w:t>
      </w:r>
      <w:r>
        <w:rPr>
          <w:rFonts w:ascii="Arial" w:cs="Arial" w:eastAsia="Arial" w:hAnsi="Arial"/>
          <w:b/>
          <w:bCs/>
          <w:color w:val="0C447C"/>
          <w:sz w:val="20"/>
          <w:szCs w:val="20"/>
        </w:rPr>
        <w:t xml:space="preserve">The tracer, the @trace decorator, and span lifecycle hooks</w:t>
      </w:r>
    </w:p>
    <w:p>
      <w:pPr>
        <w:pStyle w:val="ListParagraph"/>
        <w:numPr>
          <w:ilvl w:val="0"/>
          <w:numId w:val="2"/>
        </w:numPr>
        <w:spacing w:after="30" w:before="30"/>
      </w:pPr>
      <w:r>
        <w:rPr>
          <w:rFonts w:ascii="Arial" w:cs="Arial" w:eastAsia="Arial" w:hAnsi="Arial"/>
          <w:color w:val="000000"/>
          <w:sz w:val="19"/>
          <w:szCs w:val="19"/>
        </w:rPr>
        <w:t xml:space="preserve">How the module-level tracer singleton is initialised and configured</w:t>
      </w:r>
    </w:p>
    <w:p>
      <w:pPr>
        <w:pStyle w:val="ListParagraph"/>
        <w:numPr>
          <w:ilvl w:val="0"/>
          <w:numId w:val="2"/>
        </w:numPr>
        <w:spacing w:after="30" w:before="30"/>
      </w:pPr>
      <w:r>
        <w:rPr>
          <w:rFonts w:ascii="Arial" w:cs="Arial" w:eastAsia="Arial" w:hAnsi="Arial"/>
          <w:color w:val="000000"/>
          <w:sz w:val="19"/>
          <w:szCs w:val="19"/>
        </w:rPr>
        <w:t xml:space="preserve">Using @trace for automatic span creation around any function</w:t>
      </w:r>
    </w:p>
    <w:p>
      <w:pPr>
        <w:pStyle w:val="ListParagraph"/>
        <w:numPr>
          <w:ilvl w:val="0"/>
          <w:numId w:val="2"/>
        </w:numPr>
        <w:spacing w:after="30" w:before="30"/>
      </w:pPr>
      <w:r>
        <w:rPr>
          <w:rFonts w:ascii="Arial" w:cs="Arial" w:eastAsia="Arial" w:hAnsi="Arial"/>
          <w:color w:val="000000"/>
          <w:sz w:val="19"/>
          <w:szCs w:val="19"/>
        </w:rPr>
        <w:t xml:space="preserve">Registering on_llm_call and on_agent_end hooks for cross-cutting concerns</w:t>
      </w:r>
    </w:p>
    <w:p>
      <w:pPr>
        <w:spacing w:after="60" w:before="60"/>
      </w:pPr>
      <w:r>
        <w:t xml:space="preserve"/>
      </w:r>
    </w:p>
    <w:p>
      <w:pPr>
        <w:shd w:fill="D6E4F0" w:val="clear"/>
        <w:spacing w:after="0" w:before="120"/>
        <w:ind w:left="0"/>
      </w:pPr>
      <w:r>
        <w:rPr>
          <w:rFonts w:ascii="Arial" w:cs="Arial" w:eastAsia="Arial" w:hAnsi="Arial"/>
          <w:b/>
          <w:bCs/>
          <w:color w:val="0C447C"/>
          <w:sz w:val="20"/>
          <w:szCs w:val="20"/>
        </w:rPr>
        <w:t xml:space="preserve">  1.7  </w:t>
      </w:r>
      <w:r>
        <w:rPr>
          <w:rFonts w:ascii="Arial" w:cs="Arial" w:eastAsia="Arial" w:hAnsi="Arial"/>
          <w:b/>
          <w:bCs/>
          <w:color w:val="0C447C"/>
          <w:sz w:val="20"/>
          <w:szCs w:val="20"/>
        </w:rPr>
        <w:t xml:space="preserve">The batch exporter — buffering, backpressure, and circuit breaking</w:t>
      </w:r>
    </w:p>
    <w:p>
      <w:pPr>
        <w:pStyle w:val="ListParagraph"/>
        <w:numPr>
          <w:ilvl w:val="0"/>
          <w:numId w:val="2"/>
        </w:numPr>
        <w:spacing w:after="30" w:before="30"/>
      </w:pPr>
      <w:r>
        <w:rPr>
          <w:rFonts w:ascii="Arial" w:cs="Arial" w:eastAsia="Arial" w:hAnsi="Arial"/>
          <w:color w:val="000000"/>
          <w:sz w:val="19"/>
          <w:szCs w:val="19"/>
        </w:rPr>
        <w:t xml:space="preserve">Why synchronous export blocks are wrong for production SDKs</w:t>
      </w:r>
    </w:p>
    <w:p>
      <w:pPr>
        <w:pStyle w:val="ListParagraph"/>
        <w:numPr>
          <w:ilvl w:val="0"/>
          <w:numId w:val="2"/>
        </w:numPr>
        <w:spacing w:after="30" w:before="30"/>
      </w:pPr>
      <w:r>
        <w:rPr>
          <w:rFonts w:ascii="Arial" w:cs="Arial" w:eastAsia="Arial" w:hAnsi="Arial"/>
          <w:color w:val="000000"/>
          <w:sz w:val="19"/>
          <w:szCs w:val="19"/>
        </w:rPr>
        <w:t xml:space="preserve">The background thread model, queue depth, and overflow handling</w:t>
      </w:r>
    </w:p>
    <w:p>
      <w:pPr>
        <w:pStyle w:val="ListParagraph"/>
        <w:numPr>
          <w:ilvl w:val="0"/>
          <w:numId w:val="2"/>
        </w:numPr>
        <w:spacing w:after="30" w:before="30"/>
      </w:pPr>
      <w:r>
        <w:rPr>
          <w:rFonts w:ascii="Arial" w:cs="Arial" w:eastAsia="Arial" w:hAnsi="Arial"/>
          <w:color w:val="000000"/>
          <w:sz w:val="19"/>
          <w:szCs w:val="19"/>
        </w:rPr>
        <w:t xml:space="preserve">Per-exporter circuit breakers — 5 failures → OPEN, 30s auto-reset</w:t>
      </w:r>
    </w:p>
    <w:p>
      <w:pPr>
        <w:spacing w:after="60" w:before="60"/>
      </w:pPr>
      <w:r>
        <w:t xml:space="preserve"/>
      </w:r>
    </w:p>
    <w:p>
      <w:pPr>
        <w:shd w:fill="D6E4F0" w:val="clear"/>
        <w:spacing w:after="0" w:before="120"/>
        <w:ind w:left="0"/>
      </w:pPr>
      <w:r>
        <w:rPr>
          <w:rFonts w:ascii="Arial" w:cs="Arial" w:eastAsia="Arial" w:hAnsi="Arial"/>
          <w:b/>
          <w:bCs/>
          <w:color w:val="0C447C"/>
          <w:sz w:val="20"/>
          <w:szCs w:val="20"/>
        </w:rPr>
        <w:t xml:space="preserve">  1.8  </w:t>
      </w:r>
      <w:r>
        <w:rPr>
          <w:rFonts w:ascii="Arial" w:cs="Arial" w:eastAsia="Arial" w:hAnsi="Arial"/>
          <w:b/>
          <w:bCs/>
          <w:color w:val="0C447C"/>
          <w:sz w:val="20"/>
          <w:szCs w:val="20"/>
        </w:rPr>
        <w:t xml:space="preserve">Sampling strategies — TraceIdRatio, ParentBased, AlwaysOn</w:t>
      </w:r>
    </w:p>
    <w:p>
      <w:pPr>
        <w:pStyle w:val="ListParagraph"/>
        <w:numPr>
          <w:ilvl w:val="0"/>
          <w:numId w:val="2"/>
        </w:numPr>
        <w:spacing w:after="30" w:before="30"/>
      </w:pPr>
      <w:r>
        <w:rPr>
          <w:rFonts w:ascii="Arial" w:cs="Arial" w:eastAsia="Arial" w:hAnsi="Arial"/>
          <w:color w:val="000000"/>
          <w:sz w:val="19"/>
          <w:szCs w:val="19"/>
        </w:rPr>
        <w:t xml:space="preserve">Head-based sampling and its tradeoffs vs. tail-based sampling</w:t>
      </w:r>
    </w:p>
    <w:p>
      <w:pPr>
        <w:pStyle w:val="ListParagraph"/>
        <w:numPr>
          <w:ilvl w:val="0"/>
          <w:numId w:val="2"/>
        </w:numPr>
        <w:spacing w:after="30" w:before="30"/>
      </w:pPr>
      <w:r>
        <w:rPr>
          <w:rFonts w:ascii="Arial" w:cs="Arial" w:eastAsia="Arial" w:hAnsi="Arial"/>
          <w:color w:val="000000"/>
          <w:sz w:val="19"/>
          <w:szCs w:val="19"/>
        </w:rPr>
        <w:t xml:space="preserve">always_sample_errors=True — why you never want to drop error spans</w:t>
      </w:r>
    </w:p>
    <w:p>
      <w:pPr>
        <w:pStyle w:val="ListParagraph"/>
        <w:numPr>
          <w:ilvl w:val="0"/>
          <w:numId w:val="2"/>
        </w:numPr>
        <w:spacing w:after="30" w:before="30"/>
      </w:pPr>
      <w:r>
        <w:rPr>
          <w:rFonts w:ascii="Arial" w:cs="Arial" w:eastAsia="Arial" w:hAnsi="Arial"/>
          <w:color w:val="000000"/>
          <w:sz w:val="19"/>
          <w:szCs w:val="19"/>
        </w:rPr>
        <w:t xml:space="preserve">Configuring sample_rate per project without code changes</w:t>
      </w:r>
    </w:p>
    <w:p>
      <w:pPr>
        <w:spacing w:after="60" w:before="60"/>
      </w:pPr>
      <w:r>
        <w:t xml:space="preserve"/>
      </w:r>
    </w:p>
    <w:p>
      <w:pPr>
        <w:pBdr>
          <w:bottom w:val="single" w:color="2E75B6" w:sz="4"/>
        </w:pBdr>
        <w:spacing w:after="140" w:before="140"/>
      </w:pPr>
      <w:r>
        <w:t xml:space="preserve"/>
      </w:r>
    </w:p>
    <w:p>
      <w:r>
        <w:br w:type="pag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5800"/>
        <w:gridCol w:w="1200"/>
        <w:gridCol w:w="1200"/>
      </w:tblGrid>
      <w:tr>
        <w:tc>
          <w:tcPr>
            <w:tcW w:type="dxa" w:w="1200"/>
            <w:tcBorders>
              <w:top w:val="single" w:color="791F1F" w:sz="6"/>
              <w:left w:val="single" w:color="791F1F" w:sz="6"/>
              <w:bottom w:val="single" w:color="791F1F" w:sz="6"/>
              <w:right w:val="single" w:color="CCCCCC" w:sz="1"/>
            </w:tcBorders>
            <w:shd w:fill="FCEBEB" w:val="clear"/>
            <w:tcMar>
              <w:top w:type="dxa" w:w="120"/>
              <w:left w:type="dxa" w:w="140"/>
              <w:bottom w:type="dxa" w:w="120"/>
              <w:right w:type="dxa" w:w="140"/>
            </w:tcMar>
            <w:vAlign w:val="center"/>
          </w:tcPr>
          <w:p>
            <w:pPr>
              <w:jc w:val="center"/>
            </w:pPr>
            <w:r>
              <w:rPr>
                <w:rFonts w:ascii="Arial" w:cs="Arial" w:eastAsia="Arial" w:hAnsi="Arial"/>
                <w:b/>
                <w:bCs/>
                <w:color w:val="791F1F"/>
                <w:sz w:val="20"/>
                <w:szCs w:val="20"/>
              </w:rPr>
              <w:t xml:space="preserve">Part 2</w:t>
            </w:r>
          </w:p>
          <w:p>
            <w:pPr>
              <w:spacing w:before="20"/>
              <w:jc w:val="center"/>
            </w:pPr>
            <w:r>
              <w:rPr>
                <w:rFonts w:ascii="Arial" w:cs="Arial" w:eastAsia="Arial" w:hAnsi="Arial"/>
                <w:color w:val="791F1F"/>
                <w:sz w:val="15"/>
                <w:szCs w:val="15"/>
              </w:rPr>
              <w:t xml:space="preserve">security</w:t>
            </w:r>
          </w:p>
        </w:tc>
        <w:tc>
          <w:tcPr>
            <w:tcW w:type="dxa" w:w="5800"/>
            <w:tcBorders>
              <w:top w:val="single" w:color="791F1F" w:sz="6"/>
              <w:left w:val="single" w:color="CCCCCC" w:sz="1"/>
              <w:bottom w:val="single" w:color="791F1F" w:sz="6"/>
              <w:right w:val="single" w:color="CCCCCC" w:sz="1"/>
            </w:tcBorders>
            <w:shd w:fill="FFFFFF" w:val="clear"/>
            <w:tcMar>
              <w:top w:type="dxa" w:w="120"/>
              <w:left w:type="dxa" w:w="180"/>
              <w:bottom w:type="dxa" w:w="120"/>
              <w:right w:type="dxa" w:w="140"/>
            </w:tcMar>
          </w:tcPr>
          <w:p>
            <w:r>
              <w:rPr>
                <w:rFonts w:ascii="Arial" w:cs="Arial" w:eastAsia="Arial" w:hAnsi="Arial"/>
                <w:b/>
                <w:bCs/>
                <w:color w:val="1F4E79"/>
                <w:sz w:val="24"/>
                <w:szCs w:val="24"/>
              </w:rPr>
              <w:t xml:space="preserve">Security primitives — cryptography you can trust</w:t>
            </w:r>
          </w:p>
        </w:tc>
        <w:tc>
          <w:tcPr>
            <w:tcW w:type="dxa" w:w="1200"/>
            <w:tcBorders>
              <w:top w:val="single" w:color="791F1F" w:sz="6"/>
              <w:left w:val="single" w:color="CCCCCC" w:sz="1"/>
              <w:bottom w:val="single" w:color="791F1F" w:sz="6"/>
              <w:right w:val="single" w:color="CCCCCC" w:sz="1"/>
            </w:tcBorders>
            <w:shd w:fill="F2F2F2" w:val="clear"/>
            <w:tcMar>
              <w:top w:type="dxa" w:w="120"/>
              <w:left w:type="dxa" w:w="120"/>
              <w:bottom w:type="dxa" w:w="120"/>
              <w:right w:type="dxa" w:w="120"/>
            </w:tcMar>
          </w:tcPr>
          <w:p>
            <w:pPr>
              <w:jc w:val="center"/>
            </w:pPr>
            <w:r>
              <w:rPr>
                <w:rFonts w:ascii="Arial" w:cs="Arial" w:eastAsia="Arial" w:hAnsi="Arial"/>
                <w:b/>
                <w:bCs/>
                <w:color w:val="2E75B6"/>
                <w:sz w:val="26"/>
                <w:szCs w:val="26"/>
              </w:rPr>
              <w:t xml:space="preserve">10</w:t>
            </w:r>
          </w:p>
          <w:p>
            <w:pPr>
              <w:spacing w:before="20"/>
              <w:jc w:val="center"/>
            </w:pPr>
            <w:r>
              <w:rPr>
                <w:rFonts w:ascii="Arial" w:cs="Arial" w:eastAsia="Arial" w:hAnsi="Arial"/>
                <w:color w:val="404040"/>
                <w:sz w:val="15"/>
                <w:szCs w:val="15"/>
              </w:rPr>
              <w:t xml:space="preserve">chapters</w:t>
            </w:r>
          </w:p>
        </w:tc>
        <w:tc>
          <w:tcPr>
            <w:tcW w:type="dxa" w:w="1200"/>
            <w:tcBorders>
              <w:top w:val="single" w:color="791F1F" w:sz="6"/>
              <w:left w:val="single" w:color="CCCCCC" w:sz="1"/>
              <w:bottom w:val="single" w:color="791F1F" w:sz="6"/>
              <w:right w:val="single" w:color="791F1F" w:sz="6"/>
            </w:tcBorders>
            <w:shd w:fill="F2F2F2" w:val="clear"/>
            <w:tcMar>
              <w:top w:type="dxa" w:w="120"/>
              <w:left w:type="dxa" w:w="120"/>
              <w:bottom w:type="dxa" w:w="120"/>
              <w:right w:type="dxa" w:w="120"/>
            </w:tcMar>
          </w:tcPr>
          <w:p>
            <w:pPr>
              <w:jc w:val="center"/>
            </w:pPr>
            <w:r>
              <w:rPr>
                <w:rFonts w:ascii="Arial" w:cs="Arial" w:eastAsia="Arial" w:hAnsi="Arial"/>
                <w:b/>
                <w:bCs/>
                <w:color w:val="404040"/>
                <w:sz w:val="20"/>
                <w:szCs w:val="20"/>
              </w:rPr>
              <w:t xml:space="preserve">~18 hrs</w:t>
            </w:r>
          </w:p>
          <w:p>
            <w:pPr>
              <w:spacing w:before="20"/>
              <w:jc w:val="center"/>
            </w:pPr>
            <w:r>
              <w:rPr>
                <w:rFonts w:ascii="Arial" w:cs="Arial" w:eastAsia="Arial" w:hAnsi="Arial"/>
                <w:color w:val="404040"/>
                <w:sz w:val="15"/>
                <w:szCs w:val="15"/>
              </w:rPr>
              <w:t xml:space="preserve">est. time</w:t>
            </w:r>
          </w:p>
        </w:tc>
      </w:tr>
    </w:tbl>
    <w:p>
      <w:pPr>
        <w:spacing w:after="60" w:before="60"/>
      </w:pPr>
      <w:r>
        <w:t xml:space="preserve"/>
      </w:r>
    </w:p>
    <w:p>
      <w:pPr>
        <w:spacing w:after="60" w:before="60"/>
      </w:pPr>
      <w:r>
        <w:rPr>
          <w:rFonts w:ascii="Arial" w:cs="Arial" w:eastAsia="Arial" w:hAnsi="Arial"/>
          <w:b w:val="false"/>
          <w:bCs w:val="false"/>
          <w:color w:val="404040"/>
          <w:sz w:val="20"/>
          <w:szCs w:val="20"/>
        </w:rPr>
        <w:t xml:space="preserve">This part covers the cryptographic foundations of SpanForge — HMAC chains, key management, JWT authentication, TOTP, and secrets scanning. Every concept here is implemented in pure stdlib with no external cryptographic dependencies.</w:t>
      </w:r>
    </w:p>
    <w:p>
      <w:pPr>
        <w:spacing w:after="6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800"/>
        <w:gridCol w:w="7700"/>
        <w:gridCol w:w="900"/>
      </w:tblGrid>
      <w:tr>
        <w:tc>
          <w:tcPr>
            <w:tcW w:type="dxa" w:w="8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80"/>
            </w:tcMar>
          </w:tcPr>
          <w:p>
            <w:pPr>
              <w:jc w:val="center"/>
            </w:pPr>
            <w:r>
              <w:rPr>
                <w:rFonts w:ascii="Arial" w:cs="Arial" w:eastAsia="Arial" w:hAnsi="Arial"/>
                <w:b/>
                <w:bCs/>
                <w:color w:val="791F1F"/>
                <w:sz w:val="17"/>
                <w:szCs w:val="17"/>
              </w:rPr>
              <w:t xml:space="preserve">2.1</w:t>
            </w:r>
          </w:p>
        </w:tc>
        <w:tc>
          <w:tcPr>
            <w:tcW w:type="dxa" w:w="7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000000"/>
                <w:sz w:val="19"/>
                <w:szCs w:val="19"/>
              </w:rPr>
              <w:t xml:space="preserve">HMAC-SHA256 signing — how and why every event is signed</w:t>
            </w:r>
          </w:p>
        </w:tc>
        <w:tc>
          <w:tcPr>
            <w:tcW w:type="dxa" w:w="900"/>
            <w:tcBorders>
              <w:top w:val="single" w:color="CCCCCC" w:sz="1"/>
              <w:left w:val="single" w:color="CCCCCC" w:sz="1"/>
              <w:bottom w:val="single" w:color="CCCCCC" w:sz="1"/>
              <w:right w:val="single" w:color="CCCCCC" w:sz="1"/>
            </w:tcBorders>
            <w:shd w:fill="FCEBEB" w:val="clear"/>
            <w:tcMar>
              <w:top w:type="dxa" w:w="80"/>
              <w:left w:type="dxa" w:w="80"/>
              <w:bottom w:type="dxa" w:w="80"/>
              <w:right w:type="dxa" w:w="80"/>
            </w:tcMar>
          </w:tcPr>
          <w:p>
            <w:pPr>
              <w:jc w:val="center"/>
            </w:pPr>
            <w:r>
              <w:rPr>
                <w:rFonts w:ascii="Arial" w:cs="Arial" w:eastAsia="Arial" w:hAnsi="Arial"/>
                <w:color w:val="791F1F"/>
                <w:sz w:val="15"/>
                <w:szCs w:val="15"/>
              </w:rPr>
              <w:t xml:space="preserve">security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bCs/>
                <w:color w:val="791F1F"/>
                <w:sz w:val="17"/>
                <w:szCs w:val="17"/>
              </w:rPr>
              <w:t xml:space="preserve">2.2</w:t>
            </w:r>
          </w:p>
        </w:tc>
        <w:tc>
          <w:tcPr>
            <w:tcW w:type="dxa" w:w="77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color w:val="000000"/>
                <w:sz w:val="19"/>
                <w:szCs w:val="19"/>
              </w:rPr>
              <w:t xml:space="preserve">Tamper-evident audit chains — chain linkage, prev_id, and tombstones</w:t>
            </w:r>
          </w:p>
        </w:tc>
        <w:tc>
          <w:tcPr>
            <w:tcW w:type="dxa" w:w="900"/>
            <w:tcBorders>
              <w:top w:val="single" w:color="CCCCCC" w:sz="1"/>
              <w:left w:val="single" w:color="CCCCCC" w:sz="1"/>
              <w:bottom w:val="single" w:color="CCCCCC" w:sz="1"/>
              <w:right w:val="single" w:color="CCCCCC" w:sz="1"/>
            </w:tcBorders>
            <w:shd w:fill="FCEBEB" w:val="clear"/>
            <w:tcMar>
              <w:top w:type="dxa" w:w="80"/>
              <w:left w:type="dxa" w:w="80"/>
              <w:bottom w:type="dxa" w:w="80"/>
              <w:right w:type="dxa" w:w="80"/>
            </w:tcMar>
          </w:tcPr>
          <w:p>
            <w:pPr>
              <w:jc w:val="center"/>
            </w:pPr>
            <w:r>
              <w:rPr>
                <w:rFonts w:ascii="Arial" w:cs="Arial" w:eastAsia="Arial" w:hAnsi="Arial"/>
                <w:color w:val="791F1F"/>
                <w:sz w:val="15"/>
                <w:szCs w:val="15"/>
              </w:rPr>
              <w:t xml:space="preserve">security</w:t>
            </w:r>
          </w:p>
        </w:tc>
      </w:tr>
      <w:tr>
        <w:tc>
          <w:tcPr>
            <w:tcW w:type="dxa" w:w="8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80"/>
            </w:tcMar>
          </w:tcPr>
          <w:p>
            <w:pPr>
              <w:jc w:val="center"/>
            </w:pPr>
            <w:r>
              <w:rPr>
                <w:rFonts w:ascii="Arial" w:cs="Arial" w:eastAsia="Arial" w:hAnsi="Arial"/>
                <w:b/>
                <w:bCs/>
                <w:color w:val="791F1F"/>
                <w:sz w:val="17"/>
                <w:szCs w:val="17"/>
              </w:rPr>
              <w:t xml:space="preserve">2.3</w:t>
            </w:r>
          </w:p>
        </w:tc>
        <w:tc>
          <w:tcPr>
            <w:tcW w:type="dxa" w:w="7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000000"/>
                <w:sz w:val="19"/>
                <w:szCs w:val="19"/>
              </w:rPr>
              <w:t xml:space="preserve">Key rotation — rolling keys without breaking the chain</w:t>
            </w:r>
          </w:p>
        </w:tc>
        <w:tc>
          <w:tcPr>
            <w:tcW w:type="dxa" w:w="900"/>
            <w:tcBorders>
              <w:top w:val="single" w:color="CCCCCC" w:sz="1"/>
              <w:left w:val="single" w:color="CCCCCC" w:sz="1"/>
              <w:bottom w:val="single" w:color="CCCCCC" w:sz="1"/>
              <w:right w:val="single" w:color="CCCCCC" w:sz="1"/>
            </w:tcBorders>
            <w:shd w:fill="FCEBEB" w:val="clear"/>
            <w:tcMar>
              <w:top w:type="dxa" w:w="80"/>
              <w:left w:type="dxa" w:w="80"/>
              <w:bottom w:type="dxa" w:w="80"/>
              <w:right w:type="dxa" w:w="80"/>
            </w:tcMar>
          </w:tcPr>
          <w:p>
            <w:pPr>
              <w:jc w:val="center"/>
            </w:pPr>
            <w:r>
              <w:rPr>
                <w:rFonts w:ascii="Arial" w:cs="Arial" w:eastAsia="Arial" w:hAnsi="Arial"/>
                <w:color w:val="791F1F"/>
                <w:sz w:val="15"/>
                <w:szCs w:val="15"/>
              </w:rPr>
              <w:t xml:space="preserve">security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bCs/>
                <w:color w:val="791F1F"/>
                <w:sz w:val="17"/>
                <w:szCs w:val="17"/>
              </w:rPr>
              <w:t xml:space="preserve">2.4</w:t>
            </w:r>
          </w:p>
        </w:tc>
        <w:tc>
          <w:tcPr>
            <w:tcW w:type="dxa" w:w="77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color w:val="000000"/>
                <w:sz w:val="19"/>
                <w:szCs w:val="19"/>
              </w:rPr>
              <w:t xml:space="preserve">GDPR tombstone erasure — right to erasure in an immutable log</w:t>
            </w:r>
          </w:p>
        </w:tc>
        <w:tc>
          <w:tcPr>
            <w:tcW w:type="dxa" w:w="900"/>
            <w:tcBorders>
              <w:top w:val="single" w:color="CCCCCC" w:sz="1"/>
              <w:left w:val="single" w:color="CCCCCC" w:sz="1"/>
              <w:bottom w:val="single" w:color="CCCCCC" w:sz="1"/>
              <w:right w:val="single" w:color="CCCCCC" w:sz="1"/>
            </w:tcBorders>
            <w:shd w:fill="FCEBEB" w:val="clear"/>
            <w:tcMar>
              <w:top w:type="dxa" w:w="80"/>
              <w:left w:type="dxa" w:w="80"/>
              <w:bottom w:type="dxa" w:w="80"/>
              <w:right w:type="dxa" w:w="80"/>
            </w:tcMar>
          </w:tcPr>
          <w:p>
            <w:pPr>
              <w:jc w:val="center"/>
            </w:pPr>
            <w:r>
              <w:rPr>
                <w:rFonts w:ascii="Arial" w:cs="Arial" w:eastAsia="Arial" w:hAnsi="Arial"/>
                <w:color w:val="791F1F"/>
                <w:sz w:val="15"/>
                <w:szCs w:val="15"/>
              </w:rPr>
              <w:t xml:space="preserve">security</w:t>
            </w:r>
          </w:p>
        </w:tc>
      </w:tr>
      <w:tr>
        <w:tc>
          <w:tcPr>
            <w:tcW w:type="dxa" w:w="8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80"/>
            </w:tcMar>
          </w:tcPr>
          <w:p>
            <w:pPr>
              <w:jc w:val="center"/>
            </w:pPr>
            <w:r>
              <w:rPr>
                <w:rFonts w:ascii="Arial" w:cs="Arial" w:eastAsia="Arial" w:hAnsi="Arial"/>
                <w:b/>
                <w:bCs/>
                <w:color w:val="791F1F"/>
                <w:sz w:val="17"/>
                <w:szCs w:val="17"/>
              </w:rPr>
              <w:t xml:space="preserve">2.5</w:t>
            </w:r>
          </w:p>
        </w:tc>
        <w:tc>
          <w:tcPr>
            <w:tcW w:type="dxa" w:w="7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000000"/>
                <w:sz w:val="19"/>
                <w:szCs w:val="19"/>
              </w:rPr>
              <w:t xml:space="preserve">API key lifecycle — format, scoping, rotation, and revocation</w:t>
            </w:r>
          </w:p>
        </w:tc>
        <w:tc>
          <w:tcPr>
            <w:tcW w:type="dxa" w:w="900"/>
            <w:tcBorders>
              <w:top w:val="single" w:color="CCCCCC" w:sz="1"/>
              <w:left w:val="single" w:color="CCCCCC" w:sz="1"/>
              <w:bottom w:val="single" w:color="CCCCCC" w:sz="1"/>
              <w:right w:val="single" w:color="CCCCCC" w:sz="1"/>
            </w:tcBorders>
            <w:shd w:fill="FCEBEB" w:val="clear"/>
            <w:tcMar>
              <w:top w:type="dxa" w:w="80"/>
              <w:left w:type="dxa" w:w="80"/>
              <w:bottom w:type="dxa" w:w="80"/>
              <w:right w:type="dxa" w:w="80"/>
            </w:tcMar>
          </w:tcPr>
          <w:p>
            <w:pPr>
              <w:jc w:val="center"/>
            </w:pPr>
            <w:r>
              <w:rPr>
                <w:rFonts w:ascii="Arial" w:cs="Arial" w:eastAsia="Arial" w:hAnsi="Arial"/>
                <w:color w:val="791F1F"/>
                <w:sz w:val="15"/>
                <w:szCs w:val="15"/>
              </w:rPr>
              <w:t xml:space="preserve">security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bCs/>
                <w:color w:val="791F1F"/>
                <w:sz w:val="17"/>
                <w:szCs w:val="17"/>
              </w:rPr>
              <w:t xml:space="preserve">2.6</w:t>
            </w:r>
          </w:p>
        </w:tc>
        <w:tc>
          <w:tcPr>
            <w:tcW w:type="dxa" w:w="77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color w:val="000000"/>
                <w:sz w:val="19"/>
                <w:szCs w:val="19"/>
              </w:rPr>
              <w:t xml:space="preserve">JWT authentication — HS256 vs RS256, JWKS, and token introspection</w:t>
            </w:r>
          </w:p>
        </w:tc>
        <w:tc>
          <w:tcPr>
            <w:tcW w:type="dxa" w:w="900"/>
            <w:tcBorders>
              <w:top w:val="single" w:color="CCCCCC" w:sz="1"/>
              <w:left w:val="single" w:color="CCCCCC" w:sz="1"/>
              <w:bottom w:val="single" w:color="CCCCCC" w:sz="1"/>
              <w:right w:val="single" w:color="CCCCCC" w:sz="1"/>
            </w:tcBorders>
            <w:shd w:fill="FCEBEB" w:val="clear"/>
            <w:tcMar>
              <w:top w:type="dxa" w:w="80"/>
              <w:left w:type="dxa" w:w="80"/>
              <w:bottom w:type="dxa" w:w="80"/>
              <w:right w:type="dxa" w:w="80"/>
            </w:tcMar>
          </w:tcPr>
          <w:p>
            <w:pPr>
              <w:jc w:val="center"/>
            </w:pPr>
            <w:r>
              <w:rPr>
                <w:rFonts w:ascii="Arial" w:cs="Arial" w:eastAsia="Arial" w:hAnsi="Arial"/>
                <w:color w:val="791F1F"/>
                <w:sz w:val="15"/>
                <w:szCs w:val="15"/>
              </w:rPr>
              <w:t xml:space="preserve">security</w:t>
            </w:r>
          </w:p>
        </w:tc>
      </w:tr>
      <w:tr>
        <w:tc>
          <w:tcPr>
            <w:tcW w:type="dxa" w:w="8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80"/>
            </w:tcMar>
          </w:tcPr>
          <w:p>
            <w:pPr>
              <w:jc w:val="center"/>
            </w:pPr>
            <w:r>
              <w:rPr>
                <w:rFonts w:ascii="Arial" w:cs="Arial" w:eastAsia="Arial" w:hAnsi="Arial"/>
                <w:b/>
                <w:bCs/>
                <w:color w:val="791F1F"/>
                <w:sz w:val="17"/>
                <w:szCs w:val="17"/>
              </w:rPr>
              <w:t xml:space="preserve">2.7</w:t>
            </w:r>
          </w:p>
        </w:tc>
        <w:tc>
          <w:tcPr>
            <w:tcW w:type="dxa" w:w="7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000000"/>
                <w:sz w:val="19"/>
                <w:szCs w:val="19"/>
              </w:rPr>
              <w:t xml:space="preserve">TOTP / MFA — RFC 6238, backup codes, and brute-force lockout</w:t>
            </w:r>
          </w:p>
        </w:tc>
        <w:tc>
          <w:tcPr>
            <w:tcW w:type="dxa" w:w="900"/>
            <w:tcBorders>
              <w:top w:val="single" w:color="CCCCCC" w:sz="1"/>
              <w:left w:val="single" w:color="CCCCCC" w:sz="1"/>
              <w:bottom w:val="single" w:color="CCCCCC" w:sz="1"/>
              <w:right w:val="single" w:color="CCCCCC" w:sz="1"/>
            </w:tcBorders>
            <w:shd w:fill="FCEBEB" w:val="clear"/>
            <w:tcMar>
              <w:top w:type="dxa" w:w="80"/>
              <w:left w:type="dxa" w:w="80"/>
              <w:bottom w:type="dxa" w:w="80"/>
              <w:right w:type="dxa" w:w="80"/>
            </w:tcMar>
          </w:tcPr>
          <w:p>
            <w:pPr>
              <w:jc w:val="center"/>
            </w:pPr>
            <w:r>
              <w:rPr>
                <w:rFonts w:ascii="Arial" w:cs="Arial" w:eastAsia="Arial" w:hAnsi="Arial"/>
                <w:color w:val="791F1F"/>
                <w:sz w:val="15"/>
                <w:szCs w:val="15"/>
              </w:rPr>
              <w:t xml:space="preserve">security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bCs/>
                <w:color w:val="791F1F"/>
                <w:sz w:val="17"/>
                <w:szCs w:val="17"/>
              </w:rPr>
              <w:t xml:space="preserve">2.8</w:t>
            </w:r>
          </w:p>
        </w:tc>
        <w:tc>
          <w:tcPr>
            <w:tcW w:type="dxa" w:w="77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color w:val="000000"/>
                <w:sz w:val="19"/>
                <w:szCs w:val="19"/>
              </w:rPr>
              <w:t xml:space="preserve">Secrets scanning — 20 patterns, Shannon entropy, SARIF output</w:t>
            </w:r>
          </w:p>
        </w:tc>
        <w:tc>
          <w:tcPr>
            <w:tcW w:type="dxa" w:w="900"/>
            <w:tcBorders>
              <w:top w:val="single" w:color="CCCCCC" w:sz="1"/>
              <w:left w:val="single" w:color="CCCCCC" w:sz="1"/>
              <w:bottom w:val="single" w:color="CCCCCC" w:sz="1"/>
              <w:right w:val="single" w:color="CCCCCC" w:sz="1"/>
            </w:tcBorders>
            <w:shd w:fill="FCEBEB" w:val="clear"/>
            <w:tcMar>
              <w:top w:type="dxa" w:w="80"/>
              <w:left w:type="dxa" w:w="80"/>
              <w:bottom w:type="dxa" w:w="80"/>
              <w:right w:type="dxa" w:w="80"/>
            </w:tcMar>
          </w:tcPr>
          <w:p>
            <w:pPr>
              <w:jc w:val="center"/>
            </w:pPr>
            <w:r>
              <w:rPr>
                <w:rFonts w:ascii="Arial" w:cs="Arial" w:eastAsia="Arial" w:hAnsi="Arial"/>
                <w:color w:val="791F1F"/>
                <w:sz w:val="15"/>
                <w:szCs w:val="15"/>
              </w:rPr>
              <w:t xml:space="preserve">security</w:t>
            </w:r>
          </w:p>
        </w:tc>
      </w:tr>
      <w:tr>
        <w:tc>
          <w:tcPr>
            <w:tcW w:type="dxa" w:w="8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80"/>
            </w:tcMar>
          </w:tcPr>
          <w:p>
            <w:pPr>
              <w:jc w:val="center"/>
            </w:pPr>
            <w:r>
              <w:rPr>
                <w:rFonts w:ascii="Arial" w:cs="Arial" w:eastAsia="Arial" w:hAnsi="Arial"/>
                <w:b/>
                <w:bCs/>
                <w:color w:val="791F1F"/>
                <w:sz w:val="17"/>
                <w:szCs w:val="17"/>
              </w:rPr>
              <w:t xml:space="preserve">2.9</w:t>
            </w:r>
          </w:p>
        </w:tc>
        <w:tc>
          <w:tcPr>
            <w:tcW w:type="dxa" w:w="7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000000"/>
                <w:sz w:val="19"/>
                <w:szCs w:val="19"/>
              </w:rPr>
              <w:t xml:space="preserve">Timing-safe comparisons and SecretStr — writing code that doesn't leak</w:t>
            </w:r>
          </w:p>
        </w:tc>
        <w:tc>
          <w:tcPr>
            <w:tcW w:type="dxa" w:w="900"/>
            <w:tcBorders>
              <w:top w:val="single" w:color="CCCCCC" w:sz="1"/>
              <w:left w:val="single" w:color="CCCCCC" w:sz="1"/>
              <w:bottom w:val="single" w:color="CCCCCC" w:sz="1"/>
              <w:right w:val="single" w:color="CCCCCC" w:sz="1"/>
            </w:tcBorders>
            <w:shd w:fill="FCEBEB" w:val="clear"/>
            <w:tcMar>
              <w:top w:type="dxa" w:w="80"/>
              <w:left w:type="dxa" w:w="80"/>
              <w:bottom w:type="dxa" w:w="80"/>
              <w:right w:type="dxa" w:w="80"/>
            </w:tcMar>
          </w:tcPr>
          <w:p>
            <w:pPr>
              <w:jc w:val="center"/>
            </w:pPr>
            <w:r>
              <w:rPr>
                <w:rFonts w:ascii="Arial" w:cs="Arial" w:eastAsia="Arial" w:hAnsi="Arial"/>
                <w:color w:val="791F1F"/>
                <w:sz w:val="15"/>
                <w:szCs w:val="15"/>
              </w:rPr>
              <w:t xml:space="preserve">security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bCs/>
                <w:color w:val="791F1F"/>
                <w:sz w:val="17"/>
                <w:szCs w:val="17"/>
              </w:rPr>
              <w:t xml:space="preserve">2.10</w:t>
            </w:r>
          </w:p>
        </w:tc>
        <w:tc>
          <w:tcPr>
            <w:tcW w:type="dxa" w:w="77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color w:val="000000"/>
                <w:sz w:val="19"/>
                <w:szCs w:val="19"/>
              </w:rPr>
              <w:t xml:space="preserve">SSRF protection — why IP allowlists alone are not enough</w:t>
            </w:r>
          </w:p>
        </w:tc>
        <w:tc>
          <w:tcPr>
            <w:tcW w:type="dxa" w:w="900"/>
            <w:tcBorders>
              <w:top w:val="single" w:color="CCCCCC" w:sz="1"/>
              <w:left w:val="single" w:color="CCCCCC" w:sz="1"/>
              <w:bottom w:val="single" w:color="CCCCCC" w:sz="1"/>
              <w:right w:val="single" w:color="CCCCCC" w:sz="1"/>
            </w:tcBorders>
            <w:shd w:fill="FCEBEB" w:val="clear"/>
            <w:tcMar>
              <w:top w:type="dxa" w:w="80"/>
              <w:left w:type="dxa" w:w="80"/>
              <w:bottom w:type="dxa" w:w="80"/>
              <w:right w:type="dxa" w:w="80"/>
            </w:tcMar>
          </w:tcPr>
          <w:p>
            <w:pPr>
              <w:jc w:val="center"/>
            </w:pPr>
            <w:r>
              <w:rPr>
                <w:rFonts w:ascii="Arial" w:cs="Arial" w:eastAsia="Arial" w:hAnsi="Arial"/>
                <w:color w:val="791F1F"/>
                <w:sz w:val="15"/>
                <w:szCs w:val="15"/>
              </w:rPr>
              <w:t xml:space="preserve">security</w:t>
            </w:r>
          </w:p>
        </w:tc>
      </w:tr>
    </w:tbl>
    <w:p>
      <w:pPr>
        <w:spacing w:after="60" w:before="60"/>
      </w:pPr>
      <w:r>
        <w:t xml:space="preserve"/>
      </w:r>
    </w:p>
    <w:p>
      <w:pPr>
        <w:pStyle w:val="Heading2"/>
        <w:spacing w:after="80" w:before="200"/>
      </w:pPr>
      <w:r>
        <w:rPr>
          <w:rFonts w:ascii="Arial" w:cs="Arial" w:eastAsia="Arial" w:hAnsi="Arial"/>
          <w:b/>
          <w:bCs/>
          <w:color w:val="2E75B6"/>
          <w:sz w:val="24"/>
          <w:szCs w:val="24"/>
        </w:rPr>
        <w:t xml:space="preserve">Chapter details</w:t>
      </w:r>
    </w:p>
    <w:p>
      <w:pPr>
        <w:shd w:fill="FCEBEB" w:val="clear"/>
        <w:spacing w:after="0" w:before="120"/>
        <w:ind w:left="0"/>
      </w:pPr>
      <w:r>
        <w:rPr>
          <w:rFonts w:ascii="Arial" w:cs="Arial" w:eastAsia="Arial" w:hAnsi="Arial"/>
          <w:b/>
          <w:bCs/>
          <w:color w:val="791F1F"/>
          <w:sz w:val="20"/>
          <w:szCs w:val="20"/>
        </w:rPr>
        <w:t xml:space="preserve">  2.1  </w:t>
      </w:r>
      <w:r>
        <w:rPr>
          <w:rFonts w:ascii="Arial" w:cs="Arial" w:eastAsia="Arial" w:hAnsi="Arial"/>
          <w:b/>
          <w:bCs/>
          <w:color w:val="791F1F"/>
          <w:sz w:val="20"/>
          <w:szCs w:val="20"/>
        </w:rPr>
        <w:t xml:space="preserve">HMAC-SHA256 signing — how and why every event is signed</w:t>
      </w:r>
    </w:p>
    <w:p>
      <w:pPr>
        <w:pStyle w:val="ListParagraph"/>
        <w:numPr>
          <w:ilvl w:val="0"/>
          <w:numId w:val="2"/>
        </w:numPr>
        <w:spacing w:after="30" w:before="30"/>
      </w:pPr>
      <w:r>
        <w:rPr>
          <w:rFonts w:ascii="Arial" w:cs="Arial" w:eastAsia="Arial" w:hAnsi="Arial"/>
          <w:color w:val="000000"/>
          <w:sz w:val="19"/>
          <w:szCs w:val="19"/>
        </w:rPr>
        <w:t xml:space="preserve">Why HMAC over digital signatures for audit chains — performance and key management</w:t>
      </w:r>
    </w:p>
    <w:p>
      <w:pPr>
        <w:pStyle w:val="ListParagraph"/>
        <w:numPr>
          <w:ilvl w:val="0"/>
          <w:numId w:val="2"/>
        </w:numPr>
        <w:spacing w:after="30" w:before="30"/>
      </w:pPr>
      <w:r>
        <w:rPr>
          <w:rFonts w:ascii="Arial" w:cs="Arial" w:eastAsia="Arial" w:hAnsi="Arial"/>
          <w:color w:val="000000"/>
          <w:sz w:val="19"/>
          <w:szCs w:val="19"/>
        </w:rPr>
        <w:t xml:space="preserve">The deterministic to_json() with sort_keys=True that makes HMAC stable</w:t>
      </w:r>
    </w:p>
    <w:p>
      <w:pPr>
        <w:pStyle w:val="ListParagraph"/>
        <w:numPr>
          <w:ilvl w:val="0"/>
          <w:numId w:val="2"/>
        </w:numPr>
        <w:spacing w:after="30" w:before="30"/>
      </w:pPr>
      <w:r>
        <w:rPr>
          <w:rFonts w:ascii="Arial" w:cs="Arial" w:eastAsia="Arial" w:hAnsi="Arial"/>
          <w:color w:val="000000"/>
          <w:sz w:val="19"/>
          <w:szCs w:val="19"/>
        </w:rPr>
        <w:t xml:space="preserve">hmac.compare_digest() — timing-safe comparison and why string equality is not</w:t>
      </w:r>
    </w:p>
    <w:p>
      <w:pPr>
        <w:spacing w:after="60" w:before="60"/>
      </w:pPr>
      <w:r>
        <w:t xml:space="preserve"/>
      </w:r>
    </w:p>
    <w:p>
      <w:pPr>
        <w:shd w:fill="FCEBEB" w:val="clear"/>
        <w:spacing w:after="0" w:before="120"/>
        <w:ind w:left="0"/>
      </w:pPr>
      <w:r>
        <w:rPr>
          <w:rFonts w:ascii="Arial" w:cs="Arial" w:eastAsia="Arial" w:hAnsi="Arial"/>
          <w:b/>
          <w:bCs/>
          <w:color w:val="791F1F"/>
          <w:sz w:val="20"/>
          <w:szCs w:val="20"/>
        </w:rPr>
        <w:t xml:space="preserve">  2.2  </w:t>
      </w:r>
      <w:r>
        <w:rPr>
          <w:rFonts w:ascii="Arial" w:cs="Arial" w:eastAsia="Arial" w:hAnsi="Arial"/>
          <w:b/>
          <w:bCs/>
          <w:color w:val="791F1F"/>
          <w:sz w:val="20"/>
          <w:szCs w:val="20"/>
        </w:rPr>
        <w:t xml:space="preserve">Tamper-evident audit chains — chain linkage, prev_id, and tombstones</w:t>
      </w:r>
    </w:p>
    <w:p>
      <w:pPr>
        <w:pStyle w:val="ListParagraph"/>
        <w:numPr>
          <w:ilvl w:val="0"/>
          <w:numId w:val="2"/>
        </w:numPr>
        <w:spacing w:after="30" w:before="30"/>
      </w:pPr>
      <w:r>
        <w:rPr>
          <w:rFonts w:ascii="Arial" w:cs="Arial" w:eastAsia="Arial" w:hAnsi="Arial"/>
          <w:color w:val="000000"/>
          <w:sz w:val="19"/>
          <w:szCs w:val="19"/>
        </w:rPr>
        <w:t xml:space="preserve">How prev_id links events into a verifiable chain</w:t>
      </w:r>
    </w:p>
    <w:p>
      <w:pPr>
        <w:pStyle w:val="ListParagraph"/>
        <w:numPr>
          <w:ilvl w:val="0"/>
          <w:numId w:val="2"/>
        </w:numPr>
        <w:spacing w:after="30" w:before="30"/>
      </w:pPr>
      <w:r>
        <w:rPr>
          <w:rFonts w:ascii="Arial" w:cs="Arial" w:eastAsia="Arial" w:hAnsi="Arial"/>
          <w:color w:val="000000"/>
          <w:sz w:val="19"/>
          <w:szCs w:val="19"/>
        </w:rPr>
        <w:t xml:space="preserve">verify_chain() — O(n) verification and what a broken chain tells you</w:t>
      </w:r>
    </w:p>
    <w:p>
      <w:pPr>
        <w:pStyle w:val="ListParagraph"/>
        <w:numPr>
          <w:ilvl w:val="0"/>
          <w:numId w:val="2"/>
        </w:numPr>
        <w:spacing w:after="30" w:before="30"/>
      </w:pPr>
      <w:r>
        <w:rPr>
          <w:rFonts w:ascii="Arial" w:cs="Arial" w:eastAsia="Arial" w:hAnsi="Arial"/>
          <w:color w:val="000000"/>
          <w:sz w:val="19"/>
          <w:szCs w:val="19"/>
        </w:rPr>
        <w:t xml:space="preserve">Tombstone events for GDPR erasure — erasing content without breaking the chain</w:t>
      </w:r>
    </w:p>
    <w:p>
      <w:pPr>
        <w:spacing w:after="60" w:before="60"/>
      </w:pPr>
      <w:r>
        <w:t xml:space="preserve"/>
      </w:r>
    </w:p>
    <w:p>
      <w:pPr>
        <w:shd w:fill="FCEBEB" w:val="clear"/>
        <w:spacing w:after="0" w:before="120"/>
        <w:ind w:left="0"/>
      </w:pPr>
      <w:r>
        <w:rPr>
          <w:rFonts w:ascii="Arial" w:cs="Arial" w:eastAsia="Arial" w:hAnsi="Arial"/>
          <w:b/>
          <w:bCs/>
          <w:color w:val="791F1F"/>
          <w:sz w:val="20"/>
          <w:szCs w:val="20"/>
        </w:rPr>
        <w:t xml:space="preserve">  2.3  </w:t>
      </w:r>
      <w:r>
        <w:rPr>
          <w:rFonts w:ascii="Arial" w:cs="Arial" w:eastAsia="Arial" w:hAnsi="Arial"/>
          <w:b/>
          <w:bCs/>
          <w:color w:val="791F1F"/>
          <w:sz w:val="20"/>
          <w:szCs w:val="20"/>
        </w:rPr>
        <w:t xml:space="preserve">Key rotation — rolling keys without breaking the chain</w:t>
      </w:r>
    </w:p>
    <w:p>
      <w:pPr>
        <w:pStyle w:val="ListParagraph"/>
        <w:numPr>
          <w:ilvl w:val="0"/>
          <w:numId w:val="2"/>
        </w:numPr>
        <w:spacing w:after="30" w:before="30"/>
      </w:pPr>
      <w:r>
        <w:rPr>
          <w:rFonts w:ascii="Arial" w:cs="Arial" w:eastAsia="Arial" w:hAnsi="Arial"/>
          <w:color w:val="000000"/>
          <w:sz w:val="19"/>
          <w:szCs w:val="19"/>
        </w:rPr>
        <w:t xml:space="preserve">The key_map and rotation boundary verification pattern</w:t>
      </w:r>
    </w:p>
    <w:p>
      <w:pPr>
        <w:pStyle w:val="ListParagraph"/>
        <w:numPr>
          <w:ilvl w:val="0"/>
          <w:numId w:val="2"/>
        </w:numPr>
        <w:spacing w:after="30" w:before="30"/>
      </w:pPr>
      <w:r>
        <w:rPr>
          <w:rFonts w:ascii="Arial" w:cs="Arial" w:eastAsia="Arial" w:hAnsi="Arial"/>
          <w:color w:val="000000"/>
          <w:sz w:val="19"/>
          <w:szCs w:val="19"/>
        </w:rPr>
        <w:t xml:space="preserve">5-minute overlap window during rotation — why this is necessary</w:t>
      </w:r>
    </w:p>
    <w:p>
      <w:pPr>
        <w:pStyle w:val="ListParagraph"/>
        <w:numPr>
          <w:ilvl w:val="0"/>
          <w:numId w:val="2"/>
        </w:numPr>
        <w:spacing w:after="30" w:before="30"/>
      </w:pPr>
      <w:r>
        <w:rPr>
          <w:rFonts w:ascii="Arial" w:cs="Arial" w:eastAsia="Arial" w:hAnsi="Arial"/>
          <w:color w:val="000000"/>
          <w:sz w:val="19"/>
          <w:szCs w:val="19"/>
        </w:rPr>
        <w:t xml:space="preserve">Emitting CHAIN_ROTATED audit events at rotation boundaries</w:t>
      </w:r>
    </w:p>
    <w:p>
      <w:pPr>
        <w:spacing w:after="60" w:before="60"/>
      </w:pPr>
      <w:r>
        <w:t xml:space="preserve"/>
      </w:r>
    </w:p>
    <w:p>
      <w:pPr>
        <w:shd w:fill="FCEBEB" w:val="clear"/>
        <w:spacing w:after="0" w:before="120"/>
        <w:ind w:left="0"/>
      </w:pPr>
      <w:r>
        <w:rPr>
          <w:rFonts w:ascii="Arial" w:cs="Arial" w:eastAsia="Arial" w:hAnsi="Arial"/>
          <w:b/>
          <w:bCs/>
          <w:color w:val="791F1F"/>
          <w:sz w:val="20"/>
          <w:szCs w:val="20"/>
        </w:rPr>
        <w:t xml:space="preserve">  2.4  </w:t>
      </w:r>
      <w:r>
        <w:rPr>
          <w:rFonts w:ascii="Arial" w:cs="Arial" w:eastAsia="Arial" w:hAnsi="Arial"/>
          <w:b/>
          <w:bCs/>
          <w:color w:val="791F1F"/>
          <w:sz w:val="20"/>
          <w:szCs w:val="20"/>
        </w:rPr>
        <w:t xml:space="preserve">GDPR tombstone erasure — right to erasure in an immutable log</w:t>
      </w:r>
    </w:p>
    <w:p>
      <w:pPr>
        <w:pStyle w:val="ListParagraph"/>
        <w:numPr>
          <w:ilvl w:val="0"/>
          <w:numId w:val="2"/>
        </w:numPr>
        <w:spacing w:after="30" w:before="30"/>
      </w:pPr>
      <w:r>
        <w:rPr>
          <w:rFonts w:ascii="Arial" w:cs="Arial" w:eastAsia="Arial" w:hAnsi="Arial"/>
          <w:color w:val="000000"/>
          <w:sz w:val="19"/>
          <w:szCs w:val="19"/>
        </w:rPr>
        <w:t xml:space="preserve">Why you cannot simply delete from an HMAC chain</w:t>
      </w:r>
    </w:p>
    <w:p>
      <w:pPr>
        <w:pStyle w:val="ListParagraph"/>
        <w:numPr>
          <w:ilvl w:val="0"/>
          <w:numId w:val="2"/>
        </w:numPr>
        <w:spacing w:after="30" w:before="30"/>
      </w:pPr>
      <w:r>
        <w:rPr>
          <w:rFonts w:ascii="Arial" w:cs="Arial" w:eastAsia="Arial" w:hAnsi="Arial"/>
          <w:color w:val="000000"/>
          <w:sz w:val="19"/>
          <w:szCs w:val="19"/>
        </w:rPr>
        <w:t xml:space="preserve">The tombstone pattern — what it stores, what it erases, what it proves</w:t>
      </w:r>
    </w:p>
    <w:p>
      <w:pPr>
        <w:pStyle w:val="ListParagraph"/>
        <w:numPr>
          <w:ilvl w:val="0"/>
          <w:numId w:val="2"/>
        </w:numPr>
        <w:spacing w:after="30" w:before="30"/>
      </w:pPr>
      <w:r>
        <w:rPr>
          <w:rFonts w:ascii="Arial" w:cs="Arial" w:eastAsia="Arial" w:hAnsi="Arial"/>
          <w:color w:val="000000"/>
          <w:sz w:val="19"/>
          <w:szCs w:val="19"/>
        </w:rPr>
        <w:t xml:space="preserve">How erasure receipts satisfy GDPR Article 17 requirements</w:t>
      </w:r>
    </w:p>
    <w:p>
      <w:pPr>
        <w:spacing w:after="60" w:before="60"/>
      </w:pPr>
      <w:r>
        <w:t xml:space="preserve"/>
      </w:r>
    </w:p>
    <w:p>
      <w:pPr>
        <w:shd w:fill="FCEBEB" w:val="clear"/>
        <w:spacing w:after="0" w:before="120"/>
        <w:ind w:left="0"/>
      </w:pPr>
      <w:r>
        <w:rPr>
          <w:rFonts w:ascii="Arial" w:cs="Arial" w:eastAsia="Arial" w:hAnsi="Arial"/>
          <w:b/>
          <w:bCs/>
          <w:color w:val="791F1F"/>
          <w:sz w:val="20"/>
          <w:szCs w:val="20"/>
        </w:rPr>
        <w:t xml:space="preserve">  2.5  </w:t>
      </w:r>
      <w:r>
        <w:rPr>
          <w:rFonts w:ascii="Arial" w:cs="Arial" w:eastAsia="Arial" w:hAnsi="Arial"/>
          <w:b/>
          <w:bCs/>
          <w:color w:val="791F1F"/>
          <w:sz w:val="20"/>
          <w:szCs w:val="20"/>
        </w:rPr>
        <w:t xml:space="preserve">API key lifecycle — format, scoping, rotation, and revocation</w:t>
      </w:r>
    </w:p>
    <w:p>
      <w:pPr>
        <w:pStyle w:val="ListParagraph"/>
        <w:numPr>
          <w:ilvl w:val="0"/>
          <w:numId w:val="2"/>
        </w:numPr>
        <w:spacing w:after="30" w:before="30"/>
      </w:pPr>
      <w:r>
        <w:rPr>
          <w:rFonts w:ascii="Arial" w:cs="Arial" w:eastAsia="Arial" w:hAnsi="Arial"/>
          <w:color w:val="000000"/>
          <w:sz w:val="19"/>
          <w:szCs w:val="19"/>
        </w:rPr>
        <w:t xml:space="preserve">sf_live_&lt;48-char-base62&gt; format — why format validation at parse time matters</w:t>
      </w:r>
    </w:p>
    <w:p>
      <w:pPr>
        <w:pStyle w:val="ListParagraph"/>
        <w:numPr>
          <w:ilvl w:val="0"/>
          <w:numId w:val="2"/>
        </w:numPr>
        <w:spacing w:after="30" w:before="30"/>
      </w:pPr>
      <w:r>
        <w:rPr>
          <w:rFonts w:ascii="Arial" w:cs="Arial" w:eastAsia="Arial" w:hAnsi="Arial"/>
          <w:color w:val="000000"/>
          <w:sz w:val="19"/>
          <w:szCs w:val="19"/>
        </w:rPr>
        <w:t xml:space="preserve">Scoping: pillar_whitelist, project_scope, ip_allowlist, expires_at</w:t>
      </w:r>
    </w:p>
    <w:p>
      <w:pPr>
        <w:pStyle w:val="ListParagraph"/>
        <w:numPr>
          <w:ilvl w:val="0"/>
          <w:numId w:val="2"/>
        </w:numPr>
        <w:spacing w:after="30" w:before="30"/>
      </w:pPr>
      <w:r>
        <w:rPr>
          <w:rFonts w:ascii="Arial" w:cs="Arial" w:eastAsia="Arial" w:hAnsi="Arial"/>
          <w:color w:val="000000"/>
          <w:sz w:val="19"/>
          <w:szCs w:val="19"/>
        </w:rPr>
        <w:t xml:space="preserve">5-minute overlap window during rotation — safe key handover</w:t>
      </w:r>
    </w:p>
    <w:p>
      <w:pPr>
        <w:spacing w:after="60" w:before="60"/>
      </w:pPr>
      <w:r>
        <w:t xml:space="preserve"/>
      </w:r>
    </w:p>
    <w:p>
      <w:pPr>
        <w:shd w:fill="FCEBEB" w:val="clear"/>
        <w:spacing w:after="0" w:before="120"/>
        <w:ind w:left="0"/>
      </w:pPr>
      <w:r>
        <w:rPr>
          <w:rFonts w:ascii="Arial" w:cs="Arial" w:eastAsia="Arial" w:hAnsi="Arial"/>
          <w:b/>
          <w:bCs/>
          <w:color w:val="791F1F"/>
          <w:sz w:val="20"/>
          <w:szCs w:val="20"/>
        </w:rPr>
        <w:t xml:space="preserve">  2.6  </w:t>
      </w:r>
      <w:r>
        <w:rPr>
          <w:rFonts w:ascii="Arial" w:cs="Arial" w:eastAsia="Arial" w:hAnsi="Arial"/>
          <w:b/>
          <w:bCs/>
          <w:color w:val="791F1F"/>
          <w:sz w:val="20"/>
          <w:szCs w:val="20"/>
        </w:rPr>
        <w:t xml:space="preserve">JWT authentication — HS256 vs RS256, JWKS, and token introspection</w:t>
      </w:r>
    </w:p>
    <w:p>
      <w:pPr>
        <w:pStyle w:val="ListParagraph"/>
        <w:numPr>
          <w:ilvl w:val="0"/>
          <w:numId w:val="2"/>
        </w:numPr>
        <w:spacing w:after="30" w:before="30"/>
      </w:pPr>
      <w:r>
        <w:rPr>
          <w:rFonts w:ascii="Arial" w:cs="Arial" w:eastAsia="Arial" w:hAnsi="Arial"/>
          <w:color w:val="000000"/>
          <w:sz w:val="19"/>
          <w:szCs w:val="19"/>
        </w:rPr>
        <w:t xml:space="preserve">Why HS256 is fine for local mode and RS256 is required for production</w:t>
      </w:r>
    </w:p>
    <w:p>
      <w:pPr>
        <w:pStyle w:val="ListParagraph"/>
        <w:numPr>
          <w:ilvl w:val="0"/>
          <w:numId w:val="2"/>
        </w:numPr>
        <w:spacing w:after="30" w:before="30"/>
      </w:pPr>
      <w:r>
        <w:rPr>
          <w:rFonts w:ascii="Arial" w:cs="Arial" w:eastAsia="Arial" w:hAnsi="Arial"/>
          <w:color w:val="000000"/>
          <w:sz w:val="19"/>
          <w:szCs w:val="19"/>
        </w:rPr>
        <w:t xml:space="preserve">JWKS endpoint caching with 1-hour TTL — balancing freshness and performance</w:t>
      </w:r>
    </w:p>
    <w:p>
      <w:pPr>
        <w:pStyle w:val="ListParagraph"/>
        <w:numPr>
          <w:ilvl w:val="0"/>
          <w:numId w:val="2"/>
        </w:numPr>
        <w:spacing w:after="30" w:before="30"/>
      </w:pPr>
      <w:r>
        <w:rPr>
          <w:rFonts w:ascii="Arial" w:cs="Arial" w:eastAsia="Arial" w:hAnsi="Arial"/>
          <w:color w:val="000000"/>
          <w:sz w:val="19"/>
          <w:szCs w:val="19"/>
        </w:rPr>
        <w:t xml:space="preserve">jti claim and revocation lists — invalidating tokens before expiry</w:t>
      </w:r>
    </w:p>
    <w:p>
      <w:pPr>
        <w:spacing w:after="60" w:before="60"/>
      </w:pPr>
      <w:r>
        <w:t xml:space="preserve"/>
      </w:r>
    </w:p>
    <w:p>
      <w:pPr>
        <w:shd w:fill="FCEBEB" w:val="clear"/>
        <w:spacing w:after="0" w:before="120"/>
        <w:ind w:left="0"/>
      </w:pPr>
      <w:r>
        <w:rPr>
          <w:rFonts w:ascii="Arial" w:cs="Arial" w:eastAsia="Arial" w:hAnsi="Arial"/>
          <w:b/>
          <w:bCs/>
          <w:color w:val="791F1F"/>
          <w:sz w:val="20"/>
          <w:szCs w:val="20"/>
        </w:rPr>
        <w:t xml:space="preserve">  2.7  </w:t>
      </w:r>
      <w:r>
        <w:rPr>
          <w:rFonts w:ascii="Arial" w:cs="Arial" w:eastAsia="Arial" w:hAnsi="Arial"/>
          <w:b/>
          <w:bCs/>
          <w:color w:val="791F1F"/>
          <w:sz w:val="20"/>
          <w:szCs w:val="20"/>
        </w:rPr>
        <w:t xml:space="preserve">TOTP / MFA — RFC 6238, backup codes, and brute-force lockout</w:t>
      </w:r>
    </w:p>
    <w:p>
      <w:pPr>
        <w:pStyle w:val="ListParagraph"/>
        <w:numPr>
          <w:ilvl w:val="0"/>
          <w:numId w:val="2"/>
        </w:numPr>
        <w:spacing w:after="30" w:before="30"/>
      </w:pPr>
      <w:r>
        <w:rPr>
          <w:rFonts w:ascii="Arial" w:cs="Arial" w:eastAsia="Arial" w:hAnsi="Arial"/>
          <w:color w:val="000000"/>
          <w:sz w:val="19"/>
          <w:szCs w:val="19"/>
        </w:rPr>
        <w:t xml:space="preserve">RFC 6238 TOTP: SHA-1, 6 digits, 30s period, ±1 time-step drift tolerance</w:t>
      </w:r>
    </w:p>
    <w:p>
      <w:pPr>
        <w:pStyle w:val="ListParagraph"/>
        <w:numPr>
          <w:ilvl w:val="0"/>
          <w:numId w:val="2"/>
        </w:numPr>
        <w:spacing w:after="30" w:before="30"/>
      </w:pPr>
      <w:r>
        <w:rPr>
          <w:rFonts w:ascii="Arial" w:cs="Arial" w:eastAsia="Arial" w:hAnsi="Arial"/>
          <w:color w:val="000000"/>
          <w:sz w:val="19"/>
          <w:szCs w:val="19"/>
        </w:rPr>
        <w:t xml:space="preserve">Backup codes as SHA-256 hashes only — plaintext never retained after enrolment</w:t>
      </w:r>
    </w:p>
    <w:p>
      <w:pPr>
        <w:pStyle w:val="ListParagraph"/>
        <w:numPr>
          <w:ilvl w:val="0"/>
          <w:numId w:val="2"/>
        </w:numPr>
        <w:spacing w:after="30" w:before="30"/>
      </w:pPr>
      <w:r>
        <w:rPr>
          <w:rFonts w:ascii="Arial" w:cs="Arial" w:eastAsia="Arial" w:hAnsi="Arial"/>
          <w:color w:val="000000"/>
          <w:sz w:val="19"/>
          <w:szCs w:val="19"/>
        </w:rPr>
        <w:t xml:space="preserve">5 wrong OTPs → 30-minute lockout — implementing brute-force protection correctly</w:t>
      </w:r>
    </w:p>
    <w:p>
      <w:pPr>
        <w:spacing w:after="60" w:before="60"/>
      </w:pPr>
      <w:r>
        <w:t xml:space="preserve"/>
      </w:r>
    </w:p>
    <w:p>
      <w:pPr>
        <w:shd w:fill="FCEBEB" w:val="clear"/>
        <w:spacing w:after="0" w:before="120"/>
        <w:ind w:left="0"/>
      </w:pPr>
      <w:r>
        <w:rPr>
          <w:rFonts w:ascii="Arial" w:cs="Arial" w:eastAsia="Arial" w:hAnsi="Arial"/>
          <w:b/>
          <w:bCs/>
          <w:color w:val="791F1F"/>
          <w:sz w:val="20"/>
          <w:szCs w:val="20"/>
        </w:rPr>
        <w:t xml:space="preserve">  2.8  </w:t>
      </w:r>
      <w:r>
        <w:rPr>
          <w:rFonts w:ascii="Arial" w:cs="Arial" w:eastAsia="Arial" w:hAnsi="Arial"/>
          <w:b/>
          <w:bCs/>
          <w:color w:val="791F1F"/>
          <w:sz w:val="20"/>
          <w:szCs w:val="20"/>
        </w:rPr>
        <w:t xml:space="preserve">Secrets scanning — 20 patterns, Shannon entropy, SARIF output</w:t>
      </w:r>
    </w:p>
    <w:p>
      <w:pPr>
        <w:pStyle w:val="ListParagraph"/>
        <w:numPr>
          <w:ilvl w:val="0"/>
          <w:numId w:val="2"/>
        </w:numPr>
        <w:spacing w:after="30" w:before="30"/>
      </w:pPr>
      <w:r>
        <w:rPr>
          <w:rFonts w:ascii="Arial" w:cs="Arial" w:eastAsia="Arial" w:hAnsi="Arial"/>
          <w:color w:val="000000"/>
          <w:sz w:val="19"/>
          <w:szCs w:val="19"/>
        </w:rPr>
        <w:t xml:space="preserve">Why pattern order matters — specific before generic prevents false suppression</w:t>
      </w:r>
    </w:p>
    <w:p>
      <w:pPr>
        <w:pStyle w:val="ListParagraph"/>
        <w:numPr>
          <w:ilvl w:val="0"/>
          <w:numId w:val="2"/>
        </w:numPr>
        <w:spacing w:after="30" w:before="30"/>
      </w:pPr>
      <w:r>
        <w:rPr>
          <w:rFonts w:ascii="Arial" w:cs="Arial" w:eastAsia="Arial" w:hAnsi="Arial"/>
          <w:color w:val="000000"/>
          <w:sz w:val="19"/>
          <w:szCs w:val="19"/>
        </w:rPr>
        <w:t xml:space="preserve">Shannon entropy scoring — bits/char, the 3.5 threshold, and context keyword windows</w:t>
      </w:r>
    </w:p>
    <w:p>
      <w:pPr>
        <w:pStyle w:val="ListParagraph"/>
        <w:numPr>
          <w:ilvl w:val="0"/>
          <w:numId w:val="2"/>
        </w:numPr>
        <w:spacing w:after="30" w:before="30"/>
      </w:pPr>
      <w:r>
        <w:rPr>
          <w:rFonts w:ascii="Arial" w:cs="Arial" w:eastAsia="Arial" w:hAnsi="Arial"/>
          <w:color w:val="000000"/>
          <w:sz w:val="19"/>
          <w:szCs w:val="19"/>
        </w:rPr>
        <w:t xml:space="preserve">SARIF 2.1.0 output format and GitHub Code Scanning integration</w:t>
      </w:r>
    </w:p>
    <w:p>
      <w:pPr>
        <w:spacing w:after="60" w:before="60"/>
      </w:pPr>
      <w:r>
        <w:t xml:space="preserve"/>
      </w:r>
    </w:p>
    <w:p>
      <w:pPr>
        <w:shd w:fill="FCEBEB" w:val="clear"/>
        <w:spacing w:after="0" w:before="120"/>
        <w:ind w:left="0"/>
      </w:pPr>
      <w:r>
        <w:rPr>
          <w:rFonts w:ascii="Arial" w:cs="Arial" w:eastAsia="Arial" w:hAnsi="Arial"/>
          <w:b/>
          <w:bCs/>
          <w:color w:val="791F1F"/>
          <w:sz w:val="20"/>
          <w:szCs w:val="20"/>
        </w:rPr>
        <w:t xml:space="preserve">  2.9  </w:t>
      </w:r>
      <w:r>
        <w:rPr>
          <w:rFonts w:ascii="Arial" w:cs="Arial" w:eastAsia="Arial" w:hAnsi="Arial"/>
          <w:b/>
          <w:bCs/>
          <w:color w:val="791F1F"/>
          <w:sz w:val="20"/>
          <w:szCs w:val="20"/>
        </w:rPr>
        <w:t xml:space="preserve">Timing-safe comparisons and SecretStr — writing code that doesn't leak</w:t>
      </w:r>
    </w:p>
    <w:p>
      <w:pPr>
        <w:pStyle w:val="ListParagraph"/>
        <w:numPr>
          <w:ilvl w:val="0"/>
          <w:numId w:val="2"/>
        </w:numPr>
        <w:spacing w:after="30" w:before="30"/>
      </w:pPr>
      <w:r>
        <w:rPr>
          <w:rFonts w:ascii="Arial" w:cs="Arial" w:eastAsia="Arial" w:hAnsi="Arial"/>
          <w:color w:val="000000"/>
          <w:sz w:val="19"/>
          <w:szCs w:val="19"/>
        </w:rPr>
        <w:t xml:space="preserve">Timing attacks on string comparison and why == is dangerous for secrets</w:t>
      </w:r>
    </w:p>
    <w:p>
      <w:pPr>
        <w:pStyle w:val="ListParagraph"/>
        <w:numPr>
          <w:ilvl w:val="0"/>
          <w:numId w:val="2"/>
        </w:numPr>
        <w:spacing w:after="30" w:before="30"/>
      </w:pPr>
      <w:r>
        <w:rPr>
          <w:rFonts w:ascii="Arial" w:cs="Arial" w:eastAsia="Arial" w:hAnsi="Arial"/>
          <w:color w:val="000000"/>
          <w:sz w:val="19"/>
          <w:szCs w:val="19"/>
        </w:rPr>
        <w:t xml:space="preserve">SecretStr wrapper — __repr__ = '&lt;SecretStr:***&gt;' and exception sanitisation</w:t>
      </w:r>
    </w:p>
    <w:p>
      <w:pPr>
        <w:pStyle w:val="ListParagraph"/>
        <w:numPr>
          <w:ilvl w:val="0"/>
          <w:numId w:val="2"/>
        </w:numPr>
        <w:spacing w:after="30" w:before="30"/>
      </w:pPr>
      <w:r>
        <w:rPr>
          <w:rFonts w:ascii="Arial" w:cs="Arial" w:eastAsia="Arial" w:hAnsi="Arial"/>
          <w:color w:val="000000"/>
          <w:sz w:val="19"/>
          <w:szCs w:val="19"/>
        </w:rPr>
        <w:t xml:space="preserve">The rule: secrets never in logs, __repr__, or exception messages</w:t>
      </w:r>
    </w:p>
    <w:p>
      <w:pPr>
        <w:spacing w:after="60" w:before="60"/>
      </w:pPr>
      <w:r>
        <w:t xml:space="preserve"/>
      </w:r>
    </w:p>
    <w:p>
      <w:pPr>
        <w:shd w:fill="FCEBEB" w:val="clear"/>
        <w:spacing w:after="0" w:before="120"/>
        <w:ind w:left="0"/>
      </w:pPr>
      <w:r>
        <w:rPr>
          <w:rFonts w:ascii="Arial" w:cs="Arial" w:eastAsia="Arial" w:hAnsi="Arial"/>
          <w:b/>
          <w:bCs/>
          <w:color w:val="791F1F"/>
          <w:sz w:val="20"/>
          <w:szCs w:val="20"/>
        </w:rPr>
        <w:t xml:space="preserve">  2.10  </w:t>
      </w:r>
      <w:r>
        <w:rPr>
          <w:rFonts w:ascii="Arial" w:cs="Arial" w:eastAsia="Arial" w:hAnsi="Arial"/>
          <w:b/>
          <w:bCs/>
          <w:color w:val="791F1F"/>
          <w:sz w:val="20"/>
          <w:szCs w:val="20"/>
        </w:rPr>
        <w:t xml:space="preserve">SSRF protection — why IP allowlists alone are not enough</w:t>
      </w:r>
    </w:p>
    <w:p>
      <w:pPr>
        <w:pStyle w:val="ListParagraph"/>
        <w:numPr>
          <w:ilvl w:val="0"/>
          <w:numId w:val="2"/>
        </w:numPr>
        <w:spacing w:after="30" w:before="30"/>
      </w:pPr>
      <w:r>
        <w:rPr>
          <w:rFonts w:ascii="Arial" w:cs="Arial" w:eastAsia="Arial" w:hAnsi="Arial"/>
          <w:color w:val="000000"/>
          <w:sz w:val="19"/>
          <w:szCs w:val="19"/>
        </w:rPr>
        <w:t xml:space="preserve">Server-Side Request Forgery in export pipelines — how it happens</w:t>
      </w:r>
    </w:p>
    <w:p>
      <w:pPr>
        <w:pStyle w:val="ListParagraph"/>
        <w:numPr>
          <w:ilvl w:val="0"/>
          <w:numId w:val="2"/>
        </w:numPr>
        <w:spacing w:after="30" w:before="30"/>
      </w:pPr>
      <w:r>
        <w:rPr>
          <w:rFonts w:ascii="Arial" w:cs="Arial" w:eastAsia="Arial" w:hAnsi="Arial"/>
          <w:color w:val="000000"/>
          <w:sz w:val="19"/>
          <w:szCs w:val="19"/>
        </w:rPr>
        <w:t xml:space="preserve">Why the SSRF check in SpanForge explicitly notes that DNS hostnames are not covered</w:t>
      </w:r>
    </w:p>
    <w:p>
      <w:pPr>
        <w:pStyle w:val="ListParagraph"/>
        <w:numPr>
          <w:ilvl w:val="0"/>
          <w:numId w:val="2"/>
        </w:numPr>
        <w:spacing w:after="30" w:before="30"/>
      </w:pPr>
      <w:r>
        <w:rPr>
          <w:rFonts w:ascii="Arial" w:cs="Arial" w:eastAsia="Arial" w:hAnsi="Arial"/>
          <w:color w:val="000000"/>
          <w:sz w:val="19"/>
          <w:szCs w:val="19"/>
        </w:rPr>
        <w:t xml:space="preserve">Defence-in-depth: IP literal checks, URL allowlists, and egress enforcement</w:t>
      </w:r>
    </w:p>
    <w:p>
      <w:pPr>
        <w:spacing w:after="60" w:before="60"/>
      </w:pPr>
      <w:r>
        <w:t xml:space="preserve"/>
      </w:r>
    </w:p>
    <w:p>
      <w:pPr>
        <w:pBdr>
          <w:bottom w:val="single" w:color="2E75B6" w:sz="4"/>
        </w:pBdr>
        <w:spacing w:after="140" w:before="140"/>
      </w:pPr>
      <w:r>
        <w:t xml:space="preserve"/>
      </w:r>
    </w:p>
    <w:p>
      <w:r>
        <w:br w:type="pag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5800"/>
        <w:gridCol w:w="1200"/>
        <w:gridCol w:w="1200"/>
      </w:tblGrid>
      <w:tr>
        <w:tc>
          <w:tcPr>
            <w:tcW w:type="dxa" w:w="1200"/>
            <w:tcBorders>
              <w:top w:val="single" w:color="27500A" w:sz="6"/>
              <w:left w:val="single" w:color="27500A" w:sz="6"/>
              <w:bottom w:val="single" w:color="27500A" w:sz="6"/>
              <w:right w:val="single" w:color="CCCCCC" w:sz="1"/>
            </w:tcBorders>
            <w:shd w:fill="EAF3DE" w:val="clear"/>
            <w:tcMar>
              <w:top w:type="dxa" w:w="120"/>
              <w:left w:type="dxa" w:w="140"/>
              <w:bottom w:type="dxa" w:w="120"/>
              <w:right w:type="dxa" w:w="140"/>
            </w:tcMar>
            <w:vAlign w:val="center"/>
          </w:tcPr>
          <w:p>
            <w:pPr>
              <w:jc w:val="center"/>
            </w:pPr>
            <w:r>
              <w:rPr>
                <w:rFonts w:ascii="Arial" w:cs="Arial" w:eastAsia="Arial" w:hAnsi="Arial"/>
                <w:b/>
                <w:bCs/>
                <w:color w:val="27500A"/>
                <w:sz w:val="20"/>
                <w:szCs w:val="20"/>
              </w:rPr>
              <w:t xml:space="preserve">Part 3</w:t>
            </w:r>
          </w:p>
          <w:p>
            <w:pPr>
              <w:spacing w:before="20"/>
              <w:jc w:val="center"/>
            </w:pPr>
            <w:r>
              <w:rPr>
                <w:rFonts w:ascii="Arial" w:cs="Arial" w:eastAsia="Arial" w:hAnsi="Arial"/>
                <w:color w:val="27500A"/>
                <w:sz w:val="15"/>
                <w:szCs w:val="15"/>
              </w:rPr>
              <w:t xml:space="preserve">compliance</w:t>
            </w:r>
          </w:p>
        </w:tc>
        <w:tc>
          <w:tcPr>
            <w:tcW w:type="dxa" w:w="5800"/>
            <w:tcBorders>
              <w:top w:val="single" w:color="27500A" w:sz="6"/>
              <w:left w:val="single" w:color="CCCCCC" w:sz="1"/>
              <w:bottom w:val="single" w:color="27500A" w:sz="6"/>
              <w:right w:val="single" w:color="CCCCCC" w:sz="1"/>
            </w:tcBorders>
            <w:shd w:fill="FFFFFF" w:val="clear"/>
            <w:tcMar>
              <w:top w:type="dxa" w:w="120"/>
              <w:left w:type="dxa" w:w="180"/>
              <w:bottom w:type="dxa" w:w="120"/>
              <w:right w:type="dxa" w:w="140"/>
            </w:tcMar>
          </w:tcPr>
          <w:p>
            <w:r>
              <w:rPr>
                <w:rFonts w:ascii="Arial" w:cs="Arial" w:eastAsia="Arial" w:hAnsi="Arial"/>
                <w:b/>
                <w:bCs/>
                <w:color w:val="1F4E79"/>
                <w:sz w:val="24"/>
                <w:szCs w:val="24"/>
              </w:rPr>
              <w:t xml:space="preserve">Privacy &amp; PII — compliance-by-design</w:t>
            </w:r>
          </w:p>
        </w:tc>
        <w:tc>
          <w:tcPr>
            <w:tcW w:type="dxa" w:w="1200"/>
            <w:tcBorders>
              <w:top w:val="single" w:color="27500A" w:sz="6"/>
              <w:left w:val="single" w:color="CCCCCC" w:sz="1"/>
              <w:bottom w:val="single" w:color="27500A" w:sz="6"/>
              <w:right w:val="single" w:color="CCCCCC" w:sz="1"/>
            </w:tcBorders>
            <w:shd w:fill="F2F2F2" w:val="clear"/>
            <w:tcMar>
              <w:top w:type="dxa" w:w="120"/>
              <w:left w:type="dxa" w:w="120"/>
              <w:bottom w:type="dxa" w:w="120"/>
              <w:right w:type="dxa" w:w="120"/>
            </w:tcMar>
          </w:tcPr>
          <w:p>
            <w:pPr>
              <w:jc w:val="center"/>
            </w:pPr>
            <w:r>
              <w:rPr>
                <w:rFonts w:ascii="Arial" w:cs="Arial" w:eastAsia="Arial" w:hAnsi="Arial"/>
                <w:b/>
                <w:bCs/>
                <w:color w:val="2E75B6"/>
                <w:sz w:val="26"/>
                <w:szCs w:val="26"/>
              </w:rPr>
              <w:t xml:space="preserve">8</w:t>
            </w:r>
          </w:p>
          <w:p>
            <w:pPr>
              <w:spacing w:before="20"/>
              <w:jc w:val="center"/>
            </w:pPr>
            <w:r>
              <w:rPr>
                <w:rFonts w:ascii="Arial" w:cs="Arial" w:eastAsia="Arial" w:hAnsi="Arial"/>
                <w:color w:val="404040"/>
                <w:sz w:val="15"/>
                <w:szCs w:val="15"/>
              </w:rPr>
              <w:t xml:space="preserve">chapters</w:t>
            </w:r>
          </w:p>
        </w:tc>
        <w:tc>
          <w:tcPr>
            <w:tcW w:type="dxa" w:w="1200"/>
            <w:tcBorders>
              <w:top w:val="single" w:color="27500A" w:sz="6"/>
              <w:left w:val="single" w:color="CCCCCC" w:sz="1"/>
              <w:bottom w:val="single" w:color="27500A" w:sz="6"/>
              <w:right w:val="single" w:color="27500A" w:sz="6"/>
            </w:tcBorders>
            <w:shd w:fill="F2F2F2" w:val="clear"/>
            <w:tcMar>
              <w:top w:type="dxa" w:w="120"/>
              <w:left w:type="dxa" w:w="120"/>
              <w:bottom w:type="dxa" w:w="120"/>
              <w:right w:type="dxa" w:w="120"/>
            </w:tcMar>
          </w:tcPr>
          <w:p>
            <w:pPr>
              <w:jc w:val="center"/>
            </w:pPr>
            <w:r>
              <w:rPr>
                <w:rFonts w:ascii="Arial" w:cs="Arial" w:eastAsia="Arial" w:hAnsi="Arial"/>
                <w:b/>
                <w:bCs/>
                <w:color w:val="404040"/>
                <w:sz w:val="20"/>
                <w:szCs w:val="20"/>
              </w:rPr>
              <w:t xml:space="preserve">~14 hrs</w:t>
            </w:r>
          </w:p>
          <w:p>
            <w:pPr>
              <w:spacing w:before="20"/>
              <w:jc w:val="center"/>
            </w:pPr>
            <w:r>
              <w:rPr>
                <w:rFonts w:ascii="Arial" w:cs="Arial" w:eastAsia="Arial" w:hAnsi="Arial"/>
                <w:color w:val="404040"/>
                <w:sz w:val="15"/>
                <w:szCs w:val="15"/>
              </w:rPr>
              <w:t xml:space="preserve">est. time</w:t>
            </w:r>
          </w:p>
        </w:tc>
      </w:tr>
    </w:tbl>
    <w:p>
      <w:pPr>
        <w:spacing w:after="60" w:before="60"/>
      </w:pPr>
      <w:r>
        <w:t xml:space="preserve"/>
      </w:r>
    </w:p>
    <w:p>
      <w:pPr>
        <w:spacing w:after="60" w:before="60"/>
      </w:pPr>
      <w:r>
        <w:rPr>
          <w:rFonts w:ascii="Arial" w:cs="Arial" w:eastAsia="Arial" w:hAnsi="Arial"/>
          <w:b w:val="false"/>
          <w:bCs w:val="false"/>
          <w:color w:val="404040"/>
          <w:sz w:val="20"/>
          <w:szCs w:val="20"/>
        </w:rPr>
        <w:t xml:space="preserve">PII protection in production AI systems is not just about regex patterns. This part covers the full stack from detection through redaction, the five-level sensitivity model, multi-regulation compliance, and the consent boundary enforcement that ties it all together.</w:t>
      </w:r>
    </w:p>
    <w:p>
      <w:pPr>
        <w:spacing w:after="6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800"/>
        <w:gridCol w:w="7700"/>
        <w:gridCol w:w="900"/>
      </w:tblGrid>
      <w:tr>
        <w:tc>
          <w:tcPr>
            <w:tcW w:type="dxa" w:w="8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80"/>
            </w:tcMar>
          </w:tcPr>
          <w:p>
            <w:pPr>
              <w:jc w:val="center"/>
            </w:pPr>
            <w:r>
              <w:rPr>
                <w:rFonts w:ascii="Arial" w:cs="Arial" w:eastAsia="Arial" w:hAnsi="Arial"/>
                <w:b/>
                <w:bCs/>
                <w:color w:val="27500A"/>
                <w:sz w:val="17"/>
                <w:szCs w:val="17"/>
              </w:rPr>
              <w:t xml:space="preserve">3.1</w:t>
            </w:r>
          </w:p>
        </w:tc>
        <w:tc>
          <w:tcPr>
            <w:tcW w:type="dxa" w:w="7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000000"/>
                <w:sz w:val="19"/>
                <w:szCs w:val="19"/>
              </w:rPr>
              <w:t xml:space="preserve">PII detection — regex vs. Presidio NLP vs. hybrid approaches</w:t>
            </w:r>
          </w:p>
        </w:tc>
        <w:tc>
          <w:tcPr>
            <w:tcW w:type="dxa" w:w="9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Arial" w:cs="Arial" w:eastAsia="Arial" w:hAnsi="Arial"/>
                <w:color w:val="27500A"/>
                <w:sz w:val="15"/>
                <w:szCs w:val="15"/>
              </w:rPr>
              <w:t xml:space="preserve">compliance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bCs/>
                <w:color w:val="27500A"/>
                <w:sz w:val="17"/>
                <w:szCs w:val="17"/>
              </w:rPr>
              <w:t xml:space="preserve">3.2</w:t>
            </w:r>
          </w:p>
        </w:tc>
        <w:tc>
          <w:tcPr>
            <w:tcW w:type="dxa" w:w="77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color w:val="000000"/>
                <w:sz w:val="19"/>
                <w:szCs w:val="19"/>
              </w:rPr>
              <w:t xml:space="preserve">Sensitivity levels — from public to critical, and the 5-tier model</w:t>
            </w:r>
          </w:p>
        </w:tc>
        <w:tc>
          <w:tcPr>
            <w:tcW w:type="dxa" w:w="9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Arial" w:cs="Arial" w:eastAsia="Arial" w:hAnsi="Arial"/>
                <w:color w:val="27500A"/>
                <w:sz w:val="15"/>
                <w:szCs w:val="15"/>
              </w:rPr>
              <w:t xml:space="preserve">compliance</w:t>
            </w:r>
          </w:p>
        </w:tc>
      </w:tr>
      <w:tr>
        <w:tc>
          <w:tcPr>
            <w:tcW w:type="dxa" w:w="8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80"/>
            </w:tcMar>
          </w:tcPr>
          <w:p>
            <w:pPr>
              <w:jc w:val="center"/>
            </w:pPr>
            <w:r>
              <w:rPr>
                <w:rFonts w:ascii="Arial" w:cs="Arial" w:eastAsia="Arial" w:hAnsi="Arial"/>
                <w:b/>
                <w:bCs/>
                <w:color w:val="27500A"/>
                <w:sz w:val="17"/>
                <w:szCs w:val="17"/>
              </w:rPr>
              <w:t xml:space="preserve">3.3</w:t>
            </w:r>
          </w:p>
        </w:tc>
        <w:tc>
          <w:tcPr>
            <w:tcW w:type="dxa" w:w="7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000000"/>
                <w:sz w:val="19"/>
                <w:szCs w:val="19"/>
              </w:rPr>
              <w:t xml:space="preserve">Redaction policies — flag, redact, block, and the audit trail they create</w:t>
            </w:r>
          </w:p>
        </w:tc>
        <w:tc>
          <w:tcPr>
            <w:tcW w:type="dxa" w:w="9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Arial" w:cs="Arial" w:eastAsia="Arial" w:hAnsi="Arial"/>
                <w:color w:val="27500A"/>
                <w:sz w:val="15"/>
                <w:szCs w:val="15"/>
              </w:rPr>
              <w:t xml:space="preserve">compliance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bCs/>
                <w:color w:val="27500A"/>
                <w:sz w:val="17"/>
                <w:szCs w:val="17"/>
              </w:rPr>
              <w:t xml:space="preserve">3.4</w:t>
            </w:r>
          </w:p>
        </w:tc>
        <w:tc>
          <w:tcPr>
            <w:tcW w:type="dxa" w:w="77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color w:val="000000"/>
                <w:sz w:val="19"/>
                <w:szCs w:val="19"/>
              </w:rPr>
              <w:t xml:space="preserve">Luhn, Verhoeff, and SSN validation — structured PII verification</w:t>
            </w:r>
          </w:p>
        </w:tc>
        <w:tc>
          <w:tcPr>
            <w:tcW w:type="dxa" w:w="9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Arial" w:cs="Arial" w:eastAsia="Arial" w:hAnsi="Arial"/>
                <w:color w:val="27500A"/>
                <w:sz w:val="15"/>
                <w:szCs w:val="15"/>
              </w:rPr>
              <w:t xml:space="preserve">compliance</w:t>
            </w:r>
          </w:p>
        </w:tc>
      </w:tr>
      <w:tr>
        <w:tc>
          <w:tcPr>
            <w:tcW w:type="dxa" w:w="8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80"/>
            </w:tcMar>
          </w:tcPr>
          <w:p>
            <w:pPr>
              <w:jc w:val="center"/>
            </w:pPr>
            <w:r>
              <w:rPr>
                <w:rFonts w:ascii="Arial" w:cs="Arial" w:eastAsia="Arial" w:hAnsi="Arial"/>
                <w:b/>
                <w:bCs/>
                <w:color w:val="27500A"/>
                <w:sz w:val="17"/>
                <w:szCs w:val="17"/>
              </w:rPr>
              <w:t xml:space="preserve">3.5</w:t>
            </w:r>
          </w:p>
        </w:tc>
        <w:tc>
          <w:tcPr>
            <w:tcW w:type="dxa" w:w="7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000000"/>
                <w:sz w:val="19"/>
                <w:szCs w:val="19"/>
              </w:rPr>
              <w:t xml:space="preserve">GDPR Article 17, CCPA DSAR, HIPAA Safe Harbor — regulation-specific patterns</w:t>
            </w:r>
          </w:p>
        </w:tc>
        <w:tc>
          <w:tcPr>
            <w:tcW w:type="dxa" w:w="9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Arial" w:cs="Arial" w:eastAsia="Arial" w:hAnsi="Arial"/>
                <w:color w:val="27500A"/>
                <w:sz w:val="15"/>
                <w:szCs w:val="15"/>
              </w:rPr>
              <w:t xml:space="preserve">compliance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bCs/>
                <w:color w:val="27500A"/>
                <w:sz w:val="17"/>
                <w:szCs w:val="17"/>
              </w:rPr>
              <w:t xml:space="preserve">3.6</w:t>
            </w:r>
          </w:p>
        </w:tc>
        <w:tc>
          <w:tcPr>
            <w:tcW w:type="dxa" w:w="77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color w:val="000000"/>
                <w:sz w:val="19"/>
                <w:szCs w:val="19"/>
              </w:rPr>
              <w:t xml:space="preserve">India DPDP Act — patterns, consent enforcement, and data residency</w:t>
            </w:r>
          </w:p>
        </w:tc>
        <w:tc>
          <w:tcPr>
            <w:tcW w:type="dxa" w:w="9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Arial" w:cs="Arial" w:eastAsia="Arial" w:hAnsi="Arial"/>
                <w:color w:val="27500A"/>
                <w:sz w:val="15"/>
                <w:szCs w:val="15"/>
              </w:rPr>
              <w:t xml:space="preserve">compliance</w:t>
            </w:r>
          </w:p>
        </w:tc>
      </w:tr>
      <w:tr>
        <w:tc>
          <w:tcPr>
            <w:tcW w:type="dxa" w:w="8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80"/>
            </w:tcMar>
          </w:tcPr>
          <w:p>
            <w:pPr>
              <w:jc w:val="center"/>
            </w:pPr>
            <w:r>
              <w:rPr>
                <w:rFonts w:ascii="Arial" w:cs="Arial" w:eastAsia="Arial" w:hAnsi="Arial"/>
                <w:b/>
                <w:bCs/>
                <w:color w:val="27500A"/>
                <w:sz w:val="17"/>
                <w:szCs w:val="17"/>
              </w:rPr>
              <w:t xml:space="preserve">3.7</w:t>
            </w:r>
          </w:p>
        </w:tc>
        <w:tc>
          <w:tcPr>
            <w:tcW w:type="dxa" w:w="7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000000"/>
                <w:sz w:val="19"/>
                <w:szCs w:val="19"/>
              </w:rPr>
              <w:t xml:space="preserve">Consent boundaries — granting, revoking, and emitting consent.violation events</w:t>
            </w:r>
          </w:p>
        </w:tc>
        <w:tc>
          <w:tcPr>
            <w:tcW w:type="dxa" w:w="9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Arial" w:cs="Arial" w:eastAsia="Arial" w:hAnsi="Arial"/>
                <w:color w:val="27500A"/>
                <w:sz w:val="15"/>
                <w:szCs w:val="15"/>
              </w:rPr>
              <w:t xml:space="preserve">compliance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bCs/>
                <w:color w:val="27500A"/>
                <w:sz w:val="17"/>
                <w:szCs w:val="17"/>
              </w:rPr>
              <w:t xml:space="preserve">3.8</w:t>
            </w:r>
          </w:p>
        </w:tc>
        <w:tc>
          <w:tcPr>
            <w:tcW w:type="dxa" w:w="77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color w:val="000000"/>
                <w:sz w:val="19"/>
                <w:szCs w:val="19"/>
              </w:rPr>
              <w:t xml:space="preserve">Differential privacy — Laplace noise on numeric quasi-identifiers</w:t>
            </w:r>
          </w:p>
        </w:tc>
        <w:tc>
          <w:tcPr>
            <w:tcW w:type="dxa" w:w="9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Arial" w:cs="Arial" w:eastAsia="Arial" w:hAnsi="Arial"/>
                <w:color w:val="27500A"/>
                <w:sz w:val="15"/>
                <w:szCs w:val="15"/>
              </w:rPr>
              <w:t xml:space="preserve">compliance</w:t>
            </w:r>
          </w:p>
        </w:tc>
      </w:tr>
    </w:tbl>
    <w:p>
      <w:pPr>
        <w:spacing w:after="60" w:before="60"/>
      </w:pPr>
      <w:r>
        <w:t xml:space="preserve"/>
      </w:r>
    </w:p>
    <w:p>
      <w:pPr>
        <w:pStyle w:val="Heading2"/>
        <w:spacing w:after="80" w:before="200"/>
      </w:pPr>
      <w:r>
        <w:rPr>
          <w:rFonts w:ascii="Arial" w:cs="Arial" w:eastAsia="Arial" w:hAnsi="Arial"/>
          <w:b/>
          <w:bCs/>
          <w:color w:val="2E75B6"/>
          <w:sz w:val="24"/>
          <w:szCs w:val="24"/>
        </w:rPr>
        <w:t xml:space="preserve">Chapter details</w:t>
      </w:r>
    </w:p>
    <w:p>
      <w:pPr>
        <w:shd w:fill="EAF3DE" w:val="clear"/>
        <w:spacing w:after="0" w:before="120"/>
        <w:ind w:left="0"/>
      </w:pPr>
      <w:r>
        <w:rPr>
          <w:rFonts w:ascii="Arial" w:cs="Arial" w:eastAsia="Arial" w:hAnsi="Arial"/>
          <w:b/>
          <w:bCs/>
          <w:color w:val="27500A"/>
          <w:sz w:val="20"/>
          <w:szCs w:val="20"/>
        </w:rPr>
        <w:t xml:space="preserve">  3.1  </w:t>
      </w:r>
      <w:r>
        <w:rPr>
          <w:rFonts w:ascii="Arial" w:cs="Arial" w:eastAsia="Arial" w:hAnsi="Arial"/>
          <w:b/>
          <w:bCs/>
          <w:color w:val="27500A"/>
          <w:sz w:val="20"/>
          <w:szCs w:val="20"/>
        </w:rPr>
        <w:t xml:space="preserve">PII detection — regex vs. Presidio NLP vs. hybrid approaches</w:t>
      </w:r>
    </w:p>
    <w:p>
      <w:pPr>
        <w:pStyle w:val="ListParagraph"/>
        <w:numPr>
          <w:ilvl w:val="0"/>
          <w:numId w:val="2"/>
        </w:numPr>
        <w:spacing w:after="30" w:before="30"/>
      </w:pPr>
      <w:r>
        <w:rPr>
          <w:rFonts w:ascii="Arial" w:cs="Arial" w:eastAsia="Arial" w:hAnsi="Arial"/>
          <w:color w:val="000000"/>
          <w:sz w:val="19"/>
          <w:szCs w:val="19"/>
        </w:rPr>
        <w:t xml:space="preserve">When regex is enough and when you need NLP entity recognition</w:t>
      </w:r>
    </w:p>
    <w:p>
      <w:pPr>
        <w:pStyle w:val="ListParagraph"/>
        <w:numPr>
          <w:ilvl w:val="0"/>
          <w:numId w:val="2"/>
        </w:numPr>
        <w:spacing w:after="30" w:before="30"/>
      </w:pPr>
      <w:r>
        <w:rPr>
          <w:rFonts w:ascii="Arial" w:cs="Arial" w:eastAsia="Arial" w:hAnsi="Arial"/>
          <w:color w:val="000000"/>
          <w:sz w:val="19"/>
          <w:szCs w:val="19"/>
        </w:rPr>
        <w:t xml:space="preserve">Microsoft Presidio AnalyzerEngine — 18 entity types including IN_AADHAAR, MEDICAL_LICENSE, NRP</w:t>
      </w:r>
    </w:p>
    <w:p>
      <w:pPr>
        <w:pStyle w:val="ListParagraph"/>
        <w:numPr>
          <w:ilvl w:val="0"/>
          <w:numId w:val="2"/>
        </w:numPr>
        <w:spacing w:after="30" w:before="30"/>
      </w:pPr>
      <w:r>
        <w:rPr>
          <w:rFonts w:ascii="Arial" w:cs="Arial" w:eastAsia="Arial" w:hAnsi="Arial"/>
          <w:color w:val="000000"/>
          <w:sz w:val="19"/>
          <w:szCs w:val="19"/>
        </w:rPr>
        <w:t xml:space="preserve">Graceful fallback when presidio-analyzer is not installed</w:t>
      </w:r>
    </w:p>
    <w:p>
      <w:pPr>
        <w:spacing w:after="60" w:before="60"/>
      </w:pPr>
      <w:r>
        <w:t xml:space="preserve"/>
      </w:r>
    </w:p>
    <w:p>
      <w:pPr>
        <w:shd w:fill="EAF3DE" w:val="clear"/>
        <w:spacing w:after="0" w:before="120"/>
        <w:ind w:left="0"/>
      </w:pPr>
      <w:r>
        <w:rPr>
          <w:rFonts w:ascii="Arial" w:cs="Arial" w:eastAsia="Arial" w:hAnsi="Arial"/>
          <w:b/>
          <w:bCs/>
          <w:color w:val="27500A"/>
          <w:sz w:val="20"/>
          <w:szCs w:val="20"/>
        </w:rPr>
        <w:t xml:space="preserve">  3.2  </w:t>
      </w:r>
      <w:r>
        <w:rPr>
          <w:rFonts w:ascii="Arial" w:cs="Arial" w:eastAsia="Arial" w:hAnsi="Arial"/>
          <w:b/>
          <w:bCs/>
          <w:color w:val="27500A"/>
          <w:sz w:val="20"/>
          <w:szCs w:val="20"/>
        </w:rPr>
        <w:t xml:space="preserve">Sensitivity levels — from public to critical, and the 5-tier model</w:t>
      </w:r>
    </w:p>
    <w:p>
      <w:pPr>
        <w:pStyle w:val="ListParagraph"/>
        <w:numPr>
          <w:ilvl w:val="0"/>
          <w:numId w:val="2"/>
        </w:numPr>
        <w:spacing w:after="30" w:before="30"/>
      </w:pPr>
      <w:r>
        <w:rPr>
          <w:rFonts w:ascii="Arial" w:cs="Arial" w:eastAsia="Arial" w:hAnsi="Arial"/>
          <w:color w:val="000000"/>
          <w:sz w:val="19"/>
          <w:szCs w:val="19"/>
        </w:rPr>
        <w:t xml:space="preserve">PUBLIC → INTERNAL → CONFIDENTIAL → SENSITIVE → CRITICAL</w:t>
      </w:r>
    </w:p>
    <w:p>
      <w:pPr>
        <w:pStyle w:val="ListParagraph"/>
        <w:numPr>
          <w:ilvl w:val="0"/>
          <w:numId w:val="2"/>
        </w:numPr>
        <w:spacing w:after="30" w:before="30"/>
      </w:pPr>
      <w:r>
        <w:rPr>
          <w:rFonts w:ascii="Arial" w:cs="Arial" w:eastAsia="Arial" w:hAnsi="Arial"/>
          <w:color w:val="000000"/>
          <w:sz w:val="19"/>
          <w:szCs w:val="19"/>
        </w:rPr>
        <w:t xml:space="preserve">How sensitivity level determines the redaction policy applied</w:t>
      </w:r>
    </w:p>
    <w:p>
      <w:pPr>
        <w:pStyle w:val="ListParagraph"/>
        <w:numPr>
          <w:ilvl w:val="0"/>
          <w:numId w:val="2"/>
        </w:numPr>
        <w:spacing w:after="30" w:before="30"/>
      </w:pPr>
      <w:r>
        <w:rPr>
          <w:rFonts w:ascii="Arial" w:cs="Arial" w:eastAsia="Arial" w:hAnsi="Arial"/>
          <w:color w:val="000000"/>
          <w:sz w:val="19"/>
          <w:szCs w:val="19"/>
        </w:rPr>
        <w:t xml:space="preserve">Luhn algorithm and Verhoeff algorithm for structured number validation</w:t>
      </w:r>
    </w:p>
    <w:p>
      <w:pPr>
        <w:spacing w:after="60" w:before="60"/>
      </w:pPr>
      <w:r>
        <w:t xml:space="preserve"/>
      </w:r>
    </w:p>
    <w:p>
      <w:pPr>
        <w:shd w:fill="EAF3DE" w:val="clear"/>
        <w:spacing w:after="0" w:before="120"/>
        <w:ind w:left="0"/>
      </w:pPr>
      <w:r>
        <w:rPr>
          <w:rFonts w:ascii="Arial" w:cs="Arial" w:eastAsia="Arial" w:hAnsi="Arial"/>
          <w:b/>
          <w:bCs/>
          <w:color w:val="27500A"/>
          <w:sz w:val="20"/>
          <w:szCs w:val="20"/>
        </w:rPr>
        <w:t xml:space="preserve">  3.3  </w:t>
      </w:r>
      <w:r>
        <w:rPr>
          <w:rFonts w:ascii="Arial" w:cs="Arial" w:eastAsia="Arial" w:hAnsi="Arial"/>
          <w:b/>
          <w:bCs/>
          <w:color w:val="27500A"/>
          <w:sz w:val="20"/>
          <w:szCs w:val="20"/>
        </w:rPr>
        <w:t xml:space="preserve">Redaction policies — flag, redact, block, and the audit trail they create</w:t>
      </w:r>
    </w:p>
    <w:p>
      <w:pPr>
        <w:pStyle w:val="ListParagraph"/>
        <w:numPr>
          <w:ilvl w:val="0"/>
          <w:numId w:val="2"/>
        </w:numPr>
        <w:spacing w:after="30" w:before="30"/>
      </w:pPr>
      <w:r>
        <w:rPr>
          <w:rFonts w:ascii="Arial" w:cs="Arial" w:eastAsia="Arial" w:hAnsi="Arial"/>
          <w:color w:val="000000"/>
          <w:sz w:val="19"/>
          <w:szCs w:val="19"/>
        </w:rPr>
        <w:t xml:space="preserve">flag: detect and annotate without modifying — when to use it</w:t>
      </w:r>
    </w:p>
    <w:p>
      <w:pPr>
        <w:pStyle w:val="ListParagraph"/>
        <w:numPr>
          <w:ilvl w:val="0"/>
          <w:numId w:val="2"/>
        </w:numPr>
        <w:spacing w:after="30" w:before="30"/>
      </w:pPr>
      <w:r>
        <w:rPr>
          <w:rFonts w:ascii="Arial" w:cs="Arial" w:eastAsia="Arial" w:hAnsi="Arial"/>
          <w:color w:val="000000"/>
          <w:sz w:val="19"/>
          <w:szCs w:val="19"/>
        </w:rPr>
        <w:t xml:space="preserve">redact: replace with [REDACTED:pii] and inject audit metadata into the payload</w:t>
      </w:r>
    </w:p>
    <w:p>
      <w:pPr>
        <w:pStyle w:val="ListParagraph"/>
        <w:numPr>
          <w:ilvl w:val="0"/>
          <w:numId w:val="2"/>
        </w:numPr>
        <w:spacing w:after="30" w:before="30"/>
      </w:pPr>
      <w:r>
        <w:rPr>
          <w:rFonts w:ascii="Arial" w:cs="Arial" w:eastAsia="Arial" w:hAnsi="Arial"/>
          <w:color w:val="000000"/>
          <w:sz w:val="19"/>
          <w:szCs w:val="19"/>
        </w:rPr>
        <w:t xml:space="preserve">block: raise SFPIIBlockedError — stopping the pipeline on high-sensitivity hits</w:t>
      </w:r>
    </w:p>
    <w:p>
      <w:pPr>
        <w:spacing w:after="60" w:before="60"/>
      </w:pPr>
      <w:r>
        <w:t xml:space="preserve"/>
      </w:r>
    </w:p>
    <w:p>
      <w:pPr>
        <w:shd w:fill="EAF3DE" w:val="clear"/>
        <w:spacing w:after="0" w:before="120"/>
        <w:ind w:left="0"/>
      </w:pPr>
      <w:r>
        <w:rPr>
          <w:rFonts w:ascii="Arial" w:cs="Arial" w:eastAsia="Arial" w:hAnsi="Arial"/>
          <w:b/>
          <w:bCs/>
          <w:color w:val="27500A"/>
          <w:sz w:val="20"/>
          <w:szCs w:val="20"/>
        </w:rPr>
        <w:t xml:space="preserve">  3.4  </w:t>
      </w:r>
      <w:r>
        <w:rPr>
          <w:rFonts w:ascii="Arial" w:cs="Arial" w:eastAsia="Arial" w:hAnsi="Arial"/>
          <w:b/>
          <w:bCs/>
          <w:color w:val="27500A"/>
          <w:sz w:val="20"/>
          <w:szCs w:val="20"/>
        </w:rPr>
        <w:t xml:space="preserve">Luhn, Verhoeff, and SSN validation — structured PII verification</w:t>
      </w:r>
    </w:p>
    <w:p>
      <w:pPr>
        <w:pStyle w:val="ListParagraph"/>
        <w:numPr>
          <w:ilvl w:val="0"/>
          <w:numId w:val="2"/>
        </w:numPr>
        <w:spacing w:after="30" w:before="30"/>
      </w:pPr>
      <w:r>
        <w:rPr>
          <w:rFonts w:ascii="Arial" w:cs="Arial" w:eastAsia="Arial" w:hAnsi="Arial"/>
          <w:color w:val="000000"/>
          <w:sz w:val="19"/>
          <w:szCs w:val="19"/>
        </w:rPr>
        <w:t xml:space="preserve">Luhn algorithm — credit card number validation and how check digits work</w:t>
      </w:r>
    </w:p>
    <w:p>
      <w:pPr>
        <w:pStyle w:val="ListParagraph"/>
        <w:numPr>
          <w:ilvl w:val="0"/>
          <w:numId w:val="2"/>
        </w:numPr>
        <w:spacing w:after="30" w:before="30"/>
      </w:pPr>
      <w:r>
        <w:rPr>
          <w:rFonts w:ascii="Arial" w:cs="Arial" w:eastAsia="Arial" w:hAnsi="Arial"/>
          <w:color w:val="000000"/>
          <w:sz w:val="19"/>
          <w:szCs w:val="19"/>
        </w:rPr>
        <w:t xml:space="preserve">Verhoeff algorithm — why it catches more transposition errors than Luhn</w:t>
      </w:r>
    </w:p>
    <w:p>
      <w:pPr>
        <w:pStyle w:val="ListParagraph"/>
        <w:numPr>
          <w:ilvl w:val="0"/>
          <w:numId w:val="2"/>
        </w:numPr>
        <w:spacing w:after="30" w:before="30"/>
      </w:pPr>
      <w:r>
        <w:rPr>
          <w:rFonts w:ascii="Arial" w:cs="Arial" w:eastAsia="Arial" w:hAnsi="Arial"/>
          <w:color w:val="000000"/>
          <w:sz w:val="19"/>
          <w:szCs w:val="19"/>
        </w:rPr>
        <w:t xml:space="preserve">SSN range validation — why format alone is insufficient for US Social Security numbers</w:t>
      </w:r>
    </w:p>
    <w:p>
      <w:pPr>
        <w:spacing w:after="60" w:before="60"/>
      </w:pPr>
      <w:r>
        <w:t xml:space="preserve"/>
      </w:r>
    </w:p>
    <w:p>
      <w:pPr>
        <w:shd w:fill="EAF3DE" w:val="clear"/>
        <w:spacing w:after="0" w:before="120"/>
        <w:ind w:left="0"/>
      </w:pPr>
      <w:r>
        <w:rPr>
          <w:rFonts w:ascii="Arial" w:cs="Arial" w:eastAsia="Arial" w:hAnsi="Arial"/>
          <w:b/>
          <w:bCs/>
          <w:color w:val="27500A"/>
          <w:sz w:val="20"/>
          <w:szCs w:val="20"/>
        </w:rPr>
        <w:t xml:space="preserve">  3.5  </w:t>
      </w:r>
      <w:r>
        <w:rPr>
          <w:rFonts w:ascii="Arial" w:cs="Arial" w:eastAsia="Arial" w:hAnsi="Arial"/>
          <w:b/>
          <w:bCs/>
          <w:color w:val="27500A"/>
          <w:sz w:val="20"/>
          <w:szCs w:val="20"/>
        </w:rPr>
        <w:t xml:space="preserve">GDPR Article 17, CCPA DSAR, HIPAA Safe Harbor — regulation-specific patterns</w:t>
      </w:r>
    </w:p>
    <w:p>
      <w:pPr>
        <w:pStyle w:val="ListParagraph"/>
        <w:numPr>
          <w:ilvl w:val="0"/>
          <w:numId w:val="2"/>
        </w:numPr>
        <w:spacing w:after="30" w:before="30"/>
      </w:pPr>
      <w:r>
        <w:rPr>
          <w:rFonts w:ascii="Arial" w:cs="Arial" w:eastAsia="Arial" w:hAnsi="Arial"/>
          <w:color w:val="000000"/>
          <w:sz w:val="19"/>
          <w:szCs w:val="19"/>
        </w:rPr>
        <w:t xml:space="preserve">GDPR Article 17 Right to Erasure — erase_subject() and the ErasureReceipt</w:t>
      </w:r>
    </w:p>
    <w:p>
      <w:pPr>
        <w:pStyle w:val="ListParagraph"/>
        <w:numPr>
          <w:ilvl w:val="0"/>
          <w:numId w:val="2"/>
        </w:numPr>
        <w:spacing w:after="30" w:before="30"/>
      </w:pPr>
      <w:r>
        <w:rPr>
          <w:rFonts w:ascii="Arial" w:cs="Arial" w:eastAsia="Arial" w:hAnsi="Arial"/>
          <w:color w:val="000000"/>
          <w:sz w:val="19"/>
          <w:szCs w:val="19"/>
        </w:rPr>
        <w:t xml:space="preserve">CCPA DSAR — export_subject_data() and what must be included in a data access request</w:t>
      </w:r>
    </w:p>
    <w:p>
      <w:pPr>
        <w:pStyle w:val="ListParagraph"/>
        <w:numPr>
          <w:ilvl w:val="0"/>
          <w:numId w:val="2"/>
        </w:numPr>
        <w:spacing w:after="30" w:before="30"/>
      </w:pPr>
      <w:r>
        <w:rPr>
          <w:rFonts w:ascii="Arial" w:cs="Arial" w:eastAsia="Arial" w:hAnsi="Arial"/>
          <w:color w:val="000000"/>
          <w:sz w:val="19"/>
          <w:szCs w:val="19"/>
        </w:rPr>
        <w:t xml:space="preserve">HIPAA Safe Harbor de-identification — 18 PHI identifiers per 45 CFR §164.514(b)(2)</w:t>
      </w:r>
    </w:p>
    <w:p>
      <w:pPr>
        <w:spacing w:after="60" w:before="60"/>
      </w:pPr>
      <w:r>
        <w:t xml:space="preserve"/>
      </w:r>
    </w:p>
    <w:p>
      <w:pPr>
        <w:shd w:fill="EAF3DE" w:val="clear"/>
        <w:spacing w:after="0" w:before="120"/>
        <w:ind w:left="0"/>
      </w:pPr>
      <w:r>
        <w:rPr>
          <w:rFonts w:ascii="Arial" w:cs="Arial" w:eastAsia="Arial" w:hAnsi="Arial"/>
          <w:b/>
          <w:bCs/>
          <w:color w:val="27500A"/>
          <w:sz w:val="20"/>
          <w:szCs w:val="20"/>
        </w:rPr>
        <w:t xml:space="preserve">  3.6  </w:t>
      </w:r>
      <w:r>
        <w:rPr>
          <w:rFonts w:ascii="Arial" w:cs="Arial" w:eastAsia="Arial" w:hAnsi="Arial"/>
          <w:b/>
          <w:bCs/>
          <w:color w:val="27500A"/>
          <w:sz w:val="20"/>
          <w:szCs w:val="20"/>
        </w:rPr>
        <w:t xml:space="preserve">India DPDP Act — patterns, consent enforcement, and data residency</w:t>
      </w:r>
    </w:p>
    <w:p>
      <w:pPr>
        <w:pStyle w:val="ListParagraph"/>
        <w:numPr>
          <w:ilvl w:val="0"/>
          <w:numId w:val="2"/>
        </w:numPr>
        <w:spacing w:after="30" w:before="30"/>
      </w:pPr>
      <w:r>
        <w:rPr>
          <w:rFonts w:ascii="Arial" w:cs="Arial" w:eastAsia="Arial" w:hAnsi="Arial"/>
          <w:color w:val="000000"/>
          <w:sz w:val="19"/>
          <w:szCs w:val="19"/>
        </w:rPr>
        <w:t xml:space="preserve">The DPDP_PATTERNS dictionary — Aadhaar, PAN, Voter ID, Passport, bank account formats</w:t>
      </w:r>
    </w:p>
    <w:p>
      <w:pPr>
        <w:pStyle w:val="ListParagraph"/>
        <w:numPr>
          <w:ilvl w:val="0"/>
          <w:numId w:val="2"/>
        </w:numPr>
        <w:spacing w:after="30" w:before="30"/>
      </w:pPr>
      <w:r>
        <w:rPr>
          <w:rFonts w:ascii="Arial" w:cs="Arial" w:eastAsia="Arial" w:hAnsi="Arial"/>
          <w:color w:val="000000"/>
          <w:sz w:val="19"/>
          <w:szCs w:val="19"/>
        </w:rPr>
        <w:t xml:space="preserve">SFPIIDPDPConsentMissingError — raised when DPDP entity detected without valid consent</w:t>
      </w:r>
    </w:p>
    <w:p>
      <w:pPr>
        <w:pStyle w:val="ListParagraph"/>
        <w:numPr>
          <w:ilvl w:val="0"/>
          <w:numId w:val="2"/>
        </w:numPr>
        <w:spacing w:after="30" w:before="30"/>
      </w:pPr>
      <w:r>
        <w:rPr>
          <w:rFonts w:ascii="Arial" w:cs="Arial" w:eastAsia="Arial" w:hAnsi="Arial"/>
          <w:color w:val="000000"/>
          <w:sz w:val="19"/>
          <w:szCs w:val="19"/>
        </w:rPr>
        <w:t xml:space="preserve">Data residency routing — IN region enforcement at the SDK layer</w:t>
      </w:r>
    </w:p>
    <w:p>
      <w:pPr>
        <w:spacing w:after="60" w:before="60"/>
      </w:pPr>
      <w:r>
        <w:t xml:space="preserve"/>
      </w:r>
    </w:p>
    <w:p>
      <w:pPr>
        <w:shd w:fill="EAF3DE" w:val="clear"/>
        <w:spacing w:after="0" w:before="120"/>
        <w:ind w:left="0"/>
      </w:pPr>
      <w:r>
        <w:rPr>
          <w:rFonts w:ascii="Arial" w:cs="Arial" w:eastAsia="Arial" w:hAnsi="Arial"/>
          <w:b/>
          <w:bCs/>
          <w:color w:val="27500A"/>
          <w:sz w:val="20"/>
          <w:szCs w:val="20"/>
        </w:rPr>
        <w:t xml:space="preserve">  3.7  </w:t>
      </w:r>
      <w:r>
        <w:rPr>
          <w:rFonts w:ascii="Arial" w:cs="Arial" w:eastAsia="Arial" w:hAnsi="Arial"/>
          <w:b/>
          <w:bCs/>
          <w:color w:val="27500A"/>
          <w:sz w:val="20"/>
          <w:szCs w:val="20"/>
        </w:rPr>
        <w:t xml:space="preserve">Consent boundaries — granting, revoking, and emitting consent.violation events</w:t>
      </w:r>
    </w:p>
    <w:p>
      <w:pPr>
        <w:pStyle w:val="ListParagraph"/>
        <w:numPr>
          <w:ilvl w:val="0"/>
          <w:numId w:val="2"/>
        </w:numPr>
        <w:spacing w:after="30" w:before="30"/>
      </w:pPr>
      <w:r>
        <w:rPr>
          <w:rFonts w:ascii="Arial" w:cs="Arial" w:eastAsia="Arial" w:hAnsi="Arial"/>
          <w:color w:val="000000"/>
          <w:sz w:val="19"/>
          <w:szCs w:val="19"/>
        </w:rPr>
        <w:t xml:space="preserve">ConsentBoundary as a first-class module — not an afterthought</w:t>
      </w:r>
    </w:p>
    <w:p>
      <w:pPr>
        <w:pStyle w:val="ListParagraph"/>
        <w:numPr>
          <w:ilvl w:val="0"/>
          <w:numId w:val="2"/>
        </w:numPr>
        <w:spacing w:after="30" w:before="30"/>
      </w:pPr>
      <w:r>
        <w:rPr>
          <w:rFonts w:ascii="Arial" w:cs="Arial" w:eastAsia="Arial" w:hAnsi="Arial"/>
          <w:color w:val="000000"/>
          <w:sz w:val="19"/>
          <w:szCs w:val="19"/>
        </w:rPr>
        <w:t xml:space="preserve">grant_consent() / revoke_consent() / check_consent() — the three operations</w:t>
      </w:r>
    </w:p>
    <w:p>
      <w:pPr>
        <w:pStyle w:val="ListParagraph"/>
        <w:numPr>
          <w:ilvl w:val="0"/>
          <w:numId w:val="2"/>
        </w:numPr>
        <w:spacing w:after="30" w:before="30"/>
      </w:pPr>
      <w:r>
        <w:rPr>
          <w:rFonts w:ascii="Arial" w:cs="Arial" w:eastAsia="Arial" w:hAnsi="Arial"/>
          <w:color w:val="000000"/>
          <w:sz w:val="19"/>
          <w:szCs w:val="19"/>
        </w:rPr>
        <w:t xml:space="preserve">How consent.violation events flow into the HMAC audit chain</w:t>
      </w:r>
    </w:p>
    <w:p>
      <w:pPr>
        <w:spacing w:after="60" w:before="60"/>
      </w:pPr>
      <w:r>
        <w:t xml:space="preserve"/>
      </w:r>
    </w:p>
    <w:p>
      <w:pPr>
        <w:shd w:fill="EAF3DE" w:val="clear"/>
        <w:spacing w:after="0" w:before="120"/>
        <w:ind w:left="0"/>
      </w:pPr>
      <w:r>
        <w:rPr>
          <w:rFonts w:ascii="Arial" w:cs="Arial" w:eastAsia="Arial" w:hAnsi="Arial"/>
          <w:b/>
          <w:bCs/>
          <w:color w:val="27500A"/>
          <w:sz w:val="20"/>
          <w:szCs w:val="20"/>
        </w:rPr>
        <w:t xml:space="preserve">  3.8  </w:t>
      </w:r>
      <w:r>
        <w:rPr>
          <w:rFonts w:ascii="Arial" w:cs="Arial" w:eastAsia="Arial" w:hAnsi="Arial"/>
          <w:b/>
          <w:bCs/>
          <w:color w:val="27500A"/>
          <w:sz w:val="20"/>
          <w:szCs w:val="20"/>
        </w:rPr>
        <w:t xml:space="preserve">Differential privacy — Laplace noise on numeric quasi-identifiers</w:t>
      </w:r>
    </w:p>
    <w:p>
      <w:pPr>
        <w:pStyle w:val="ListParagraph"/>
        <w:numPr>
          <w:ilvl w:val="0"/>
          <w:numId w:val="2"/>
        </w:numPr>
        <w:spacing w:after="30" w:before="30"/>
      </w:pPr>
      <w:r>
        <w:rPr>
          <w:rFonts w:ascii="Arial" w:cs="Arial" w:eastAsia="Arial" w:hAnsi="Arial"/>
          <w:color w:val="000000"/>
          <w:sz w:val="19"/>
          <w:szCs w:val="19"/>
        </w:rPr>
        <w:t xml:space="preserve">What differential privacy guarantees and what it does not</w:t>
      </w:r>
    </w:p>
    <w:p>
      <w:pPr>
        <w:pStyle w:val="ListParagraph"/>
        <w:numPr>
          <w:ilvl w:val="0"/>
          <w:numId w:val="2"/>
        </w:numPr>
        <w:spacing w:after="30" w:before="30"/>
      </w:pPr>
      <w:r>
        <w:rPr>
          <w:rFonts w:ascii="Arial" w:cs="Arial" w:eastAsia="Arial" w:hAnsi="Arial"/>
          <w:color w:val="000000"/>
          <w:sz w:val="19"/>
          <w:szCs w:val="19"/>
        </w:rPr>
        <w:t xml:space="preserve">The Laplace mechanism — epsilon, sensitivity, and the noise scale</w:t>
      </w:r>
    </w:p>
    <w:p>
      <w:pPr>
        <w:pStyle w:val="ListParagraph"/>
        <w:numPr>
          <w:ilvl w:val="0"/>
          <w:numId w:val="2"/>
        </w:numPr>
        <w:spacing w:after="30" w:before="30"/>
      </w:pPr>
      <w:r>
        <w:rPr>
          <w:rFonts w:ascii="Arial" w:cs="Arial" w:eastAsia="Arial" w:hAnsi="Arial"/>
          <w:color w:val="000000"/>
          <w:sz w:val="19"/>
          <w:szCs w:val="19"/>
        </w:rPr>
        <w:t xml:space="preserve">When to apply DP noise and when anonymisation is sufficient</w:t>
      </w:r>
    </w:p>
    <w:p>
      <w:pPr>
        <w:spacing w:after="60" w:before="60"/>
      </w:pPr>
      <w:r>
        <w:t xml:space="preserve"/>
      </w:r>
    </w:p>
    <w:p>
      <w:pPr>
        <w:pBdr>
          <w:bottom w:val="single" w:color="2E75B6" w:sz="4"/>
        </w:pBdr>
        <w:spacing w:after="140" w:before="140"/>
      </w:pPr>
      <w:r>
        <w:t xml:space="preserve"/>
      </w:r>
    </w:p>
    <w:p>
      <w:r>
        <w:br w:type="pag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5800"/>
        <w:gridCol w:w="1200"/>
        <w:gridCol w:w="1200"/>
      </w:tblGrid>
      <w:tr>
        <w:tc>
          <w:tcPr>
            <w:tcW w:type="dxa" w:w="1200"/>
            <w:tcBorders>
              <w:top w:val="single" w:color="633806" w:sz="6"/>
              <w:left w:val="single" w:color="633806" w:sz="6"/>
              <w:bottom w:val="single" w:color="633806" w:sz="6"/>
              <w:right w:val="single" w:color="CCCCCC" w:sz="1"/>
            </w:tcBorders>
            <w:shd w:fill="FAEEDA" w:val="clear"/>
            <w:tcMar>
              <w:top w:type="dxa" w:w="120"/>
              <w:left w:type="dxa" w:w="140"/>
              <w:bottom w:type="dxa" w:w="120"/>
              <w:right w:type="dxa" w:w="140"/>
            </w:tcMar>
            <w:vAlign w:val="center"/>
          </w:tcPr>
          <w:p>
            <w:pPr>
              <w:jc w:val="center"/>
            </w:pPr>
            <w:r>
              <w:rPr>
                <w:rFonts w:ascii="Arial" w:cs="Arial" w:eastAsia="Arial" w:hAnsi="Arial"/>
                <w:b/>
                <w:bCs/>
                <w:color w:val="633806"/>
                <w:sz w:val="20"/>
                <w:szCs w:val="20"/>
              </w:rPr>
              <w:t xml:space="preserve">Part 4</w:t>
            </w:r>
          </w:p>
          <w:p>
            <w:pPr>
              <w:spacing w:before="20"/>
              <w:jc w:val="center"/>
            </w:pPr>
            <w:r>
              <w:rPr>
                <w:rFonts w:ascii="Arial" w:cs="Arial" w:eastAsia="Arial" w:hAnsi="Arial"/>
                <w:color w:val="633806"/>
                <w:sz w:val="15"/>
                <w:szCs w:val="15"/>
              </w:rPr>
              <w:t xml:space="preserve">ops</w:t>
            </w:r>
          </w:p>
        </w:tc>
        <w:tc>
          <w:tcPr>
            <w:tcW w:type="dxa" w:w="5800"/>
            <w:tcBorders>
              <w:top w:val="single" w:color="633806" w:sz="6"/>
              <w:left w:val="single" w:color="CCCCCC" w:sz="1"/>
              <w:bottom w:val="single" w:color="633806" w:sz="6"/>
              <w:right w:val="single" w:color="CCCCCC" w:sz="1"/>
            </w:tcBorders>
            <w:shd w:fill="FFFFFF" w:val="clear"/>
            <w:tcMar>
              <w:top w:type="dxa" w:w="120"/>
              <w:left w:type="dxa" w:w="180"/>
              <w:bottom w:type="dxa" w:w="120"/>
              <w:right w:type="dxa" w:w="140"/>
            </w:tcMar>
          </w:tcPr>
          <w:p>
            <w:r>
              <w:rPr>
                <w:rFonts w:ascii="Arial" w:cs="Arial" w:eastAsia="Arial" w:hAnsi="Arial"/>
                <w:b/>
                <w:bCs/>
                <w:color w:val="1F4E79"/>
                <w:sz w:val="24"/>
                <w:szCs w:val="24"/>
              </w:rPr>
              <w:t xml:space="preserve">Observability — making AI systems legible</w:t>
            </w:r>
          </w:p>
        </w:tc>
        <w:tc>
          <w:tcPr>
            <w:tcW w:type="dxa" w:w="1200"/>
            <w:tcBorders>
              <w:top w:val="single" w:color="633806" w:sz="6"/>
              <w:left w:val="single" w:color="CCCCCC" w:sz="1"/>
              <w:bottom w:val="single" w:color="633806" w:sz="6"/>
              <w:right w:val="single" w:color="CCCCCC" w:sz="1"/>
            </w:tcBorders>
            <w:shd w:fill="F2F2F2" w:val="clear"/>
            <w:tcMar>
              <w:top w:type="dxa" w:w="120"/>
              <w:left w:type="dxa" w:w="120"/>
              <w:bottom w:type="dxa" w:w="120"/>
              <w:right w:type="dxa" w:w="120"/>
            </w:tcMar>
          </w:tcPr>
          <w:p>
            <w:pPr>
              <w:jc w:val="center"/>
            </w:pPr>
            <w:r>
              <w:rPr>
                <w:rFonts w:ascii="Arial" w:cs="Arial" w:eastAsia="Arial" w:hAnsi="Arial"/>
                <w:b/>
                <w:bCs/>
                <w:color w:val="2E75B6"/>
                <w:sz w:val="26"/>
                <w:szCs w:val="26"/>
              </w:rPr>
              <w:t xml:space="preserve">10</w:t>
            </w:r>
          </w:p>
          <w:p>
            <w:pPr>
              <w:spacing w:before="20"/>
              <w:jc w:val="center"/>
            </w:pPr>
            <w:r>
              <w:rPr>
                <w:rFonts w:ascii="Arial" w:cs="Arial" w:eastAsia="Arial" w:hAnsi="Arial"/>
                <w:color w:val="404040"/>
                <w:sz w:val="15"/>
                <w:szCs w:val="15"/>
              </w:rPr>
              <w:t xml:space="preserve">chapters</w:t>
            </w:r>
          </w:p>
        </w:tc>
        <w:tc>
          <w:tcPr>
            <w:tcW w:type="dxa" w:w="1200"/>
            <w:tcBorders>
              <w:top w:val="single" w:color="633806" w:sz="6"/>
              <w:left w:val="single" w:color="CCCCCC" w:sz="1"/>
              <w:bottom w:val="single" w:color="633806" w:sz="6"/>
              <w:right w:val="single" w:color="633806" w:sz="6"/>
            </w:tcBorders>
            <w:shd w:fill="F2F2F2" w:val="clear"/>
            <w:tcMar>
              <w:top w:type="dxa" w:w="120"/>
              <w:left w:type="dxa" w:w="120"/>
              <w:bottom w:type="dxa" w:w="120"/>
              <w:right w:type="dxa" w:w="120"/>
            </w:tcMar>
          </w:tcPr>
          <w:p>
            <w:pPr>
              <w:jc w:val="center"/>
            </w:pPr>
            <w:r>
              <w:rPr>
                <w:rFonts w:ascii="Arial" w:cs="Arial" w:eastAsia="Arial" w:hAnsi="Arial"/>
                <w:b/>
                <w:bCs/>
                <w:color w:val="404040"/>
                <w:sz w:val="20"/>
                <w:szCs w:val="20"/>
              </w:rPr>
              <w:t xml:space="preserve">~16 hrs</w:t>
            </w:r>
          </w:p>
          <w:p>
            <w:pPr>
              <w:spacing w:before="20"/>
              <w:jc w:val="center"/>
            </w:pPr>
            <w:r>
              <w:rPr>
                <w:rFonts w:ascii="Arial" w:cs="Arial" w:eastAsia="Arial" w:hAnsi="Arial"/>
                <w:color w:val="404040"/>
                <w:sz w:val="15"/>
                <w:szCs w:val="15"/>
              </w:rPr>
              <w:t xml:space="preserve">est. time</w:t>
            </w:r>
          </w:p>
        </w:tc>
      </w:tr>
    </w:tbl>
    <w:p>
      <w:pPr>
        <w:spacing w:after="60" w:before="60"/>
      </w:pPr>
      <w:r>
        <w:t xml:space="preserve"/>
      </w:r>
    </w:p>
    <w:p>
      <w:pPr>
        <w:spacing w:after="60" w:before="60"/>
      </w:pPr>
      <w:r>
        <w:rPr>
          <w:rFonts w:ascii="Arial" w:cs="Arial" w:eastAsia="Arial" w:hAnsi="Arial"/>
          <w:b w:val="false"/>
          <w:bCs w:val="false"/>
          <w:color w:val="404040"/>
          <w:sz w:val="20"/>
          <w:szCs w:val="20"/>
        </w:rPr>
        <w:t xml:space="preserve">Observability for LLM systems requires more than standard APM. This part covers OpenTelemetry alignment, the full export backend stack, cost tracking, drift detection, and the alert routing system that makes all of it actionable.</w:t>
      </w:r>
    </w:p>
    <w:p>
      <w:pPr>
        <w:spacing w:after="6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800"/>
        <w:gridCol w:w="7700"/>
        <w:gridCol w:w="900"/>
      </w:tblGrid>
      <w:tr>
        <w:tc>
          <w:tcPr>
            <w:tcW w:type="dxa" w:w="8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80"/>
            </w:tcMar>
          </w:tcPr>
          <w:p>
            <w:pPr>
              <w:jc w:val="center"/>
            </w:pPr>
            <w:r>
              <w:rPr>
                <w:rFonts w:ascii="Arial" w:cs="Arial" w:eastAsia="Arial" w:hAnsi="Arial"/>
                <w:b/>
                <w:bCs/>
                <w:color w:val="633806"/>
                <w:sz w:val="17"/>
                <w:szCs w:val="17"/>
              </w:rPr>
              <w:t xml:space="preserve">4.1</w:t>
            </w:r>
          </w:p>
        </w:tc>
        <w:tc>
          <w:tcPr>
            <w:tcW w:type="dxa" w:w="7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000000"/>
                <w:sz w:val="19"/>
                <w:szCs w:val="19"/>
              </w:rPr>
              <w:t xml:space="preserve">OpenTelemetry alignment — OTel Semantic Conventions for GenAI v1.27+</w:t>
            </w:r>
          </w:p>
        </w:tc>
        <w:tc>
          <w:tcPr>
            <w:tcW w:type="dxa" w:w="900"/>
            <w:tcBorders>
              <w:top w:val="single" w:color="CCCCCC" w:sz="1"/>
              <w:left w:val="single" w:color="CCCCCC" w:sz="1"/>
              <w:bottom w:val="single" w:color="CCCCCC" w:sz="1"/>
              <w:right w:val="single" w:color="CCCCCC" w:sz="1"/>
            </w:tcBorders>
            <w:shd w:fill="FAEEDA" w:val="clear"/>
            <w:tcMar>
              <w:top w:type="dxa" w:w="80"/>
              <w:left w:type="dxa" w:w="80"/>
              <w:bottom w:type="dxa" w:w="80"/>
              <w:right w:type="dxa" w:w="80"/>
            </w:tcMar>
          </w:tcPr>
          <w:p>
            <w:pPr>
              <w:jc w:val="center"/>
            </w:pPr>
            <w:r>
              <w:rPr>
                <w:rFonts w:ascii="Arial" w:cs="Arial" w:eastAsia="Arial" w:hAnsi="Arial"/>
                <w:color w:val="633806"/>
                <w:sz w:val="15"/>
                <w:szCs w:val="15"/>
              </w:rPr>
              <w:t xml:space="preserve">ops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bCs/>
                <w:color w:val="633806"/>
                <w:sz w:val="17"/>
                <w:szCs w:val="17"/>
              </w:rPr>
              <w:t xml:space="preserve">4.2</w:t>
            </w:r>
          </w:p>
        </w:tc>
        <w:tc>
          <w:tcPr>
            <w:tcW w:type="dxa" w:w="77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color w:val="000000"/>
                <w:sz w:val="19"/>
                <w:szCs w:val="19"/>
              </w:rPr>
              <w:t xml:space="preserve">W3C TraceContext and Baggage — propagating context across service boundaries</w:t>
            </w:r>
          </w:p>
        </w:tc>
        <w:tc>
          <w:tcPr>
            <w:tcW w:type="dxa" w:w="900"/>
            <w:tcBorders>
              <w:top w:val="single" w:color="CCCCCC" w:sz="1"/>
              <w:left w:val="single" w:color="CCCCCC" w:sz="1"/>
              <w:bottom w:val="single" w:color="CCCCCC" w:sz="1"/>
              <w:right w:val="single" w:color="CCCCCC" w:sz="1"/>
            </w:tcBorders>
            <w:shd w:fill="FAEEDA" w:val="clear"/>
            <w:tcMar>
              <w:top w:type="dxa" w:w="80"/>
              <w:left w:type="dxa" w:w="80"/>
              <w:bottom w:type="dxa" w:w="80"/>
              <w:right w:type="dxa" w:w="80"/>
            </w:tcMar>
          </w:tcPr>
          <w:p>
            <w:pPr>
              <w:jc w:val="center"/>
            </w:pPr>
            <w:r>
              <w:rPr>
                <w:rFonts w:ascii="Arial" w:cs="Arial" w:eastAsia="Arial" w:hAnsi="Arial"/>
                <w:color w:val="633806"/>
                <w:sz w:val="15"/>
                <w:szCs w:val="15"/>
              </w:rPr>
              <w:t xml:space="preserve">ops</w:t>
            </w:r>
          </w:p>
        </w:tc>
      </w:tr>
      <w:tr>
        <w:tc>
          <w:tcPr>
            <w:tcW w:type="dxa" w:w="8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80"/>
            </w:tcMar>
          </w:tcPr>
          <w:p>
            <w:pPr>
              <w:jc w:val="center"/>
            </w:pPr>
            <w:r>
              <w:rPr>
                <w:rFonts w:ascii="Arial" w:cs="Arial" w:eastAsia="Arial" w:hAnsi="Arial"/>
                <w:b/>
                <w:bCs/>
                <w:color w:val="633806"/>
                <w:sz w:val="17"/>
                <w:szCs w:val="17"/>
              </w:rPr>
              <w:t xml:space="preserve">4.3</w:t>
            </w:r>
          </w:p>
        </w:tc>
        <w:tc>
          <w:tcPr>
            <w:tcW w:type="dxa" w:w="7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000000"/>
                <w:sz w:val="19"/>
                <w:szCs w:val="19"/>
              </w:rPr>
              <w:t xml:space="preserve">Export backends — OTLP, Datadog, Grafana Loki, Splunk, Elastic</w:t>
            </w:r>
          </w:p>
        </w:tc>
        <w:tc>
          <w:tcPr>
            <w:tcW w:type="dxa" w:w="900"/>
            <w:tcBorders>
              <w:top w:val="single" w:color="CCCCCC" w:sz="1"/>
              <w:left w:val="single" w:color="CCCCCC" w:sz="1"/>
              <w:bottom w:val="single" w:color="CCCCCC" w:sz="1"/>
              <w:right w:val="single" w:color="CCCCCC" w:sz="1"/>
            </w:tcBorders>
            <w:shd w:fill="FAEEDA" w:val="clear"/>
            <w:tcMar>
              <w:top w:type="dxa" w:w="80"/>
              <w:left w:type="dxa" w:w="80"/>
              <w:bottom w:type="dxa" w:w="80"/>
              <w:right w:type="dxa" w:w="80"/>
            </w:tcMar>
          </w:tcPr>
          <w:p>
            <w:pPr>
              <w:jc w:val="center"/>
            </w:pPr>
            <w:r>
              <w:rPr>
                <w:rFonts w:ascii="Arial" w:cs="Arial" w:eastAsia="Arial" w:hAnsi="Arial"/>
                <w:color w:val="633806"/>
                <w:sz w:val="15"/>
                <w:szCs w:val="15"/>
              </w:rPr>
              <w:t xml:space="preserve">ops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bCs/>
                <w:color w:val="633806"/>
                <w:sz w:val="17"/>
                <w:szCs w:val="17"/>
              </w:rPr>
              <w:t xml:space="preserve">4.4</w:t>
            </w:r>
          </w:p>
        </w:tc>
        <w:tc>
          <w:tcPr>
            <w:tcW w:type="dxa" w:w="77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color w:val="000000"/>
                <w:sz w:val="19"/>
                <w:szCs w:val="19"/>
              </w:rPr>
              <w:t xml:space="preserve">WORM append-only storage — S3 Object Lock, GCS, Azure Immutable Blob</w:t>
            </w:r>
          </w:p>
        </w:tc>
        <w:tc>
          <w:tcPr>
            <w:tcW w:type="dxa" w:w="900"/>
            <w:tcBorders>
              <w:top w:val="single" w:color="CCCCCC" w:sz="1"/>
              <w:left w:val="single" w:color="CCCCCC" w:sz="1"/>
              <w:bottom w:val="single" w:color="CCCCCC" w:sz="1"/>
              <w:right w:val="single" w:color="CCCCCC" w:sz="1"/>
            </w:tcBorders>
            <w:shd w:fill="FAEEDA" w:val="clear"/>
            <w:tcMar>
              <w:top w:type="dxa" w:w="80"/>
              <w:left w:type="dxa" w:w="80"/>
              <w:bottom w:type="dxa" w:w="80"/>
              <w:right w:type="dxa" w:w="80"/>
            </w:tcMar>
          </w:tcPr>
          <w:p>
            <w:pPr>
              <w:jc w:val="center"/>
            </w:pPr>
            <w:r>
              <w:rPr>
                <w:rFonts w:ascii="Arial" w:cs="Arial" w:eastAsia="Arial" w:hAnsi="Arial"/>
                <w:color w:val="633806"/>
                <w:sz w:val="15"/>
                <w:szCs w:val="15"/>
              </w:rPr>
              <w:t xml:space="preserve">ops</w:t>
            </w:r>
          </w:p>
        </w:tc>
      </w:tr>
      <w:tr>
        <w:tc>
          <w:tcPr>
            <w:tcW w:type="dxa" w:w="8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80"/>
            </w:tcMar>
          </w:tcPr>
          <w:p>
            <w:pPr>
              <w:jc w:val="center"/>
            </w:pPr>
            <w:r>
              <w:rPr>
                <w:rFonts w:ascii="Arial" w:cs="Arial" w:eastAsia="Arial" w:hAnsi="Arial"/>
                <w:b/>
                <w:bCs/>
                <w:color w:val="633806"/>
                <w:sz w:val="17"/>
                <w:szCs w:val="17"/>
              </w:rPr>
              <w:t xml:space="preserve">4.5</w:t>
            </w:r>
          </w:p>
        </w:tc>
        <w:tc>
          <w:tcPr>
            <w:tcW w:type="dxa" w:w="7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000000"/>
                <w:sz w:val="19"/>
                <w:szCs w:val="19"/>
              </w:rPr>
              <w:t xml:space="preserve">Cost tracking — per-model pricing, BudgetMonitor, and budget alerts</w:t>
            </w:r>
          </w:p>
        </w:tc>
        <w:tc>
          <w:tcPr>
            <w:tcW w:type="dxa" w:w="900"/>
            <w:tcBorders>
              <w:top w:val="single" w:color="CCCCCC" w:sz="1"/>
              <w:left w:val="single" w:color="CCCCCC" w:sz="1"/>
              <w:bottom w:val="single" w:color="CCCCCC" w:sz="1"/>
              <w:right w:val="single" w:color="CCCCCC" w:sz="1"/>
            </w:tcBorders>
            <w:shd w:fill="FAEEDA" w:val="clear"/>
            <w:tcMar>
              <w:top w:type="dxa" w:w="80"/>
              <w:left w:type="dxa" w:w="80"/>
              <w:bottom w:type="dxa" w:w="80"/>
              <w:right w:type="dxa" w:w="80"/>
            </w:tcMar>
          </w:tcPr>
          <w:p>
            <w:pPr>
              <w:jc w:val="center"/>
            </w:pPr>
            <w:r>
              <w:rPr>
                <w:rFonts w:ascii="Arial" w:cs="Arial" w:eastAsia="Arial" w:hAnsi="Arial"/>
                <w:color w:val="633806"/>
                <w:sz w:val="15"/>
                <w:szCs w:val="15"/>
              </w:rPr>
              <w:t xml:space="preserve">ops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bCs/>
                <w:color w:val="633806"/>
                <w:sz w:val="17"/>
                <w:szCs w:val="17"/>
              </w:rPr>
              <w:t xml:space="preserve">4.6</w:t>
            </w:r>
          </w:p>
        </w:tc>
        <w:tc>
          <w:tcPr>
            <w:tcW w:type="dxa" w:w="77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color w:val="000000"/>
                <w:sz w:val="19"/>
                <w:szCs w:val="19"/>
              </w:rPr>
              <w:t xml:space="preserve">Drift detection — behavioural baselines, distribution stats, and alert thresholds</w:t>
            </w:r>
          </w:p>
        </w:tc>
        <w:tc>
          <w:tcPr>
            <w:tcW w:type="dxa" w:w="900"/>
            <w:tcBorders>
              <w:top w:val="single" w:color="CCCCCC" w:sz="1"/>
              <w:left w:val="single" w:color="CCCCCC" w:sz="1"/>
              <w:bottom w:val="single" w:color="CCCCCC" w:sz="1"/>
              <w:right w:val="single" w:color="CCCCCC" w:sz="1"/>
            </w:tcBorders>
            <w:shd w:fill="FAEEDA" w:val="clear"/>
            <w:tcMar>
              <w:top w:type="dxa" w:w="80"/>
              <w:left w:type="dxa" w:w="80"/>
              <w:bottom w:type="dxa" w:w="80"/>
              <w:right w:type="dxa" w:w="80"/>
            </w:tcMar>
          </w:tcPr>
          <w:p>
            <w:pPr>
              <w:jc w:val="center"/>
            </w:pPr>
            <w:r>
              <w:rPr>
                <w:rFonts w:ascii="Arial" w:cs="Arial" w:eastAsia="Arial" w:hAnsi="Arial"/>
                <w:color w:val="633806"/>
                <w:sz w:val="15"/>
                <w:szCs w:val="15"/>
              </w:rPr>
              <w:t xml:space="preserve">ops</w:t>
            </w:r>
          </w:p>
        </w:tc>
      </w:tr>
      <w:tr>
        <w:tc>
          <w:tcPr>
            <w:tcW w:type="dxa" w:w="8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80"/>
            </w:tcMar>
          </w:tcPr>
          <w:p>
            <w:pPr>
              <w:jc w:val="center"/>
            </w:pPr>
            <w:r>
              <w:rPr>
                <w:rFonts w:ascii="Arial" w:cs="Arial" w:eastAsia="Arial" w:hAnsi="Arial"/>
                <w:b/>
                <w:bCs/>
                <w:color w:val="633806"/>
                <w:sz w:val="17"/>
                <w:szCs w:val="17"/>
              </w:rPr>
              <w:t xml:space="preserve">4.7</w:t>
            </w:r>
          </w:p>
        </w:tc>
        <w:tc>
          <w:tcPr>
            <w:tcW w:type="dxa" w:w="7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000000"/>
                <w:sz w:val="19"/>
                <w:szCs w:val="19"/>
              </w:rPr>
              <w:t xml:space="preserve">Alert routing — topic-based publish, dedup, escalation, and on-call integration</w:t>
            </w:r>
          </w:p>
        </w:tc>
        <w:tc>
          <w:tcPr>
            <w:tcW w:type="dxa" w:w="900"/>
            <w:tcBorders>
              <w:top w:val="single" w:color="CCCCCC" w:sz="1"/>
              <w:left w:val="single" w:color="CCCCCC" w:sz="1"/>
              <w:bottom w:val="single" w:color="CCCCCC" w:sz="1"/>
              <w:right w:val="single" w:color="CCCCCC" w:sz="1"/>
            </w:tcBorders>
            <w:shd w:fill="FAEEDA" w:val="clear"/>
            <w:tcMar>
              <w:top w:type="dxa" w:w="80"/>
              <w:left w:type="dxa" w:w="80"/>
              <w:bottom w:type="dxa" w:w="80"/>
              <w:right w:type="dxa" w:w="80"/>
            </w:tcMar>
          </w:tcPr>
          <w:p>
            <w:pPr>
              <w:jc w:val="center"/>
            </w:pPr>
            <w:r>
              <w:rPr>
                <w:rFonts w:ascii="Arial" w:cs="Arial" w:eastAsia="Arial" w:hAnsi="Arial"/>
                <w:color w:val="633806"/>
                <w:sz w:val="15"/>
                <w:szCs w:val="15"/>
              </w:rPr>
              <w:t xml:space="preserve">ops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bCs/>
                <w:color w:val="633806"/>
                <w:sz w:val="17"/>
                <w:szCs w:val="17"/>
              </w:rPr>
              <w:t xml:space="preserve">4.8</w:t>
            </w:r>
          </w:p>
        </w:tc>
        <w:tc>
          <w:tcPr>
            <w:tcW w:type="dxa" w:w="77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color w:val="000000"/>
                <w:sz w:val="19"/>
                <w:szCs w:val="19"/>
              </w:rPr>
              <w:t xml:space="preserve">Metrics extraction — latency percentiles, p95, and aggregation from traces</w:t>
            </w:r>
          </w:p>
        </w:tc>
        <w:tc>
          <w:tcPr>
            <w:tcW w:type="dxa" w:w="900"/>
            <w:tcBorders>
              <w:top w:val="single" w:color="CCCCCC" w:sz="1"/>
              <w:left w:val="single" w:color="CCCCCC" w:sz="1"/>
              <w:bottom w:val="single" w:color="CCCCCC" w:sz="1"/>
              <w:right w:val="single" w:color="CCCCCC" w:sz="1"/>
            </w:tcBorders>
            <w:shd w:fill="FAEEDA" w:val="clear"/>
            <w:tcMar>
              <w:top w:type="dxa" w:w="80"/>
              <w:left w:type="dxa" w:w="80"/>
              <w:bottom w:type="dxa" w:w="80"/>
              <w:right w:type="dxa" w:w="80"/>
            </w:tcMar>
          </w:tcPr>
          <w:p>
            <w:pPr>
              <w:jc w:val="center"/>
            </w:pPr>
            <w:r>
              <w:rPr>
                <w:rFonts w:ascii="Arial" w:cs="Arial" w:eastAsia="Arial" w:hAnsi="Arial"/>
                <w:color w:val="633806"/>
                <w:sz w:val="15"/>
                <w:szCs w:val="15"/>
              </w:rPr>
              <w:t xml:space="preserve">ops</w:t>
            </w:r>
          </w:p>
        </w:tc>
      </w:tr>
      <w:tr>
        <w:tc>
          <w:tcPr>
            <w:tcW w:type="dxa" w:w="8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80"/>
            </w:tcMar>
          </w:tcPr>
          <w:p>
            <w:pPr>
              <w:jc w:val="center"/>
            </w:pPr>
            <w:r>
              <w:rPr>
                <w:rFonts w:ascii="Arial" w:cs="Arial" w:eastAsia="Arial" w:hAnsi="Arial"/>
                <w:b/>
                <w:bCs/>
                <w:color w:val="633806"/>
                <w:sz w:val="17"/>
                <w:szCs w:val="17"/>
              </w:rPr>
              <w:t xml:space="preserve">4.9</w:t>
            </w:r>
          </w:p>
        </w:tc>
        <w:tc>
          <w:tcPr>
            <w:tcW w:type="dxa" w:w="7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000000"/>
                <w:sz w:val="19"/>
                <w:szCs w:val="19"/>
              </w:rPr>
              <w:t xml:space="preserve">The span processor pipeline — enrichment, redaction, and custom processors</w:t>
            </w:r>
          </w:p>
        </w:tc>
        <w:tc>
          <w:tcPr>
            <w:tcW w:type="dxa" w:w="900"/>
            <w:tcBorders>
              <w:top w:val="single" w:color="CCCCCC" w:sz="1"/>
              <w:left w:val="single" w:color="CCCCCC" w:sz="1"/>
              <w:bottom w:val="single" w:color="CCCCCC" w:sz="1"/>
              <w:right w:val="single" w:color="CCCCCC" w:sz="1"/>
            </w:tcBorders>
            <w:shd w:fill="FAEEDA" w:val="clear"/>
            <w:tcMar>
              <w:top w:type="dxa" w:w="80"/>
              <w:left w:type="dxa" w:w="80"/>
              <w:bottom w:type="dxa" w:w="80"/>
              <w:right w:type="dxa" w:w="80"/>
            </w:tcMar>
          </w:tcPr>
          <w:p>
            <w:pPr>
              <w:jc w:val="center"/>
            </w:pPr>
            <w:r>
              <w:rPr>
                <w:rFonts w:ascii="Arial" w:cs="Arial" w:eastAsia="Arial" w:hAnsi="Arial"/>
                <w:color w:val="633806"/>
                <w:sz w:val="15"/>
                <w:szCs w:val="15"/>
              </w:rPr>
              <w:t xml:space="preserve">ops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bCs/>
                <w:color w:val="633806"/>
                <w:sz w:val="17"/>
                <w:szCs w:val="17"/>
              </w:rPr>
              <w:t xml:space="preserve">4.10</w:t>
            </w:r>
          </w:p>
        </w:tc>
        <w:tc>
          <w:tcPr>
            <w:tcW w:type="dxa" w:w="77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color w:val="000000"/>
                <w:sz w:val="19"/>
                <w:szCs w:val="19"/>
              </w:rPr>
              <w:t xml:space="preserve">Debug tooling — print_tree, visualize(), Gantt timelines, and the trace store</w:t>
            </w:r>
          </w:p>
        </w:tc>
        <w:tc>
          <w:tcPr>
            <w:tcW w:type="dxa" w:w="900"/>
            <w:tcBorders>
              <w:top w:val="single" w:color="CCCCCC" w:sz="1"/>
              <w:left w:val="single" w:color="CCCCCC" w:sz="1"/>
              <w:bottom w:val="single" w:color="CCCCCC" w:sz="1"/>
              <w:right w:val="single" w:color="CCCCCC" w:sz="1"/>
            </w:tcBorders>
            <w:shd w:fill="FAEEDA" w:val="clear"/>
            <w:tcMar>
              <w:top w:type="dxa" w:w="80"/>
              <w:left w:type="dxa" w:w="80"/>
              <w:bottom w:type="dxa" w:w="80"/>
              <w:right w:type="dxa" w:w="80"/>
            </w:tcMar>
          </w:tcPr>
          <w:p>
            <w:pPr>
              <w:jc w:val="center"/>
            </w:pPr>
            <w:r>
              <w:rPr>
                <w:rFonts w:ascii="Arial" w:cs="Arial" w:eastAsia="Arial" w:hAnsi="Arial"/>
                <w:color w:val="633806"/>
                <w:sz w:val="15"/>
                <w:szCs w:val="15"/>
              </w:rPr>
              <w:t xml:space="preserve">ops</w:t>
            </w:r>
          </w:p>
        </w:tc>
      </w:tr>
    </w:tbl>
    <w:p>
      <w:pPr>
        <w:spacing w:after="60" w:before="60"/>
      </w:pPr>
      <w:r>
        <w:t xml:space="preserve"/>
      </w:r>
    </w:p>
    <w:p>
      <w:pPr>
        <w:pStyle w:val="Heading2"/>
        <w:spacing w:after="80" w:before="200"/>
      </w:pPr>
      <w:r>
        <w:rPr>
          <w:rFonts w:ascii="Arial" w:cs="Arial" w:eastAsia="Arial" w:hAnsi="Arial"/>
          <w:b/>
          <w:bCs/>
          <w:color w:val="2E75B6"/>
          <w:sz w:val="24"/>
          <w:szCs w:val="24"/>
        </w:rPr>
        <w:t xml:space="preserve">Chapter details</w:t>
      </w:r>
    </w:p>
    <w:p>
      <w:pPr>
        <w:shd w:fill="FAEEDA" w:val="clear"/>
        <w:spacing w:after="0" w:before="120"/>
        <w:ind w:left="0"/>
      </w:pPr>
      <w:r>
        <w:rPr>
          <w:rFonts w:ascii="Arial" w:cs="Arial" w:eastAsia="Arial" w:hAnsi="Arial"/>
          <w:b/>
          <w:bCs/>
          <w:color w:val="633806"/>
          <w:sz w:val="20"/>
          <w:szCs w:val="20"/>
        </w:rPr>
        <w:t xml:space="preserve">  4.1  </w:t>
      </w:r>
      <w:r>
        <w:rPr>
          <w:rFonts w:ascii="Arial" w:cs="Arial" w:eastAsia="Arial" w:hAnsi="Arial"/>
          <w:b/>
          <w:bCs/>
          <w:color w:val="633806"/>
          <w:sz w:val="20"/>
          <w:szCs w:val="20"/>
        </w:rPr>
        <w:t xml:space="preserve">OpenTelemetry alignment — OTel Semantic Conventions for GenAI v1.27+</w:t>
      </w:r>
    </w:p>
    <w:p>
      <w:pPr>
        <w:pStyle w:val="ListParagraph"/>
        <w:numPr>
          <w:ilvl w:val="0"/>
          <w:numId w:val="2"/>
        </w:numPr>
        <w:spacing w:after="30" w:before="30"/>
      </w:pPr>
      <w:r>
        <w:rPr>
          <w:rFonts w:ascii="Arial" w:cs="Arial" w:eastAsia="Arial" w:hAnsi="Arial"/>
          <w:color w:val="000000"/>
          <w:sz w:val="19"/>
          <w:szCs w:val="19"/>
        </w:rPr>
        <w:t xml:space="preserve">gen_ai.system, gen_ai.request.model, gen_ai.usage.input_tokens — the correct attribute names</w:t>
      </w:r>
    </w:p>
    <w:p>
      <w:pPr>
        <w:pStyle w:val="ListParagraph"/>
        <w:numPr>
          <w:ilvl w:val="0"/>
          <w:numId w:val="2"/>
        </w:numPr>
        <w:spacing w:after="30" w:before="30"/>
      </w:pPr>
      <w:r>
        <w:rPr>
          <w:rFonts w:ascii="Arial" w:cs="Arial" w:eastAsia="Arial" w:hAnsi="Arial"/>
          <w:color w:val="000000"/>
          <w:sz w:val="19"/>
          <w:szCs w:val="19"/>
        </w:rPr>
        <w:t xml:space="preserve">Why OTel-first matters: vendor portability and the cost of proprietary span formats</w:t>
      </w:r>
    </w:p>
    <w:p>
      <w:pPr>
        <w:pStyle w:val="ListParagraph"/>
        <w:numPr>
          <w:ilvl w:val="0"/>
          <w:numId w:val="2"/>
        </w:numPr>
        <w:spacing w:after="30" w:before="30"/>
      </w:pPr>
      <w:r>
        <w:rPr>
          <w:rFonts w:ascii="Arial" w:cs="Arial" w:eastAsia="Arial" w:hAnsi="Arial"/>
          <w:color w:val="000000"/>
          <w:sz w:val="19"/>
          <w:szCs w:val="19"/>
        </w:rPr>
        <w:t xml:space="preserve">Migrating non-conforming span attributes to OTel Semantic Conventions</w:t>
      </w:r>
    </w:p>
    <w:p>
      <w:pPr>
        <w:spacing w:after="60" w:before="60"/>
      </w:pPr>
      <w:r>
        <w:t xml:space="preserve"/>
      </w:r>
    </w:p>
    <w:p>
      <w:pPr>
        <w:shd w:fill="FAEEDA" w:val="clear"/>
        <w:spacing w:after="0" w:before="120"/>
        <w:ind w:left="0"/>
      </w:pPr>
      <w:r>
        <w:rPr>
          <w:rFonts w:ascii="Arial" w:cs="Arial" w:eastAsia="Arial" w:hAnsi="Arial"/>
          <w:b/>
          <w:bCs/>
          <w:color w:val="633806"/>
          <w:sz w:val="20"/>
          <w:szCs w:val="20"/>
        </w:rPr>
        <w:t xml:space="preserve">  4.2  </w:t>
      </w:r>
      <w:r>
        <w:rPr>
          <w:rFonts w:ascii="Arial" w:cs="Arial" w:eastAsia="Arial" w:hAnsi="Arial"/>
          <w:b/>
          <w:bCs/>
          <w:color w:val="633806"/>
          <w:sz w:val="20"/>
          <w:szCs w:val="20"/>
        </w:rPr>
        <w:t xml:space="preserve">W3C TraceContext and Baggage — propagating context across service boundaries</w:t>
      </w:r>
    </w:p>
    <w:p>
      <w:pPr>
        <w:pStyle w:val="ListParagraph"/>
        <w:numPr>
          <w:ilvl w:val="0"/>
          <w:numId w:val="2"/>
        </w:numPr>
        <w:spacing w:after="30" w:before="30"/>
      </w:pPr>
      <w:r>
        <w:rPr>
          <w:rFonts w:ascii="Arial" w:cs="Arial" w:eastAsia="Arial" w:hAnsi="Arial"/>
          <w:color w:val="000000"/>
          <w:sz w:val="19"/>
          <w:szCs w:val="19"/>
        </w:rPr>
        <w:t xml:space="preserve">traceparent and tracestate headers — format, parsing, and propagation</w:t>
      </w:r>
    </w:p>
    <w:p>
      <w:pPr>
        <w:pStyle w:val="ListParagraph"/>
        <w:numPr>
          <w:ilvl w:val="0"/>
          <w:numId w:val="2"/>
        </w:numPr>
        <w:spacing w:after="30" w:before="30"/>
      </w:pPr>
      <w:r>
        <w:rPr>
          <w:rFonts w:ascii="Arial" w:cs="Arial" w:eastAsia="Arial" w:hAnsi="Arial"/>
          <w:color w:val="000000"/>
          <w:sz w:val="19"/>
          <w:szCs w:val="19"/>
        </w:rPr>
        <w:t xml:space="preserve">W3C Baggage for cross-cutting context: project_id, domain, tier</w:t>
      </w:r>
    </w:p>
    <w:p>
      <w:pPr>
        <w:pStyle w:val="ListParagraph"/>
        <w:numPr>
          <w:ilvl w:val="0"/>
          <w:numId w:val="2"/>
        </w:numPr>
        <w:spacing w:after="30" w:before="30"/>
      </w:pPr>
      <w:r>
        <w:rPr>
          <w:rFonts w:ascii="Arial" w:cs="Arial" w:eastAsia="Arial" w:hAnsi="Arial"/>
          <w:color w:val="000000"/>
          <w:sz w:val="19"/>
          <w:szCs w:val="19"/>
        </w:rPr>
        <w:t xml:space="preserve">How context propagation links SpanForge spans to downstream service calls</w:t>
      </w:r>
    </w:p>
    <w:p>
      <w:pPr>
        <w:spacing w:after="60" w:before="60"/>
      </w:pPr>
      <w:r>
        <w:t xml:space="preserve"/>
      </w:r>
    </w:p>
    <w:p>
      <w:pPr>
        <w:shd w:fill="FAEEDA" w:val="clear"/>
        <w:spacing w:after="0" w:before="120"/>
        <w:ind w:left="0"/>
      </w:pPr>
      <w:r>
        <w:rPr>
          <w:rFonts w:ascii="Arial" w:cs="Arial" w:eastAsia="Arial" w:hAnsi="Arial"/>
          <w:b/>
          <w:bCs/>
          <w:color w:val="633806"/>
          <w:sz w:val="20"/>
          <w:szCs w:val="20"/>
        </w:rPr>
        <w:t xml:space="preserve">  4.3  </w:t>
      </w:r>
      <w:r>
        <w:rPr>
          <w:rFonts w:ascii="Arial" w:cs="Arial" w:eastAsia="Arial" w:hAnsi="Arial"/>
          <w:b/>
          <w:bCs/>
          <w:color w:val="633806"/>
          <w:sz w:val="20"/>
          <w:szCs w:val="20"/>
        </w:rPr>
        <w:t xml:space="preserve">Export backends — OTLP, Datadog, Grafana Loki, Splunk, Elastic</w:t>
      </w:r>
    </w:p>
    <w:p>
      <w:pPr>
        <w:pStyle w:val="ListParagraph"/>
        <w:numPr>
          <w:ilvl w:val="0"/>
          <w:numId w:val="2"/>
        </w:numPr>
        <w:spacing w:after="30" w:before="30"/>
      </w:pPr>
      <w:r>
        <w:rPr>
          <w:rFonts w:ascii="Arial" w:cs="Arial" w:eastAsia="Arial" w:hAnsi="Arial"/>
          <w:color w:val="000000"/>
          <w:sz w:val="19"/>
          <w:szCs w:val="19"/>
        </w:rPr>
        <w:t xml:space="preserve">OTLP dual routing — events with trace_id → spans, events without → log records</w:t>
      </w:r>
    </w:p>
    <w:p>
      <w:pPr>
        <w:pStyle w:val="ListParagraph"/>
        <w:numPr>
          <w:ilvl w:val="0"/>
          <w:numId w:val="2"/>
        </w:numPr>
        <w:spacing w:after="30" w:before="30"/>
      </w:pPr>
      <w:r>
        <w:rPr>
          <w:rFonts w:ascii="Arial" w:cs="Arial" w:eastAsia="Arial" w:hAnsi="Arial"/>
          <w:color w:val="000000"/>
          <w:sz w:val="19"/>
          <w:szCs w:val="19"/>
        </w:rPr>
        <w:t xml:space="preserve">Datadog, Grafana Loki, Splunk HEC, Elastic ECS — format translation patterns</w:t>
      </w:r>
    </w:p>
    <w:p>
      <w:pPr>
        <w:pStyle w:val="ListParagraph"/>
        <w:numPr>
          <w:ilvl w:val="0"/>
          <w:numId w:val="2"/>
        </w:numPr>
        <w:spacing w:after="30" w:before="30"/>
      </w:pPr>
      <w:r>
        <w:rPr>
          <w:rFonts w:ascii="Arial" w:cs="Arial" w:eastAsia="Arial" w:hAnsi="Arial"/>
          <w:color w:val="000000"/>
          <w:sz w:val="19"/>
          <w:szCs w:val="19"/>
        </w:rPr>
        <w:t xml:space="preserve">Per-exporter circuit breakers — a failed Datadog sink does not block OTLP export</w:t>
      </w:r>
    </w:p>
    <w:p>
      <w:pPr>
        <w:spacing w:after="60" w:before="60"/>
      </w:pPr>
      <w:r>
        <w:t xml:space="preserve"/>
      </w:r>
    </w:p>
    <w:p>
      <w:pPr>
        <w:shd w:fill="FAEEDA" w:val="clear"/>
        <w:spacing w:after="0" w:before="120"/>
        <w:ind w:left="0"/>
      </w:pPr>
      <w:r>
        <w:rPr>
          <w:rFonts w:ascii="Arial" w:cs="Arial" w:eastAsia="Arial" w:hAnsi="Arial"/>
          <w:b/>
          <w:bCs/>
          <w:color w:val="633806"/>
          <w:sz w:val="20"/>
          <w:szCs w:val="20"/>
        </w:rPr>
        <w:t xml:space="preserve">  4.4  </w:t>
      </w:r>
      <w:r>
        <w:rPr>
          <w:rFonts w:ascii="Arial" w:cs="Arial" w:eastAsia="Arial" w:hAnsi="Arial"/>
          <w:b/>
          <w:bCs/>
          <w:color w:val="633806"/>
          <w:sz w:val="20"/>
          <w:szCs w:val="20"/>
        </w:rPr>
        <w:t xml:space="preserve">WORM append-only storage — S3 Object Lock, GCS, Azure Immutable Blob</w:t>
      </w:r>
    </w:p>
    <w:p>
      <w:pPr>
        <w:pStyle w:val="ListParagraph"/>
        <w:numPr>
          <w:ilvl w:val="0"/>
          <w:numId w:val="2"/>
        </w:numPr>
        <w:spacing w:after="30" w:before="30"/>
      </w:pPr>
      <w:r>
        <w:rPr>
          <w:rFonts w:ascii="Arial" w:cs="Arial" w:eastAsia="Arial" w:hAnsi="Arial"/>
          <w:color w:val="000000"/>
          <w:sz w:val="19"/>
          <w:szCs w:val="19"/>
        </w:rPr>
        <w:t xml:space="preserve">fsync after every write, O_APPEND semantics, threading.Lock — why all three are needed</w:t>
      </w:r>
    </w:p>
    <w:p>
      <w:pPr>
        <w:pStyle w:val="ListParagraph"/>
        <w:numPr>
          <w:ilvl w:val="0"/>
          <w:numId w:val="2"/>
        </w:numPr>
        <w:spacing w:after="30" w:before="30"/>
      </w:pPr>
      <w:r>
        <w:rPr>
          <w:rFonts w:ascii="Arial" w:cs="Arial" w:eastAsia="Arial" w:hAnsi="Arial"/>
          <w:color w:val="000000"/>
          <w:sz w:val="19"/>
          <w:szCs w:val="19"/>
        </w:rPr>
        <w:t xml:space="preserve">Automatic rotation with CHAIN_ROTATED audit events at rotation boundaries</w:t>
      </w:r>
    </w:p>
    <w:p>
      <w:pPr>
        <w:pStyle w:val="ListParagraph"/>
        <w:numPr>
          <w:ilvl w:val="0"/>
          <w:numId w:val="2"/>
        </w:numPr>
        <w:spacing w:after="30" w:before="30"/>
      </w:pPr>
      <w:r>
        <w:rPr>
          <w:rFonts w:ascii="Arial" w:cs="Arial" w:eastAsia="Arial" w:hAnsi="Arial"/>
          <w:color w:val="000000"/>
          <w:sz w:val="19"/>
          <w:szCs w:val="19"/>
        </w:rPr>
        <w:t xml:space="preserve">S3 COMPLIANCE mode Object Lock vs. GOVERNANCE mode — when each is required</w:t>
      </w:r>
    </w:p>
    <w:p>
      <w:pPr>
        <w:spacing w:after="60" w:before="60"/>
      </w:pPr>
      <w:r>
        <w:t xml:space="preserve"/>
      </w:r>
    </w:p>
    <w:p>
      <w:pPr>
        <w:shd w:fill="FAEEDA" w:val="clear"/>
        <w:spacing w:after="0" w:before="120"/>
        <w:ind w:left="0"/>
      </w:pPr>
      <w:r>
        <w:rPr>
          <w:rFonts w:ascii="Arial" w:cs="Arial" w:eastAsia="Arial" w:hAnsi="Arial"/>
          <w:b/>
          <w:bCs/>
          <w:color w:val="633806"/>
          <w:sz w:val="20"/>
          <w:szCs w:val="20"/>
        </w:rPr>
        <w:t xml:space="preserve">  4.5  </w:t>
      </w:r>
      <w:r>
        <w:rPr>
          <w:rFonts w:ascii="Arial" w:cs="Arial" w:eastAsia="Arial" w:hAnsi="Arial"/>
          <w:b/>
          <w:bCs/>
          <w:color w:val="633806"/>
          <w:sz w:val="20"/>
          <w:szCs w:val="20"/>
        </w:rPr>
        <w:t xml:space="preserve">Cost tracking — per-model pricing, BudgetMonitor, and budget alerts</w:t>
      </w:r>
    </w:p>
    <w:p>
      <w:pPr>
        <w:pStyle w:val="ListParagraph"/>
        <w:numPr>
          <w:ilvl w:val="0"/>
          <w:numId w:val="2"/>
        </w:numPr>
        <w:spacing w:after="30" w:before="30"/>
      </w:pPr>
      <w:r>
        <w:rPr>
          <w:rFonts w:ascii="Arial" w:cs="Arial" w:eastAsia="Arial" w:hAnsi="Arial"/>
          <w:color w:val="000000"/>
          <w:sz w:val="19"/>
          <w:szCs w:val="19"/>
        </w:rPr>
        <w:t xml:space="preserve">The _pricing.py table — how per-model token costs are maintained</w:t>
      </w:r>
    </w:p>
    <w:p>
      <w:pPr>
        <w:pStyle w:val="ListParagraph"/>
        <w:numPr>
          <w:ilvl w:val="0"/>
          <w:numId w:val="2"/>
        </w:numPr>
        <w:spacing w:after="30" w:before="30"/>
      </w:pPr>
      <w:r>
        <w:rPr>
          <w:rFonts w:ascii="Arial" w:cs="Arial" w:eastAsia="Arial" w:hAnsi="Arial"/>
          <w:color w:val="000000"/>
          <w:sz w:val="19"/>
          <w:szCs w:val="19"/>
        </w:rPr>
        <w:t xml:space="preserve">CostTracker: breakdown_by_model(), total_usd(), call_count() aggregates</w:t>
      </w:r>
    </w:p>
    <w:p>
      <w:pPr>
        <w:pStyle w:val="ListParagraph"/>
        <w:numPr>
          <w:ilvl w:val="0"/>
          <w:numId w:val="2"/>
        </w:numPr>
        <w:spacing w:after="30" w:before="30"/>
      </w:pPr>
      <w:r>
        <w:rPr>
          <w:rFonts w:ascii="Arial" w:cs="Arial" w:eastAsia="Arial" w:hAnsi="Arial"/>
          <w:color w:val="000000"/>
          <w:sz w:val="19"/>
          <w:szCs w:val="19"/>
        </w:rPr>
        <w:t xml:space="preserve">BudgetMonitor: threshold callbacks and the budget_alert() convenience factory</w:t>
      </w:r>
    </w:p>
    <w:p>
      <w:pPr>
        <w:spacing w:after="60" w:before="60"/>
      </w:pPr>
      <w:r>
        <w:t xml:space="preserve"/>
      </w:r>
    </w:p>
    <w:p>
      <w:pPr>
        <w:shd w:fill="FAEEDA" w:val="clear"/>
        <w:spacing w:after="0" w:before="120"/>
        <w:ind w:left="0"/>
      </w:pPr>
      <w:r>
        <w:rPr>
          <w:rFonts w:ascii="Arial" w:cs="Arial" w:eastAsia="Arial" w:hAnsi="Arial"/>
          <w:b/>
          <w:bCs/>
          <w:color w:val="633806"/>
          <w:sz w:val="20"/>
          <w:szCs w:val="20"/>
        </w:rPr>
        <w:t xml:space="preserve">  4.6  </w:t>
      </w:r>
      <w:r>
        <w:rPr>
          <w:rFonts w:ascii="Arial" w:cs="Arial" w:eastAsia="Arial" w:hAnsi="Arial"/>
          <w:b/>
          <w:bCs/>
          <w:color w:val="633806"/>
          <w:sz w:val="20"/>
          <w:szCs w:val="20"/>
        </w:rPr>
        <w:t xml:space="preserve">Drift detection — behavioural baselines, distribution stats, and alert thresholds</w:t>
      </w:r>
    </w:p>
    <w:p>
      <w:pPr>
        <w:pStyle w:val="ListParagraph"/>
        <w:numPr>
          <w:ilvl w:val="0"/>
          <w:numId w:val="2"/>
        </w:numPr>
        <w:spacing w:after="30" w:before="30"/>
      </w:pPr>
      <w:r>
        <w:rPr>
          <w:rFonts w:ascii="Arial" w:cs="Arial" w:eastAsia="Arial" w:hAnsi="Arial"/>
          <w:color w:val="000000"/>
          <w:sz w:val="19"/>
          <w:szCs w:val="19"/>
        </w:rPr>
        <w:t xml:space="preserve">BehaviouralBaseline construction from LLM span events via from_events()</w:t>
      </w:r>
    </w:p>
    <w:p>
      <w:pPr>
        <w:pStyle w:val="ListParagraph"/>
        <w:numPr>
          <w:ilvl w:val="0"/>
          <w:numId w:val="2"/>
        </w:numPr>
        <w:spacing w:after="30" w:before="30"/>
      </w:pPr>
      <w:r>
        <w:rPr>
          <w:rFonts w:ascii="Arial" w:cs="Arial" w:eastAsia="Arial" w:hAnsi="Arial"/>
          <w:color w:val="000000"/>
          <w:sz w:val="19"/>
          <w:szCs w:val="19"/>
        </w:rPr>
        <w:t xml:space="preserve">DistributionStats: mean, stddev, p95, p99 — lightweight without NumPy</w:t>
      </w:r>
    </w:p>
    <w:p>
      <w:pPr>
        <w:pStyle w:val="ListParagraph"/>
        <w:numPr>
          <w:ilvl w:val="0"/>
          <w:numId w:val="2"/>
        </w:numPr>
        <w:spacing w:after="30" w:before="30"/>
      </w:pPr>
      <w:r>
        <w:rPr>
          <w:rFonts w:ascii="Arial" w:cs="Arial" w:eastAsia="Arial" w:hAnsi="Arial"/>
          <w:color w:val="000000"/>
          <w:sz w:val="19"/>
          <w:szCs w:val="19"/>
        </w:rPr>
        <w:t xml:space="preserve">AMBER and RED drift thresholds — configuring per-metric sensitivity</w:t>
      </w:r>
    </w:p>
    <w:p>
      <w:pPr>
        <w:spacing w:after="60" w:before="60"/>
      </w:pPr>
      <w:r>
        <w:t xml:space="preserve"/>
      </w:r>
    </w:p>
    <w:p>
      <w:pPr>
        <w:shd w:fill="FAEEDA" w:val="clear"/>
        <w:spacing w:after="0" w:before="120"/>
        <w:ind w:left="0"/>
      </w:pPr>
      <w:r>
        <w:rPr>
          <w:rFonts w:ascii="Arial" w:cs="Arial" w:eastAsia="Arial" w:hAnsi="Arial"/>
          <w:b/>
          <w:bCs/>
          <w:color w:val="633806"/>
          <w:sz w:val="20"/>
          <w:szCs w:val="20"/>
        </w:rPr>
        <w:t xml:space="preserve">  4.7  </w:t>
      </w:r>
      <w:r>
        <w:rPr>
          <w:rFonts w:ascii="Arial" w:cs="Arial" w:eastAsia="Arial" w:hAnsi="Arial"/>
          <w:b/>
          <w:bCs/>
          <w:color w:val="633806"/>
          <w:sz w:val="20"/>
          <w:szCs w:val="20"/>
        </w:rPr>
        <w:t xml:space="preserve">Alert routing — topic-based publish, dedup, escalation, and on-call integration</w:t>
      </w:r>
    </w:p>
    <w:p>
      <w:pPr>
        <w:pStyle w:val="ListParagraph"/>
        <w:numPr>
          <w:ilvl w:val="0"/>
          <w:numId w:val="2"/>
        </w:numPr>
        <w:spacing w:after="30" w:before="30"/>
      </w:pPr>
      <w:r>
        <w:rPr>
          <w:rFonts w:ascii="Arial" w:cs="Arial" w:eastAsia="Arial" w:hAnsi="Arial"/>
          <w:color w:val="000000"/>
          <w:sz w:val="19"/>
          <w:szCs w:val="19"/>
        </w:rPr>
        <w:t xml:space="preserve">Topic-based routing vs. direct sink calls — why the indirection matters</w:t>
      </w:r>
    </w:p>
    <w:p>
      <w:pPr>
        <w:pStyle w:val="ListParagraph"/>
        <w:numPr>
          <w:ilvl w:val="0"/>
          <w:numId w:val="2"/>
        </w:numPr>
        <w:spacing w:after="30" w:before="30"/>
      </w:pPr>
      <w:r>
        <w:rPr>
          <w:rFonts w:ascii="Arial" w:cs="Arial" w:eastAsia="Arial" w:hAnsi="Arial"/>
          <w:color w:val="000000"/>
          <w:sz w:val="19"/>
          <w:szCs w:val="19"/>
        </w:rPr>
        <w:t xml:space="preserve">5-minute dedup window — same (topic, project_id) pair within 5 min is suppressed</w:t>
      </w:r>
    </w:p>
    <w:p>
      <w:pPr>
        <w:pStyle w:val="ListParagraph"/>
        <w:numPr>
          <w:ilvl w:val="0"/>
          <w:numId w:val="2"/>
        </w:numPr>
        <w:spacing w:after="30" w:before="30"/>
      </w:pPr>
      <w:r>
        <w:rPr>
          <w:rFonts w:ascii="Arial" w:cs="Arial" w:eastAsia="Arial" w:hAnsi="Arial"/>
          <w:color w:val="000000"/>
          <w:sz w:val="19"/>
          <w:szCs w:val="19"/>
        </w:rPr>
        <w:t xml:space="preserve">CRITICAL escalation policy — 15-minute acknowledgement window before auto-escalation</w:t>
      </w:r>
    </w:p>
    <w:p>
      <w:pPr>
        <w:spacing w:after="60" w:before="60"/>
      </w:pPr>
      <w:r>
        <w:t xml:space="preserve"/>
      </w:r>
    </w:p>
    <w:p>
      <w:pPr>
        <w:shd w:fill="FAEEDA" w:val="clear"/>
        <w:spacing w:after="0" w:before="120"/>
        <w:ind w:left="0"/>
      </w:pPr>
      <w:r>
        <w:rPr>
          <w:rFonts w:ascii="Arial" w:cs="Arial" w:eastAsia="Arial" w:hAnsi="Arial"/>
          <w:b/>
          <w:bCs/>
          <w:color w:val="633806"/>
          <w:sz w:val="20"/>
          <w:szCs w:val="20"/>
        </w:rPr>
        <w:t xml:space="preserve">  4.8  </w:t>
      </w:r>
      <w:r>
        <w:rPr>
          <w:rFonts w:ascii="Arial" w:cs="Arial" w:eastAsia="Arial" w:hAnsi="Arial"/>
          <w:b/>
          <w:bCs/>
          <w:color w:val="633806"/>
          <w:sz w:val="20"/>
          <w:szCs w:val="20"/>
        </w:rPr>
        <w:t xml:space="preserve">Metrics extraction — latency percentiles, p95, and aggregation from traces</w:t>
      </w:r>
    </w:p>
    <w:p>
      <w:pPr>
        <w:pStyle w:val="ListParagraph"/>
        <w:numPr>
          <w:ilvl w:val="0"/>
          <w:numId w:val="2"/>
        </w:numPr>
        <w:spacing w:after="30" w:before="30"/>
      </w:pPr>
      <w:r>
        <w:rPr>
          <w:rFonts w:ascii="Arial" w:cs="Arial" w:eastAsia="Arial" w:hAnsi="Arial"/>
          <w:color w:val="000000"/>
          <w:sz w:val="19"/>
          <w:szCs w:val="19"/>
        </w:rPr>
        <w:t xml:space="preserve">percentile() and latency_summary() — pure stdlib stats without NumPy</w:t>
      </w:r>
    </w:p>
    <w:p>
      <w:pPr>
        <w:pStyle w:val="ListParagraph"/>
        <w:numPr>
          <w:ilvl w:val="0"/>
          <w:numId w:val="2"/>
        </w:numPr>
        <w:spacing w:after="30" w:before="30"/>
      </w:pPr>
      <w:r>
        <w:rPr>
          <w:rFonts w:ascii="Arial" w:cs="Arial" w:eastAsia="Arial" w:hAnsi="Arial"/>
          <w:color w:val="000000"/>
          <w:sz w:val="19"/>
          <w:szCs w:val="19"/>
        </w:rPr>
        <w:t xml:space="preserve">MetricsSummary aggregation from any Iterable[Event]</w:t>
      </w:r>
    </w:p>
    <w:p>
      <w:pPr>
        <w:pStyle w:val="ListParagraph"/>
        <w:numPr>
          <w:ilvl w:val="0"/>
          <w:numId w:val="2"/>
        </w:numPr>
        <w:spacing w:after="30" w:before="30"/>
      </w:pPr>
      <w:r>
        <w:rPr>
          <w:rFonts w:ascii="Arial" w:cs="Arial" w:eastAsia="Arial" w:hAnsi="Arial"/>
          <w:color w:val="000000"/>
          <w:sz w:val="19"/>
          <w:szCs w:val="19"/>
        </w:rPr>
        <w:t xml:space="preserve">Prometheus metrics exposition format for Grafana/Prometheus integration</w:t>
      </w:r>
    </w:p>
    <w:p>
      <w:pPr>
        <w:spacing w:after="60" w:before="60"/>
      </w:pPr>
      <w:r>
        <w:t xml:space="preserve"/>
      </w:r>
    </w:p>
    <w:p>
      <w:pPr>
        <w:shd w:fill="FAEEDA" w:val="clear"/>
        <w:spacing w:after="0" w:before="120"/>
        <w:ind w:left="0"/>
      </w:pPr>
      <w:r>
        <w:rPr>
          <w:rFonts w:ascii="Arial" w:cs="Arial" w:eastAsia="Arial" w:hAnsi="Arial"/>
          <w:b/>
          <w:bCs/>
          <w:color w:val="633806"/>
          <w:sz w:val="20"/>
          <w:szCs w:val="20"/>
        </w:rPr>
        <w:t xml:space="preserve">  4.9  </w:t>
      </w:r>
      <w:r>
        <w:rPr>
          <w:rFonts w:ascii="Arial" w:cs="Arial" w:eastAsia="Arial" w:hAnsi="Arial"/>
          <w:b/>
          <w:bCs/>
          <w:color w:val="633806"/>
          <w:sz w:val="20"/>
          <w:szCs w:val="20"/>
        </w:rPr>
        <w:t xml:space="preserve">The span processor pipeline — enrichment, redaction, and custom processors</w:t>
      </w:r>
    </w:p>
    <w:p>
      <w:pPr>
        <w:pStyle w:val="ListParagraph"/>
        <w:numPr>
          <w:ilvl w:val="0"/>
          <w:numId w:val="2"/>
        </w:numPr>
        <w:spacing w:after="30" w:before="30"/>
      </w:pPr>
      <w:r>
        <w:rPr>
          <w:rFonts w:ascii="Arial" w:cs="Arial" w:eastAsia="Arial" w:hAnsi="Arial"/>
          <w:color w:val="000000"/>
          <w:sz w:val="19"/>
          <w:szCs w:val="19"/>
        </w:rPr>
        <w:t xml:space="preserve">Head-based sampling → BatchSpanProcessor → multi-exporter fan-out</w:t>
      </w:r>
    </w:p>
    <w:p>
      <w:pPr>
        <w:pStyle w:val="ListParagraph"/>
        <w:numPr>
          <w:ilvl w:val="0"/>
          <w:numId w:val="2"/>
        </w:numPr>
        <w:spacing w:after="30" w:before="30"/>
      </w:pPr>
      <w:r>
        <w:rPr>
          <w:rFonts w:ascii="Arial" w:cs="Arial" w:eastAsia="Arial" w:hAnsi="Arial"/>
          <w:color w:val="000000"/>
          <w:sz w:val="19"/>
          <w:szCs w:val="19"/>
        </w:rPr>
        <w:t xml:space="preserve">Writing a custom processor: on_start(), on_end(), and attribute enrichment patterns</w:t>
      </w:r>
    </w:p>
    <w:p>
      <w:pPr>
        <w:pStyle w:val="ListParagraph"/>
        <w:numPr>
          <w:ilvl w:val="0"/>
          <w:numId w:val="2"/>
        </w:numPr>
        <w:spacing w:after="30" w:before="30"/>
      </w:pPr>
      <w:r>
        <w:rPr>
          <w:rFonts w:ascii="Arial" w:cs="Arial" w:eastAsia="Arial" w:hAnsi="Arial"/>
          <w:color w:val="000000"/>
          <w:sz w:val="19"/>
          <w:szCs w:val="19"/>
        </w:rPr>
        <w:t xml:space="preserve">Redaction processors — complementing the built-in RedactionPolicy at the span level</w:t>
      </w:r>
    </w:p>
    <w:p>
      <w:pPr>
        <w:spacing w:after="60" w:before="60"/>
      </w:pPr>
      <w:r>
        <w:t xml:space="preserve"/>
      </w:r>
    </w:p>
    <w:p>
      <w:pPr>
        <w:shd w:fill="FAEEDA" w:val="clear"/>
        <w:spacing w:after="0" w:before="120"/>
        <w:ind w:left="0"/>
      </w:pPr>
      <w:r>
        <w:rPr>
          <w:rFonts w:ascii="Arial" w:cs="Arial" w:eastAsia="Arial" w:hAnsi="Arial"/>
          <w:b/>
          <w:bCs/>
          <w:color w:val="633806"/>
          <w:sz w:val="20"/>
          <w:szCs w:val="20"/>
        </w:rPr>
        <w:t xml:space="preserve">  4.10  </w:t>
      </w:r>
      <w:r>
        <w:rPr>
          <w:rFonts w:ascii="Arial" w:cs="Arial" w:eastAsia="Arial" w:hAnsi="Arial"/>
          <w:b/>
          <w:bCs/>
          <w:color w:val="633806"/>
          <w:sz w:val="20"/>
          <w:szCs w:val="20"/>
        </w:rPr>
        <w:t xml:space="preserve">Debug tooling — print_tree, visualize(), Gantt timelines, and the trace store</w:t>
      </w:r>
    </w:p>
    <w:p>
      <w:pPr>
        <w:pStyle w:val="ListParagraph"/>
        <w:numPr>
          <w:ilvl w:val="0"/>
          <w:numId w:val="2"/>
        </w:numPr>
        <w:spacing w:after="30" w:before="30"/>
      </w:pPr>
      <w:r>
        <w:rPr>
          <w:rFonts w:ascii="Arial" w:cs="Arial" w:eastAsia="Arial" w:hAnsi="Arial"/>
          <w:color w:val="000000"/>
          <w:sz w:val="19"/>
          <w:szCs w:val="19"/>
        </w:rPr>
        <w:t xml:space="preserve">print_tree() for hierarchical span display in development</w:t>
      </w:r>
    </w:p>
    <w:p>
      <w:pPr>
        <w:pStyle w:val="ListParagraph"/>
        <w:numPr>
          <w:ilvl w:val="0"/>
          <w:numId w:val="2"/>
        </w:numPr>
        <w:spacing w:after="30" w:before="30"/>
      </w:pPr>
      <w:r>
        <w:rPr>
          <w:rFonts w:ascii="Arial" w:cs="Arial" w:eastAsia="Arial" w:hAnsi="Arial"/>
          <w:color w:val="000000"/>
          <w:sz w:val="19"/>
          <w:szCs w:val="19"/>
        </w:rPr>
        <w:t xml:space="preserve">visualize() — generating a self-contained HTML Gantt timeline from any trace</w:t>
      </w:r>
    </w:p>
    <w:p>
      <w:pPr>
        <w:pStyle w:val="ListParagraph"/>
        <w:numPr>
          <w:ilvl w:val="0"/>
          <w:numId w:val="2"/>
        </w:numPr>
        <w:spacing w:after="30" w:before="30"/>
      </w:pPr>
      <w:r>
        <w:rPr>
          <w:rFonts w:ascii="Arial" w:cs="Arial" w:eastAsia="Arial" w:hAnsi="Arial"/>
          <w:color w:val="000000"/>
          <w:sz w:val="19"/>
          <w:szCs w:val="19"/>
        </w:rPr>
        <w:t xml:space="preserve">The ring-buffer trace store — opt-in, size-bounded, and security-hardened</w:t>
      </w:r>
    </w:p>
    <w:p>
      <w:pPr>
        <w:spacing w:after="60" w:before="60"/>
      </w:pPr>
      <w:r>
        <w:t xml:space="preserve"/>
      </w:r>
    </w:p>
    <w:p>
      <w:pPr>
        <w:pBdr>
          <w:bottom w:val="single" w:color="2E75B6" w:sz="4"/>
        </w:pBdr>
        <w:spacing w:after="140" w:before="140"/>
      </w:pPr>
      <w:r>
        <w:t xml:space="preserve"/>
      </w:r>
    </w:p>
    <w:p>
      <w:r>
        <w:br w:type="pag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5800"/>
        <w:gridCol w:w="1200"/>
        <w:gridCol w:w="1200"/>
      </w:tblGrid>
      <w:tr>
        <w:tc>
          <w:tcPr>
            <w:tcW w:type="dxa" w:w="1200"/>
            <w:tcBorders>
              <w:top w:val="single" w:color="27500A" w:sz="6"/>
              <w:left w:val="single" w:color="27500A" w:sz="6"/>
              <w:bottom w:val="single" w:color="27500A" w:sz="6"/>
              <w:right w:val="single" w:color="CCCCCC" w:sz="1"/>
            </w:tcBorders>
            <w:shd w:fill="EAF3DE" w:val="clear"/>
            <w:tcMar>
              <w:top w:type="dxa" w:w="120"/>
              <w:left w:type="dxa" w:w="140"/>
              <w:bottom w:type="dxa" w:w="120"/>
              <w:right w:type="dxa" w:w="140"/>
            </w:tcMar>
            <w:vAlign w:val="center"/>
          </w:tcPr>
          <w:p>
            <w:pPr>
              <w:jc w:val="center"/>
            </w:pPr>
            <w:r>
              <w:rPr>
                <w:rFonts w:ascii="Arial" w:cs="Arial" w:eastAsia="Arial" w:hAnsi="Arial"/>
                <w:b/>
                <w:bCs/>
                <w:color w:val="27500A"/>
                <w:sz w:val="20"/>
                <w:szCs w:val="20"/>
              </w:rPr>
              <w:t xml:space="preserve">Part 5</w:t>
            </w:r>
          </w:p>
          <w:p>
            <w:pPr>
              <w:spacing w:before="20"/>
              <w:jc w:val="center"/>
            </w:pPr>
            <w:r>
              <w:rPr>
                <w:rFonts w:ascii="Arial" w:cs="Arial" w:eastAsia="Arial" w:hAnsi="Arial"/>
                <w:color w:val="27500A"/>
                <w:sz w:val="15"/>
                <w:szCs w:val="15"/>
              </w:rPr>
              <w:t xml:space="preserve">compliance</w:t>
            </w:r>
          </w:p>
        </w:tc>
        <w:tc>
          <w:tcPr>
            <w:tcW w:type="dxa" w:w="5800"/>
            <w:tcBorders>
              <w:top w:val="single" w:color="27500A" w:sz="6"/>
              <w:left w:val="single" w:color="CCCCCC" w:sz="1"/>
              <w:bottom w:val="single" w:color="27500A" w:sz="6"/>
              <w:right w:val="single" w:color="CCCCCC" w:sz="1"/>
            </w:tcBorders>
            <w:shd w:fill="FFFFFF" w:val="clear"/>
            <w:tcMar>
              <w:top w:type="dxa" w:w="120"/>
              <w:left w:type="dxa" w:w="180"/>
              <w:bottom w:type="dxa" w:w="120"/>
              <w:right w:type="dxa" w:w="140"/>
            </w:tcMar>
          </w:tcPr>
          <w:p>
            <w:r>
              <w:rPr>
                <w:rFonts w:ascii="Arial" w:cs="Arial" w:eastAsia="Arial" w:hAnsi="Arial"/>
                <w:b/>
                <w:bCs/>
                <w:color w:val="1F4E79"/>
                <w:sz w:val="24"/>
                <w:szCs w:val="24"/>
              </w:rPr>
              <w:t xml:space="preserve">Compliance engineering — from evidence to attestation</w:t>
            </w:r>
          </w:p>
        </w:tc>
        <w:tc>
          <w:tcPr>
            <w:tcW w:type="dxa" w:w="1200"/>
            <w:tcBorders>
              <w:top w:val="single" w:color="27500A" w:sz="6"/>
              <w:left w:val="single" w:color="CCCCCC" w:sz="1"/>
              <w:bottom w:val="single" w:color="27500A" w:sz="6"/>
              <w:right w:val="single" w:color="CCCCCC" w:sz="1"/>
            </w:tcBorders>
            <w:shd w:fill="F2F2F2" w:val="clear"/>
            <w:tcMar>
              <w:top w:type="dxa" w:w="120"/>
              <w:left w:type="dxa" w:w="120"/>
              <w:bottom w:type="dxa" w:w="120"/>
              <w:right w:type="dxa" w:w="120"/>
            </w:tcMar>
          </w:tcPr>
          <w:p>
            <w:pPr>
              <w:jc w:val="center"/>
            </w:pPr>
            <w:r>
              <w:rPr>
                <w:rFonts w:ascii="Arial" w:cs="Arial" w:eastAsia="Arial" w:hAnsi="Arial"/>
                <w:b/>
                <w:bCs/>
                <w:color w:val="2E75B6"/>
                <w:sz w:val="26"/>
                <w:szCs w:val="26"/>
              </w:rPr>
              <w:t xml:space="preserve">10</w:t>
            </w:r>
          </w:p>
          <w:p>
            <w:pPr>
              <w:spacing w:before="20"/>
              <w:jc w:val="center"/>
            </w:pPr>
            <w:r>
              <w:rPr>
                <w:rFonts w:ascii="Arial" w:cs="Arial" w:eastAsia="Arial" w:hAnsi="Arial"/>
                <w:color w:val="404040"/>
                <w:sz w:val="15"/>
                <w:szCs w:val="15"/>
              </w:rPr>
              <w:t xml:space="preserve">chapters</w:t>
            </w:r>
          </w:p>
        </w:tc>
        <w:tc>
          <w:tcPr>
            <w:tcW w:type="dxa" w:w="1200"/>
            <w:tcBorders>
              <w:top w:val="single" w:color="27500A" w:sz="6"/>
              <w:left w:val="single" w:color="CCCCCC" w:sz="1"/>
              <w:bottom w:val="single" w:color="27500A" w:sz="6"/>
              <w:right w:val="single" w:color="27500A" w:sz="6"/>
            </w:tcBorders>
            <w:shd w:fill="F2F2F2" w:val="clear"/>
            <w:tcMar>
              <w:top w:type="dxa" w:w="120"/>
              <w:left w:type="dxa" w:w="120"/>
              <w:bottom w:type="dxa" w:w="120"/>
              <w:right w:type="dxa" w:w="120"/>
            </w:tcMar>
          </w:tcPr>
          <w:p>
            <w:pPr>
              <w:jc w:val="center"/>
            </w:pPr>
            <w:r>
              <w:rPr>
                <w:rFonts w:ascii="Arial" w:cs="Arial" w:eastAsia="Arial" w:hAnsi="Arial"/>
                <w:b/>
                <w:bCs/>
                <w:color w:val="404040"/>
                <w:sz w:val="20"/>
                <w:szCs w:val="20"/>
              </w:rPr>
              <w:t xml:space="preserve">~16 hrs</w:t>
            </w:r>
          </w:p>
          <w:p>
            <w:pPr>
              <w:spacing w:before="20"/>
              <w:jc w:val="center"/>
            </w:pPr>
            <w:r>
              <w:rPr>
                <w:rFonts w:ascii="Arial" w:cs="Arial" w:eastAsia="Arial" w:hAnsi="Arial"/>
                <w:color w:val="404040"/>
                <w:sz w:val="15"/>
                <w:szCs w:val="15"/>
              </w:rPr>
              <w:t xml:space="preserve">est. time</w:t>
            </w:r>
          </w:p>
        </w:tc>
      </w:tr>
    </w:tbl>
    <w:p>
      <w:pPr>
        <w:spacing w:after="60" w:before="60"/>
      </w:pPr>
      <w:r>
        <w:t xml:space="preserve"/>
      </w:r>
    </w:p>
    <w:p>
      <w:pPr>
        <w:spacing w:after="60" w:before="60"/>
      </w:pPr>
      <w:r>
        <w:rPr>
          <w:rFonts w:ascii="Arial" w:cs="Arial" w:eastAsia="Arial" w:hAnsi="Arial"/>
          <w:b w:val="false"/>
          <w:bCs w:val="false"/>
          <w:color w:val="404040"/>
          <w:sz w:val="20"/>
          <w:szCs w:val="20"/>
        </w:rPr>
        <w:t xml:space="preserve">This part bridges the gap between code and regulatory compliance. It covers the five major frameworks SpanForge maps to, the Compliance Evidence Chain that packages evidence for auditors, and the T.R.U.S.T. scorecard that makes compliance visible to non-technical stakeholders.</w:t>
      </w:r>
    </w:p>
    <w:p>
      <w:pPr>
        <w:spacing w:after="6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800"/>
        <w:gridCol w:w="7700"/>
        <w:gridCol w:w="900"/>
      </w:tblGrid>
      <w:tr>
        <w:tc>
          <w:tcPr>
            <w:tcW w:type="dxa" w:w="8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80"/>
            </w:tcMar>
          </w:tcPr>
          <w:p>
            <w:pPr>
              <w:jc w:val="center"/>
            </w:pPr>
            <w:r>
              <w:rPr>
                <w:rFonts w:ascii="Arial" w:cs="Arial" w:eastAsia="Arial" w:hAnsi="Arial"/>
                <w:b/>
                <w:bCs/>
                <w:color w:val="27500A"/>
                <w:sz w:val="17"/>
                <w:szCs w:val="17"/>
              </w:rPr>
              <w:t xml:space="preserve">5.1</w:t>
            </w:r>
          </w:p>
        </w:tc>
        <w:tc>
          <w:tcPr>
            <w:tcW w:type="dxa" w:w="7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000000"/>
                <w:sz w:val="19"/>
                <w:szCs w:val="19"/>
              </w:rPr>
              <w:t xml:space="preserve">EU AI Act — Articles 9, 10, 12, 13, 14, 15 and what they require technically</w:t>
            </w:r>
          </w:p>
        </w:tc>
        <w:tc>
          <w:tcPr>
            <w:tcW w:type="dxa" w:w="9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Arial" w:cs="Arial" w:eastAsia="Arial" w:hAnsi="Arial"/>
                <w:color w:val="27500A"/>
                <w:sz w:val="15"/>
                <w:szCs w:val="15"/>
              </w:rPr>
              <w:t xml:space="preserve">compliance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bCs/>
                <w:color w:val="27500A"/>
                <w:sz w:val="17"/>
                <w:szCs w:val="17"/>
              </w:rPr>
              <w:t xml:space="preserve">5.2</w:t>
            </w:r>
          </w:p>
        </w:tc>
        <w:tc>
          <w:tcPr>
            <w:tcW w:type="dxa" w:w="77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color w:val="000000"/>
                <w:sz w:val="19"/>
                <w:szCs w:val="19"/>
              </w:rPr>
              <w:t xml:space="preserve">NIST AI RMF — GOVERN, MAP, MEASURE, MANAGE as engineering controls</w:t>
            </w:r>
          </w:p>
        </w:tc>
        <w:tc>
          <w:tcPr>
            <w:tcW w:type="dxa" w:w="9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Arial" w:cs="Arial" w:eastAsia="Arial" w:hAnsi="Arial"/>
                <w:color w:val="27500A"/>
                <w:sz w:val="15"/>
                <w:szCs w:val="15"/>
              </w:rPr>
              <w:t xml:space="preserve">compliance</w:t>
            </w:r>
          </w:p>
        </w:tc>
      </w:tr>
      <w:tr>
        <w:tc>
          <w:tcPr>
            <w:tcW w:type="dxa" w:w="8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80"/>
            </w:tcMar>
          </w:tcPr>
          <w:p>
            <w:pPr>
              <w:jc w:val="center"/>
            </w:pPr>
            <w:r>
              <w:rPr>
                <w:rFonts w:ascii="Arial" w:cs="Arial" w:eastAsia="Arial" w:hAnsi="Arial"/>
                <w:b/>
                <w:bCs/>
                <w:color w:val="27500A"/>
                <w:sz w:val="17"/>
                <w:szCs w:val="17"/>
              </w:rPr>
              <w:t xml:space="preserve">5.3</w:t>
            </w:r>
          </w:p>
        </w:tc>
        <w:tc>
          <w:tcPr>
            <w:tcW w:type="dxa" w:w="7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000000"/>
                <w:sz w:val="19"/>
                <w:szCs w:val="19"/>
              </w:rPr>
              <w:t xml:space="preserve">ISO/IEC 42001 and ISO 27001 — AI management systems and Annex A.12.4</w:t>
            </w:r>
          </w:p>
        </w:tc>
        <w:tc>
          <w:tcPr>
            <w:tcW w:type="dxa" w:w="9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Arial" w:cs="Arial" w:eastAsia="Arial" w:hAnsi="Arial"/>
                <w:color w:val="27500A"/>
                <w:sz w:val="15"/>
                <w:szCs w:val="15"/>
              </w:rPr>
              <w:t xml:space="preserve">compliance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bCs/>
                <w:color w:val="27500A"/>
                <w:sz w:val="17"/>
                <w:szCs w:val="17"/>
              </w:rPr>
              <w:t xml:space="preserve">5.4</w:t>
            </w:r>
          </w:p>
        </w:tc>
        <w:tc>
          <w:tcPr>
            <w:tcW w:type="dxa" w:w="77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color w:val="000000"/>
                <w:sz w:val="19"/>
                <w:szCs w:val="19"/>
              </w:rPr>
              <w:t xml:space="preserve">SOC 2 Type II — CC6, CC7, CC9 and how audit logs satisfy them</w:t>
            </w:r>
          </w:p>
        </w:tc>
        <w:tc>
          <w:tcPr>
            <w:tcW w:type="dxa" w:w="9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Arial" w:cs="Arial" w:eastAsia="Arial" w:hAnsi="Arial"/>
                <w:color w:val="27500A"/>
                <w:sz w:val="15"/>
                <w:szCs w:val="15"/>
              </w:rPr>
              <w:t xml:space="preserve">compliance</w:t>
            </w:r>
          </w:p>
        </w:tc>
      </w:tr>
      <w:tr>
        <w:tc>
          <w:tcPr>
            <w:tcW w:type="dxa" w:w="8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80"/>
            </w:tcMar>
          </w:tcPr>
          <w:p>
            <w:pPr>
              <w:jc w:val="center"/>
            </w:pPr>
            <w:r>
              <w:rPr>
                <w:rFonts w:ascii="Arial" w:cs="Arial" w:eastAsia="Arial" w:hAnsi="Arial"/>
                <w:b/>
                <w:bCs/>
                <w:color w:val="27500A"/>
                <w:sz w:val="17"/>
                <w:szCs w:val="17"/>
              </w:rPr>
              <w:t xml:space="preserve">5.5</w:t>
            </w:r>
          </w:p>
        </w:tc>
        <w:tc>
          <w:tcPr>
            <w:tcW w:type="dxa" w:w="7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000000"/>
                <w:sz w:val="19"/>
                <w:szCs w:val="19"/>
              </w:rPr>
              <w:t xml:space="preserve">The Compliance Evidence Chain — building a signed ZIP bundle auditors can verify</w:t>
            </w:r>
          </w:p>
        </w:tc>
        <w:tc>
          <w:tcPr>
            <w:tcW w:type="dxa" w:w="9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Arial" w:cs="Arial" w:eastAsia="Arial" w:hAnsi="Arial"/>
                <w:color w:val="27500A"/>
                <w:sz w:val="15"/>
                <w:szCs w:val="15"/>
              </w:rPr>
              <w:t xml:space="preserve">compliance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bCs/>
                <w:color w:val="27500A"/>
                <w:sz w:val="17"/>
                <w:szCs w:val="17"/>
              </w:rPr>
              <w:t xml:space="preserve">5.6</w:t>
            </w:r>
          </w:p>
        </w:tc>
        <w:tc>
          <w:tcPr>
            <w:tcW w:type="dxa" w:w="77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color w:val="000000"/>
                <w:sz w:val="19"/>
                <w:szCs w:val="19"/>
              </w:rPr>
              <w:t xml:space="preserve">HMAC-signed PDF attestations — what goes in them and how they are verified</w:t>
            </w:r>
          </w:p>
        </w:tc>
        <w:tc>
          <w:tcPr>
            <w:tcW w:type="dxa" w:w="9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Arial" w:cs="Arial" w:eastAsia="Arial" w:hAnsi="Arial"/>
                <w:color w:val="27500A"/>
                <w:sz w:val="15"/>
                <w:szCs w:val="15"/>
              </w:rPr>
              <w:t xml:space="preserve">compliance</w:t>
            </w:r>
          </w:p>
        </w:tc>
      </w:tr>
      <w:tr>
        <w:tc>
          <w:tcPr>
            <w:tcW w:type="dxa" w:w="8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80"/>
            </w:tcMar>
          </w:tcPr>
          <w:p>
            <w:pPr>
              <w:jc w:val="center"/>
            </w:pPr>
            <w:r>
              <w:rPr>
                <w:rFonts w:ascii="Arial" w:cs="Arial" w:eastAsia="Arial" w:hAnsi="Arial"/>
                <w:b/>
                <w:bCs/>
                <w:color w:val="27500A"/>
                <w:sz w:val="17"/>
                <w:szCs w:val="17"/>
              </w:rPr>
              <w:t xml:space="preserve">5.7</w:t>
            </w:r>
          </w:p>
        </w:tc>
        <w:tc>
          <w:tcPr>
            <w:tcW w:type="dxa" w:w="7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000000"/>
                <w:sz w:val="19"/>
                <w:szCs w:val="19"/>
              </w:rPr>
              <w:t xml:space="preserve">RFC 3161 trusted timestamps — cryptographic proof of existence for legal proceedings</w:t>
            </w:r>
          </w:p>
        </w:tc>
        <w:tc>
          <w:tcPr>
            <w:tcW w:type="dxa" w:w="9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Arial" w:cs="Arial" w:eastAsia="Arial" w:hAnsi="Arial"/>
                <w:color w:val="27500A"/>
                <w:sz w:val="15"/>
                <w:szCs w:val="15"/>
              </w:rPr>
              <w:t xml:space="preserve">compliance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bCs/>
                <w:color w:val="27500A"/>
                <w:sz w:val="17"/>
                <w:szCs w:val="17"/>
              </w:rPr>
              <w:t xml:space="preserve">5.8</w:t>
            </w:r>
          </w:p>
        </w:tc>
        <w:tc>
          <w:tcPr>
            <w:tcW w:type="dxa" w:w="77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color w:val="000000"/>
                <w:sz w:val="19"/>
                <w:szCs w:val="19"/>
              </w:rPr>
              <w:t xml:space="preserve">GDPR Article 30 Records of Processing — auto-generating RoPA from audit metadata</w:t>
            </w:r>
          </w:p>
        </w:tc>
        <w:tc>
          <w:tcPr>
            <w:tcW w:type="dxa" w:w="9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Arial" w:cs="Arial" w:eastAsia="Arial" w:hAnsi="Arial"/>
                <w:color w:val="27500A"/>
                <w:sz w:val="15"/>
                <w:szCs w:val="15"/>
              </w:rPr>
              <w:t xml:space="preserve">compliance</w:t>
            </w:r>
          </w:p>
        </w:tc>
      </w:tr>
      <w:tr>
        <w:tc>
          <w:tcPr>
            <w:tcW w:type="dxa" w:w="8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80"/>
            </w:tcMar>
          </w:tcPr>
          <w:p>
            <w:pPr>
              <w:jc w:val="center"/>
            </w:pPr>
            <w:r>
              <w:rPr>
                <w:rFonts w:ascii="Arial" w:cs="Arial" w:eastAsia="Arial" w:hAnsi="Arial"/>
                <w:b/>
                <w:bCs/>
                <w:color w:val="27500A"/>
                <w:sz w:val="17"/>
                <w:szCs w:val="17"/>
              </w:rPr>
              <w:t xml:space="preserve">5.9</w:t>
            </w:r>
          </w:p>
        </w:tc>
        <w:tc>
          <w:tcPr>
            <w:tcW w:type="dxa" w:w="7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000000"/>
                <w:sz w:val="19"/>
                <w:szCs w:val="19"/>
              </w:rPr>
              <w:t xml:space="preserve">The T.R.U.S.T. scorecard — Transparency, Reliability, UserTrust, Security, Traceability</w:t>
            </w:r>
          </w:p>
        </w:tc>
        <w:tc>
          <w:tcPr>
            <w:tcW w:type="dxa" w:w="9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Arial" w:cs="Arial" w:eastAsia="Arial" w:hAnsi="Arial"/>
                <w:color w:val="27500A"/>
                <w:sz w:val="15"/>
                <w:szCs w:val="15"/>
              </w:rPr>
              <w:t xml:space="preserve">compliance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bCs/>
                <w:color w:val="27500A"/>
                <w:sz w:val="17"/>
                <w:szCs w:val="17"/>
              </w:rPr>
              <w:t xml:space="preserve">5.10</w:t>
            </w:r>
          </w:p>
        </w:tc>
        <w:tc>
          <w:tcPr>
            <w:tcW w:type="dxa" w:w="77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color w:val="000000"/>
                <w:sz w:val="19"/>
                <w:szCs w:val="19"/>
              </w:rPr>
              <w:t xml:space="preserve">Human-in-the-Loop — EU AI Act Article 14, HITL queues, SLA tracking, escalation</w:t>
            </w:r>
          </w:p>
        </w:tc>
        <w:tc>
          <w:tcPr>
            <w:tcW w:type="dxa" w:w="900"/>
            <w:tcBorders>
              <w:top w:val="single" w:color="CCCCCC" w:sz="1"/>
              <w:left w:val="single" w:color="CCCCCC" w:sz="1"/>
              <w:bottom w:val="single" w:color="CCCCCC" w:sz="1"/>
              <w:right w:val="single" w:color="CCCCCC" w:sz="1"/>
            </w:tcBorders>
            <w:shd w:fill="EAF3DE" w:val="clear"/>
            <w:tcMar>
              <w:top w:type="dxa" w:w="80"/>
              <w:left w:type="dxa" w:w="80"/>
              <w:bottom w:type="dxa" w:w="80"/>
              <w:right w:type="dxa" w:w="80"/>
            </w:tcMar>
          </w:tcPr>
          <w:p>
            <w:pPr>
              <w:jc w:val="center"/>
            </w:pPr>
            <w:r>
              <w:rPr>
                <w:rFonts w:ascii="Arial" w:cs="Arial" w:eastAsia="Arial" w:hAnsi="Arial"/>
                <w:color w:val="27500A"/>
                <w:sz w:val="15"/>
                <w:szCs w:val="15"/>
              </w:rPr>
              <w:t xml:space="preserve">compliance</w:t>
            </w:r>
          </w:p>
        </w:tc>
      </w:tr>
    </w:tbl>
    <w:p>
      <w:pPr>
        <w:spacing w:after="60" w:before="60"/>
      </w:pPr>
      <w:r>
        <w:t xml:space="preserve"/>
      </w:r>
    </w:p>
    <w:p>
      <w:pPr>
        <w:pStyle w:val="Heading2"/>
        <w:spacing w:after="80" w:before="200"/>
      </w:pPr>
      <w:r>
        <w:rPr>
          <w:rFonts w:ascii="Arial" w:cs="Arial" w:eastAsia="Arial" w:hAnsi="Arial"/>
          <w:b/>
          <w:bCs/>
          <w:color w:val="2E75B6"/>
          <w:sz w:val="24"/>
          <w:szCs w:val="24"/>
        </w:rPr>
        <w:t xml:space="preserve">Chapter details</w:t>
      </w:r>
    </w:p>
    <w:p>
      <w:pPr>
        <w:shd w:fill="EAF3DE" w:val="clear"/>
        <w:spacing w:after="0" w:before="120"/>
        <w:ind w:left="0"/>
      </w:pPr>
      <w:r>
        <w:rPr>
          <w:rFonts w:ascii="Arial" w:cs="Arial" w:eastAsia="Arial" w:hAnsi="Arial"/>
          <w:b/>
          <w:bCs/>
          <w:color w:val="27500A"/>
          <w:sz w:val="20"/>
          <w:szCs w:val="20"/>
        </w:rPr>
        <w:t xml:space="preserve">  5.1  </w:t>
      </w:r>
      <w:r>
        <w:rPr>
          <w:rFonts w:ascii="Arial" w:cs="Arial" w:eastAsia="Arial" w:hAnsi="Arial"/>
          <w:b/>
          <w:bCs/>
          <w:color w:val="27500A"/>
          <w:sz w:val="20"/>
          <w:szCs w:val="20"/>
        </w:rPr>
        <w:t xml:space="preserve">EU AI Act — Articles 9, 10, 12, 13, 14, 15 and what they require technically</w:t>
      </w:r>
    </w:p>
    <w:p>
      <w:pPr>
        <w:pStyle w:val="ListParagraph"/>
        <w:numPr>
          <w:ilvl w:val="0"/>
          <w:numId w:val="2"/>
        </w:numPr>
        <w:spacing w:after="30" w:before="30"/>
      </w:pPr>
      <w:r>
        <w:rPr>
          <w:rFonts w:ascii="Arial" w:cs="Arial" w:eastAsia="Arial" w:hAnsi="Arial"/>
          <w:color w:val="000000"/>
          <w:sz w:val="19"/>
          <w:szCs w:val="19"/>
        </w:rPr>
        <w:t xml:space="preserve">Article 9 Risk Management → PRRI scoring and gate pipeline integration</w:t>
      </w:r>
    </w:p>
    <w:p>
      <w:pPr>
        <w:pStyle w:val="ListParagraph"/>
        <w:numPr>
          <w:ilvl w:val="0"/>
          <w:numId w:val="2"/>
        </w:numPr>
        <w:spacing w:after="30" w:before="30"/>
      </w:pPr>
      <w:r>
        <w:rPr>
          <w:rFonts w:ascii="Arial" w:cs="Arial" w:eastAsia="Arial" w:hAnsi="Arial"/>
          <w:color w:val="000000"/>
          <w:sz w:val="19"/>
          <w:szCs w:val="19"/>
        </w:rPr>
        <w:t xml:space="preserve">Article 14 Human Oversight → HITL queue, SLA tracking, and escalation evidence</w:t>
      </w:r>
    </w:p>
    <w:p>
      <w:pPr>
        <w:pStyle w:val="ListParagraph"/>
        <w:numPr>
          <w:ilvl w:val="0"/>
          <w:numId w:val="2"/>
        </w:numPr>
        <w:spacing w:after="30" w:before="30"/>
      </w:pPr>
      <w:r>
        <w:rPr>
          <w:rFonts w:ascii="Arial" w:cs="Arial" w:eastAsia="Arial" w:hAnsi="Arial"/>
          <w:color w:val="000000"/>
          <w:sz w:val="19"/>
          <w:szCs w:val="19"/>
        </w:rPr>
        <w:t xml:space="preserve">Article 15 Accuracy and Robustness → drift detection and regression testing as compliance controls</w:t>
      </w:r>
    </w:p>
    <w:p>
      <w:pPr>
        <w:spacing w:after="60" w:before="60"/>
      </w:pPr>
      <w:r>
        <w:t xml:space="preserve"/>
      </w:r>
    </w:p>
    <w:p>
      <w:pPr>
        <w:shd w:fill="EAF3DE" w:val="clear"/>
        <w:spacing w:after="0" w:before="120"/>
        <w:ind w:left="0"/>
      </w:pPr>
      <w:r>
        <w:rPr>
          <w:rFonts w:ascii="Arial" w:cs="Arial" w:eastAsia="Arial" w:hAnsi="Arial"/>
          <w:b/>
          <w:bCs/>
          <w:color w:val="27500A"/>
          <w:sz w:val="20"/>
          <w:szCs w:val="20"/>
        </w:rPr>
        <w:t xml:space="preserve">  5.2  </w:t>
      </w:r>
      <w:r>
        <w:rPr>
          <w:rFonts w:ascii="Arial" w:cs="Arial" w:eastAsia="Arial" w:hAnsi="Arial"/>
          <w:b/>
          <w:bCs/>
          <w:color w:val="27500A"/>
          <w:sz w:val="20"/>
          <w:szCs w:val="20"/>
        </w:rPr>
        <w:t xml:space="preserve">NIST AI RMF — GOVERN, MAP, MEASURE, MANAGE as engineering controls</w:t>
      </w:r>
    </w:p>
    <w:p>
      <w:pPr>
        <w:pStyle w:val="ListParagraph"/>
        <w:numPr>
          <w:ilvl w:val="0"/>
          <w:numId w:val="2"/>
        </w:numPr>
        <w:spacing w:after="30" w:before="30"/>
      </w:pPr>
      <w:r>
        <w:rPr>
          <w:rFonts w:ascii="Arial" w:cs="Arial" w:eastAsia="Arial" w:hAnsi="Arial"/>
          <w:color w:val="000000"/>
          <w:sz w:val="19"/>
          <w:szCs w:val="19"/>
        </w:rPr>
        <w:t xml:space="preserve">Mapping GOVERN to policy-as-code gate YAML and audit schema registry</w:t>
      </w:r>
    </w:p>
    <w:p>
      <w:pPr>
        <w:pStyle w:val="ListParagraph"/>
        <w:numPr>
          <w:ilvl w:val="0"/>
          <w:numId w:val="2"/>
        </w:numPr>
        <w:spacing w:after="30" w:before="30"/>
      </w:pPr>
      <w:r>
        <w:rPr>
          <w:rFonts w:ascii="Arial" w:cs="Arial" w:eastAsia="Arial" w:hAnsi="Arial"/>
          <w:color w:val="000000"/>
          <w:sz w:val="19"/>
          <w:szCs w:val="19"/>
        </w:rPr>
        <w:t xml:space="preserve">MAP: risk identification through secrets scanning and PII detection in production</w:t>
      </w:r>
    </w:p>
    <w:p>
      <w:pPr>
        <w:pStyle w:val="ListParagraph"/>
        <w:numPr>
          <w:ilvl w:val="0"/>
          <w:numId w:val="2"/>
        </w:numPr>
        <w:spacing w:after="30" w:before="30"/>
      </w:pPr>
      <w:r>
        <w:rPr>
          <w:rFonts w:ascii="Arial" w:cs="Arial" w:eastAsia="Arial" w:hAnsi="Arial"/>
          <w:color w:val="000000"/>
          <w:sz w:val="19"/>
          <w:szCs w:val="19"/>
        </w:rPr>
        <w:t xml:space="preserve">MEASURE: T.R.U.S.T. scorecard dimensions as quantified RMF measurement controls</w:t>
      </w:r>
    </w:p>
    <w:p>
      <w:pPr>
        <w:spacing w:after="60" w:before="60"/>
      </w:pPr>
      <w:r>
        <w:t xml:space="preserve"/>
      </w:r>
    </w:p>
    <w:p>
      <w:pPr>
        <w:shd w:fill="EAF3DE" w:val="clear"/>
        <w:spacing w:after="0" w:before="120"/>
        <w:ind w:left="0"/>
      </w:pPr>
      <w:r>
        <w:rPr>
          <w:rFonts w:ascii="Arial" w:cs="Arial" w:eastAsia="Arial" w:hAnsi="Arial"/>
          <w:b/>
          <w:bCs/>
          <w:color w:val="27500A"/>
          <w:sz w:val="20"/>
          <w:szCs w:val="20"/>
        </w:rPr>
        <w:t xml:space="preserve">  5.3  </w:t>
      </w:r>
      <w:r>
        <w:rPr>
          <w:rFonts w:ascii="Arial" w:cs="Arial" w:eastAsia="Arial" w:hAnsi="Arial"/>
          <w:b/>
          <w:bCs/>
          <w:color w:val="27500A"/>
          <w:sz w:val="20"/>
          <w:szCs w:val="20"/>
        </w:rPr>
        <w:t xml:space="preserve">ISO/IEC 42001 and ISO 27001 — AI management systems and Annex A.12.4</w:t>
      </w:r>
    </w:p>
    <w:p>
      <w:pPr>
        <w:pStyle w:val="ListParagraph"/>
        <w:numPr>
          <w:ilvl w:val="0"/>
          <w:numId w:val="2"/>
        </w:numPr>
        <w:spacing w:after="30" w:before="30"/>
      </w:pPr>
      <w:r>
        <w:rPr>
          <w:rFonts w:ascii="Arial" w:cs="Arial" w:eastAsia="Arial" w:hAnsi="Arial"/>
          <w:color w:val="000000"/>
          <w:sz w:val="19"/>
          <w:szCs w:val="19"/>
        </w:rPr>
        <w:t xml:space="preserve">ISO/IEC 42001 Clauses 6.1, 8.3, 9.1, 10 — what they require and how CEC satisfies them</w:t>
      </w:r>
    </w:p>
    <w:p>
      <w:pPr>
        <w:pStyle w:val="ListParagraph"/>
        <w:numPr>
          <w:ilvl w:val="0"/>
          <w:numId w:val="2"/>
        </w:numPr>
        <w:spacing w:after="30" w:before="30"/>
      </w:pPr>
      <w:r>
        <w:rPr>
          <w:rFonts w:ascii="Arial" w:cs="Arial" w:eastAsia="Arial" w:hAnsi="Arial"/>
          <w:color w:val="000000"/>
          <w:sz w:val="19"/>
          <w:szCs w:val="19"/>
        </w:rPr>
        <w:t xml:space="preserve">ISO 27001 Annex A.12.4.1–4 — event logging, log protection, admin logs, clock sync</w:t>
      </w:r>
    </w:p>
    <w:p>
      <w:pPr>
        <w:pStyle w:val="ListParagraph"/>
        <w:numPr>
          <w:ilvl w:val="0"/>
          <w:numId w:val="2"/>
        </w:numPr>
        <w:spacing w:after="30" w:before="30"/>
      </w:pPr>
      <w:r>
        <w:rPr>
          <w:rFonts w:ascii="Arial" w:cs="Arial" w:eastAsia="Arial" w:hAnsi="Arial"/>
          <w:color w:val="000000"/>
          <w:sz w:val="19"/>
          <w:szCs w:val="19"/>
        </w:rPr>
        <w:t xml:space="preserve">NTP drift warning at 1 second — why clock synchronisation is a compliance control</w:t>
      </w:r>
    </w:p>
    <w:p>
      <w:pPr>
        <w:spacing w:after="60" w:before="60"/>
      </w:pPr>
      <w:r>
        <w:t xml:space="preserve"/>
      </w:r>
    </w:p>
    <w:p>
      <w:pPr>
        <w:shd w:fill="EAF3DE" w:val="clear"/>
        <w:spacing w:after="0" w:before="120"/>
        <w:ind w:left="0"/>
      </w:pPr>
      <w:r>
        <w:rPr>
          <w:rFonts w:ascii="Arial" w:cs="Arial" w:eastAsia="Arial" w:hAnsi="Arial"/>
          <w:b/>
          <w:bCs/>
          <w:color w:val="27500A"/>
          <w:sz w:val="20"/>
          <w:szCs w:val="20"/>
        </w:rPr>
        <w:t xml:space="preserve">  5.4  </w:t>
      </w:r>
      <w:r>
        <w:rPr>
          <w:rFonts w:ascii="Arial" w:cs="Arial" w:eastAsia="Arial" w:hAnsi="Arial"/>
          <w:b/>
          <w:bCs/>
          <w:color w:val="27500A"/>
          <w:sz w:val="20"/>
          <w:szCs w:val="20"/>
        </w:rPr>
        <w:t xml:space="preserve">SOC 2 Type II — CC6, CC7, CC9 and how audit logs satisfy them</w:t>
      </w:r>
    </w:p>
    <w:p>
      <w:pPr>
        <w:pStyle w:val="ListParagraph"/>
        <w:numPr>
          <w:ilvl w:val="0"/>
          <w:numId w:val="2"/>
        </w:numPr>
        <w:spacing w:after="30" w:before="30"/>
      </w:pPr>
      <w:r>
        <w:rPr>
          <w:rFonts w:ascii="Arial" w:cs="Arial" w:eastAsia="Arial" w:hAnsi="Arial"/>
          <w:color w:val="000000"/>
          <w:sz w:val="19"/>
          <w:szCs w:val="19"/>
        </w:rPr>
        <w:t xml:space="preserve">CC6 Logical and Physical Access — API key scoping and IP allowlist as evidence</w:t>
      </w:r>
    </w:p>
    <w:p>
      <w:pPr>
        <w:pStyle w:val="ListParagraph"/>
        <w:numPr>
          <w:ilvl w:val="0"/>
          <w:numId w:val="2"/>
        </w:numPr>
        <w:spacing w:after="30" w:before="30"/>
      </w:pPr>
      <w:r>
        <w:rPr>
          <w:rFonts w:ascii="Arial" w:cs="Arial" w:eastAsia="Arial" w:hAnsi="Arial"/>
          <w:color w:val="000000"/>
          <w:sz w:val="19"/>
          <w:szCs w:val="19"/>
        </w:rPr>
        <w:t xml:space="preserve">CC7 System Operations — audit chain completeness as monitoring evidence</w:t>
      </w:r>
    </w:p>
    <w:p>
      <w:pPr>
        <w:pStyle w:val="ListParagraph"/>
        <w:numPr>
          <w:ilvl w:val="0"/>
          <w:numId w:val="2"/>
        </w:numPr>
        <w:spacing w:after="30" w:before="30"/>
      </w:pPr>
      <w:r>
        <w:rPr>
          <w:rFonts w:ascii="Arial" w:cs="Arial" w:eastAsia="Arial" w:hAnsi="Arial"/>
          <w:color w:val="000000"/>
          <w:sz w:val="19"/>
          <w:szCs w:val="19"/>
        </w:rPr>
        <w:t xml:space="preserve">CC9 Risk Mitigation — gate pipeline pass/fail history as risk treatment evidence</w:t>
      </w:r>
    </w:p>
    <w:p>
      <w:pPr>
        <w:spacing w:after="60" w:before="60"/>
      </w:pPr>
      <w:r>
        <w:t xml:space="preserve"/>
      </w:r>
    </w:p>
    <w:p>
      <w:pPr>
        <w:shd w:fill="EAF3DE" w:val="clear"/>
        <w:spacing w:after="0" w:before="120"/>
        <w:ind w:left="0"/>
      </w:pPr>
      <w:r>
        <w:rPr>
          <w:rFonts w:ascii="Arial" w:cs="Arial" w:eastAsia="Arial" w:hAnsi="Arial"/>
          <w:b/>
          <w:bCs/>
          <w:color w:val="27500A"/>
          <w:sz w:val="20"/>
          <w:szCs w:val="20"/>
        </w:rPr>
        <w:t xml:space="preserve">  5.5  </w:t>
      </w:r>
      <w:r>
        <w:rPr>
          <w:rFonts w:ascii="Arial" w:cs="Arial" w:eastAsia="Arial" w:hAnsi="Arial"/>
          <w:b/>
          <w:bCs/>
          <w:color w:val="27500A"/>
          <w:sz w:val="20"/>
          <w:szCs w:val="20"/>
        </w:rPr>
        <w:t xml:space="preserve">The Compliance Evidence Chain — building a signed ZIP bundle auditors can verify</w:t>
      </w:r>
    </w:p>
    <w:p>
      <w:pPr>
        <w:pStyle w:val="ListParagraph"/>
        <w:numPr>
          <w:ilvl w:val="0"/>
          <w:numId w:val="2"/>
        </w:numPr>
        <w:spacing w:after="30" w:before="30"/>
      </w:pPr>
      <w:r>
        <w:rPr>
          <w:rFonts w:ascii="Arial" w:cs="Arial" w:eastAsia="Arial" w:hAnsi="Arial"/>
          <w:color w:val="000000"/>
          <w:sz w:val="19"/>
          <w:szCs w:val="19"/>
        </w:rPr>
        <w:t xml:space="preserve">ZIP structure: manifest.json, clause_map.json, chain_proof.json, attestation.pdf, rfc3161_timestamp.tsr</w:t>
      </w:r>
    </w:p>
    <w:p>
      <w:pPr>
        <w:pStyle w:val="ListParagraph"/>
        <w:numPr>
          <w:ilvl w:val="0"/>
          <w:numId w:val="2"/>
        </w:numPr>
        <w:spacing w:after="30" w:before="30"/>
      </w:pPr>
      <w:r>
        <w:rPr>
          <w:rFonts w:ascii="Arial" w:cs="Arial" w:eastAsia="Arial" w:hAnsi="Arial"/>
          <w:color w:val="000000"/>
          <w:sz w:val="19"/>
          <w:szCs w:val="19"/>
        </w:rPr>
        <w:t xml:space="preserve">HMAC-signing the manifest — how auditors verify the bundle without trusting the platform</w:t>
      </w:r>
    </w:p>
    <w:p>
      <w:pPr>
        <w:pStyle w:val="ListParagraph"/>
        <w:numPr>
          <w:ilvl w:val="0"/>
          <w:numId w:val="2"/>
        </w:numPr>
        <w:spacing w:after="30" w:before="30"/>
      </w:pPr>
      <w:r>
        <w:rPr>
          <w:rFonts w:ascii="Arial" w:cs="Arial" w:eastAsia="Arial" w:hAnsi="Arial"/>
          <w:color w:val="000000"/>
          <w:sz w:val="19"/>
          <w:szCs w:val="19"/>
        </w:rPr>
        <w:t xml:space="preserve">build_bundle() orchestration — sf_audit.export() → analysis → ZIP → sign → upload</w:t>
      </w:r>
    </w:p>
    <w:p>
      <w:pPr>
        <w:spacing w:after="60" w:before="60"/>
      </w:pPr>
      <w:r>
        <w:t xml:space="preserve"/>
      </w:r>
    </w:p>
    <w:p>
      <w:pPr>
        <w:shd w:fill="EAF3DE" w:val="clear"/>
        <w:spacing w:after="0" w:before="120"/>
        <w:ind w:left="0"/>
      </w:pPr>
      <w:r>
        <w:rPr>
          <w:rFonts w:ascii="Arial" w:cs="Arial" w:eastAsia="Arial" w:hAnsi="Arial"/>
          <w:b/>
          <w:bCs/>
          <w:color w:val="27500A"/>
          <w:sz w:val="20"/>
          <w:szCs w:val="20"/>
        </w:rPr>
        <w:t xml:space="preserve">  5.6  </w:t>
      </w:r>
      <w:r>
        <w:rPr>
          <w:rFonts w:ascii="Arial" w:cs="Arial" w:eastAsia="Arial" w:hAnsi="Arial"/>
          <w:b/>
          <w:bCs/>
          <w:color w:val="27500A"/>
          <w:sz w:val="20"/>
          <w:szCs w:val="20"/>
        </w:rPr>
        <w:t xml:space="preserve">HMAC-signed PDF attestations — what goes in them and how they are verified</w:t>
      </w:r>
    </w:p>
    <w:p>
      <w:pPr>
        <w:pStyle w:val="ListParagraph"/>
        <w:numPr>
          <w:ilvl w:val="0"/>
          <w:numId w:val="2"/>
        </w:numPr>
        <w:spacing w:after="30" w:before="30"/>
      </w:pPr>
      <w:r>
        <w:rPr>
          <w:rFonts w:ascii="Arial" w:cs="Arial" w:eastAsia="Arial" w:hAnsi="Arial"/>
          <w:color w:val="000000"/>
          <w:sz w:val="19"/>
          <w:szCs w:val="19"/>
        </w:rPr>
        <w:t xml:space="preserve">ComplianceEvidencePackage — the analysis and PDF generation engine</w:t>
      </w:r>
    </w:p>
    <w:p>
      <w:pPr>
        <w:pStyle w:val="ListParagraph"/>
        <w:numPr>
          <w:ilvl w:val="0"/>
          <w:numId w:val="2"/>
        </w:numPr>
        <w:spacing w:after="30" w:before="30"/>
      </w:pPr>
      <w:r>
        <w:rPr>
          <w:rFonts w:ascii="Arial" w:cs="Arial" w:eastAsia="Arial" w:hAnsi="Arial"/>
          <w:color w:val="000000"/>
          <w:sz w:val="19"/>
          <w:szCs w:val="19"/>
        </w:rPr>
        <w:t xml:space="preserve">Clause satisfaction status: SATISFIED, PARTIAL, GAP — and the evidence records behind each</w:t>
      </w:r>
    </w:p>
    <w:p>
      <w:pPr>
        <w:pStyle w:val="ListParagraph"/>
        <w:numPr>
          <w:ilvl w:val="0"/>
          <w:numId w:val="2"/>
        </w:numPr>
        <w:spacing w:after="30" w:before="30"/>
      </w:pPr>
      <w:r>
        <w:rPr>
          <w:rFonts w:ascii="Arial" w:cs="Arial" w:eastAsia="Arial" w:hAnsi="Arial"/>
          <w:color w:val="000000"/>
          <w:sz w:val="19"/>
          <w:szCs w:val="19"/>
        </w:rPr>
        <w:t xml:space="preserve">Standalone verification — how a third-party auditor verifies the PDF without SpanForge</w:t>
      </w:r>
    </w:p>
    <w:p>
      <w:pPr>
        <w:spacing w:after="60" w:before="60"/>
      </w:pPr>
      <w:r>
        <w:t xml:space="preserve"/>
      </w:r>
    </w:p>
    <w:p>
      <w:pPr>
        <w:shd w:fill="EAF3DE" w:val="clear"/>
        <w:spacing w:after="0" w:before="120"/>
        <w:ind w:left="0"/>
      </w:pPr>
      <w:r>
        <w:rPr>
          <w:rFonts w:ascii="Arial" w:cs="Arial" w:eastAsia="Arial" w:hAnsi="Arial"/>
          <w:b/>
          <w:bCs/>
          <w:color w:val="27500A"/>
          <w:sz w:val="20"/>
          <w:szCs w:val="20"/>
        </w:rPr>
        <w:t xml:space="preserve">  5.7  </w:t>
      </w:r>
      <w:r>
        <w:rPr>
          <w:rFonts w:ascii="Arial" w:cs="Arial" w:eastAsia="Arial" w:hAnsi="Arial"/>
          <w:b/>
          <w:bCs/>
          <w:color w:val="27500A"/>
          <w:sz w:val="20"/>
          <w:szCs w:val="20"/>
        </w:rPr>
        <w:t xml:space="preserve">RFC 3161 trusted timestamps — cryptographic proof of existence for legal proceedings</w:t>
      </w:r>
    </w:p>
    <w:p>
      <w:pPr>
        <w:pStyle w:val="ListParagraph"/>
        <w:numPr>
          <w:ilvl w:val="0"/>
          <w:numId w:val="2"/>
        </w:numPr>
        <w:spacing w:after="30" w:before="30"/>
      </w:pPr>
      <w:r>
        <w:rPr>
          <w:rFonts w:ascii="Arial" w:cs="Arial" w:eastAsia="Arial" w:hAnsi="Arial"/>
          <w:color w:val="000000"/>
          <w:sz w:val="19"/>
          <w:szCs w:val="19"/>
        </w:rPr>
        <w:t xml:space="preserve">Why timestamps from the platform itself are insufficient for legal proceedings</w:t>
      </w:r>
    </w:p>
    <w:p>
      <w:pPr>
        <w:pStyle w:val="ListParagraph"/>
        <w:numPr>
          <w:ilvl w:val="0"/>
          <w:numId w:val="2"/>
        </w:numPr>
        <w:spacing w:after="30" w:before="30"/>
      </w:pPr>
      <w:r>
        <w:rPr>
          <w:rFonts w:ascii="Arial" w:cs="Arial" w:eastAsia="Arial" w:hAnsi="Arial"/>
          <w:color w:val="000000"/>
          <w:sz w:val="19"/>
          <w:szCs w:val="19"/>
        </w:rPr>
        <w:t xml:space="preserve">RFC 3161 TSA response format — what the .tsr file contains</w:t>
      </w:r>
    </w:p>
    <w:p>
      <w:pPr>
        <w:pStyle w:val="ListParagraph"/>
        <w:numPr>
          <w:ilvl w:val="0"/>
          <w:numId w:val="2"/>
        </w:numPr>
        <w:spacing w:after="30" w:before="30"/>
      </w:pPr>
      <w:r>
        <w:rPr>
          <w:rFonts w:ascii="Arial" w:cs="Arial" w:eastAsia="Arial" w:hAnsi="Arial"/>
          <w:color w:val="000000"/>
          <w:sz w:val="19"/>
          <w:szCs w:val="19"/>
        </w:rPr>
        <w:t xml:space="preserve">DigiCert and Sectigo as public TSAs — integration patterns</w:t>
      </w:r>
    </w:p>
    <w:p>
      <w:pPr>
        <w:spacing w:after="60" w:before="60"/>
      </w:pPr>
      <w:r>
        <w:t xml:space="preserve"/>
      </w:r>
    </w:p>
    <w:p>
      <w:pPr>
        <w:shd w:fill="EAF3DE" w:val="clear"/>
        <w:spacing w:after="0" w:before="120"/>
        <w:ind w:left="0"/>
      </w:pPr>
      <w:r>
        <w:rPr>
          <w:rFonts w:ascii="Arial" w:cs="Arial" w:eastAsia="Arial" w:hAnsi="Arial"/>
          <w:b/>
          <w:bCs/>
          <w:color w:val="27500A"/>
          <w:sz w:val="20"/>
          <w:szCs w:val="20"/>
        </w:rPr>
        <w:t xml:space="preserve">  5.8  </w:t>
      </w:r>
      <w:r>
        <w:rPr>
          <w:rFonts w:ascii="Arial" w:cs="Arial" w:eastAsia="Arial" w:hAnsi="Arial"/>
          <w:b/>
          <w:bCs/>
          <w:color w:val="27500A"/>
          <w:sz w:val="20"/>
          <w:szCs w:val="20"/>
        </w:rPr>
        <w:t xml:space="preserve">GDPR Article 30 Records of Processing — auto-generating RoPA from audit metadata</w:t>
      </w:r>
    </w:p>
    <w:p>
      <w:pPr>
        <w:pStyle w:val="ListParagraph"/>
        <w:numPr>
          <w:ilvl w:val="0"/>
          <w:numId w:val="2"/>
        </w:numPr>
        <w:spacing w:after="30" w:before="30"/>
      </w:pPr>
      <w:r>
        <w:rPr>
          <w:rFonts w:ascii="Arial" w:cs="Arial" w:eastAsia="Arial" w:hAnsi="Arial"/>
          <w:color w:val="000000"/>
          <w:sz w:val="19"/>
          <w:szCs w:val="19"/>
        </w:rPr>
        <w:t xml:space="preserve">What a Record of Processing Activities must contain under Article 30</w:t>
      </w:r>
    </w:p>
    <w:p>
      <w:pPr>
        <w:pStyle w:val="ListParagraph"/>
        <w:numPr>
          <w:ilvl w:val="0"/>
          <w:numId w:val="2"/>
        </w:numPr>
        <w:spacing w:after="30" w:before="30"/>
      </w:pPr>
      <w:r>
        <w:rPr>
          <w:rFonts w:ascii="Arial" w:cs="Arial" w:eastAsia="Arial" w:hAnsi="Arial"/>
          <w:color w:val="000000"/>
          <w:sz w:val="19"/>
          <w:szCs w:val="19"/>
        </w:rPr>
        <w:t xml:space="preserve">generate_article30_record() — pulling processing metadata from audit records</w:t>
      </w:r>
    </w:p>
    <w:p>
      <w:pPr>
        <w:pStyle w:val="ListParagraph"/>
        <w:numPr>
          <w:ilvl w:val="0"/>
          <w:numId w:val="2"/>
        </w:numPr>
        <w:spacing w:after="30" w:before="30"/>
      </w:pPr>
      <w:r>
        <w:rPr>
          <w:rFonts w:ascii="Arial" w:cs="Arial" w:eastAsia="Arial" w:hAnsi="Arial"/>
          <w:color w:val="000000"/>
          <w:sz w:val="19"/>
          <w:szCs w:val="19"/>
        </w:rPr>
        <w:t xml:space="preserve">JSON and PDF export formats for different regulatory submission contexts</w:t>
      </w:r>
    </w:p>
    <w:p>
      <w:pPr>
        <w:spacing w:after="60" w:before="60"/>
      </w:pPr>
      <w:r>
        <w:t xml:space="preserve"/>
      </w:r>
    </w:p>
    <w:p>
      <w:pPr>
        <w:shd w:fill="EAF3DE" w:val="clear"/>
        <w:spacing w:after="0" w:before="120"/>
        <w:ind w:left="0"/>
      </w:pPr>
      <w:r>
        <w:rPr>
          <w:rFonts w:ascii="Arial" w:cs="Arial" w:eastAsia="Arial" w:hAnsi="Arial"/>
          <w:b/>
          <w:bCs/>
          <w:color w:val="27500A"/>
          <w:sz w:val="20"/>
          <w:szCs w:val="20"/>
        </w:rPr>
        <w:t xml:space="preserve">  5.9  </w:t>
      </w:r>
      <w:r>
        <w:rPr>
          <w:rFonts w:ascii="Arial" w:cs="Arial" w:eastAsia="Arial" w:hAnsi="Arial"/>
          <w:b/>
          <w:bCs/>
          <w:color w:val="27500A"/>
          <w:sz w:val="20"/>
          <w:szCs w:val="20"/>
        </w:rPr>
        <w:t xml:space="preserve">The T.R.U.S.T. scorecard — Transparency, Reliability, UserTrust, Security, Traceability</w:t>
      </w:r>
    </w:p>
    <w:p>
      <w:pPr>
        <w:pStyle w:val="ListParagraph"/>
        <w:numPr>
          <w:ilvl w:val="0"/>
          <w:numId w:val="2"/>
        </w:numPr>
        <w:spacing w:after="30" w:before="30"/>
      </w:pPr>
      <w:r>
        <w:rPr>
          <w:rFonts w:ascii="Arial" w:cs="Arial" w:eastAsia="Arial" w:hAnsi="Arial"/>
          <w:color w:val="000000"/>
          <w:sz w:val="19"/>
          <w:szCs w:val="19"/>
        </w:rPr>
        <w:t xml:space="preserve">Five dimensions: what each measures and how it is scored 0–100</w:t>
      </w:r>
    </w:p>
    <w:p>
      <w:pPr>
        <w:pStyle w:val="ListParagraph"/>
        <w:numPr>
          <w:ilvl w:val="0"/>
          <w:numId w:val="2"/>
        </w:numPr>
        <w:spacing w:after="30" w:before="30"/>
      </w:pPr>
      <w:r>
        <w:rPr>
          <w:rFonts w:ascii="Arial" w:cs="Arial" w:eastAsia="Arial" w:hAnsi="Arial"/>
          <w:color w:val="000000"/>
          <w:sz w:val="19"/>
          <w:szCs w:val="19"/>
        </w:rPr>
        <w:t xml:space="preserve">Weighted average configuration and how to calibrate weights for different risk profiles</w:t>
      </w:r>
    </w:p>
    <w:p>
      <w:pPr>
        <w:pStyle w:val="ListParagraph"/>
        <w:numPr>
          <w:ilvl w:val="0"/>
          <w:numId w:val="2"/>
        </w:numPr>
        <w:spacing w:after="30" w:before="30"/>
      </w:pPr>
      <w:r>
        <w:rPr>
          <w:rFonts w:ascii="Arial" w:cs="Arial" w:eastAsia="Arial" w:hAnsi="Arial"/>
          <w:color w:val="000000"/>
          <w:sz w:val="19"/>
          <w:szCs w:val="19"/>
        </w:rPr>
        <w:t xml:space="preserve">T.R.U.S.T. badge SVG — ETag cache-busting and shield.io-style colour bands</w:t>
      </w:r>
    </w:p>
    <w:p>
      <w:pPr>
        <w:spacing w:after="60" w:before="60"/>
      </w:pPr>
      <w:r>
        <w:t xml:space="preserve"/>
      </w:r>
    </w:p>
    <w:p>
      <w:pPr>
        <w:shd w:fill="EAF3DE" w:val="clear"/>
        <w:spacing w:after="0" w:before="120"/>
        <w:ind w:left="0"/>
      </w:pPr>
      <w:r>
        <w:rPr>
          <w:rFonts w:ascii="Arial" w:cs="Arial" w:eastAsia="Arial" w:hAnsi="Arial"/>
          <w:b/>
          <w:bCs/>
          <w:color w:val="27500A"/>
          <w:sz w:val="20"/>
          <w:szCs w:val="20"/>
        </w:rPr>
        <w:t xml:space="preserve">  5.10  </w:t>
      </w:r>
      <w:r>
        <w:rPr>
          <w:rFonts w:ascii="Arial" w:cs="Arial" w:eastAsia="Arial" w:hAnsi="Arial"/>
          <w:b/>
          <w:bCs/>
          <w:color w:val="27500A"/>
          <w:sz w:val="20"/>
          <w:szCs w:val="20"/>
        </w:rPr>
        <w:t xml:space="preserve">Human-in-the-Loop — EU AI Act Article 14, HITL queues, SLA tracking, escalation</w:t>
      </w:r>
    </w:p>
    <w:p>
      <w:pPr>
        <w:pStyle w:val="ListParagraph"/>
        <w:numPr>
          <w:ilvl w:val="0"/>
          <w:numId w:val="2"/>
        </w:numPr>
        <w:spacing w:after="30" w:before="30"/>
      </w:pPr>
      <w:r>
        <w:rPr>
          <w:rFonts w:ascii="Arial" w:cs="Arial" w:eastAsia="Arial" w:hAnsi="Arial"/>
          <w:color w:val="000000"/>
          <w:sz w:val="19"/>
          <w:szCs w:val="19"/>
        </w:rPr>
        <w:t xml:space="preserve">HITLQueue as a first-class compliance module — not a workflow tool</w:t>
      </w:r>
    </w:p>
    <w:p>
      <w:pPr>
        <w:pStyle w:val="ListParagraph"/>
        <w:numPr>
          <w:ilvl w:val="0"/>
          <w:numId w:val="2"/>
        </w:numPr>
        <w:spacing w:after="30" w:before="30"/>
      </w:pPr>
      <w:r>
        <w:rPr>
          <w:rFonts w:ascii="Arial" w:cs="Arial" w:eastAsia="Arial" w:hAnsi="Arial"/>
          <w:color w:val="000000"/>
          <w:sz w:val="19"/>
          <w:szCs w:val="19"/>
        </w:rPr>
        <w:t xml:space="preserve">SLA tracking and escalation — what happens when a review exceeds its time budget</w:t>
      </w:r>
    </w:p>
    <w:p>
      <w:pPr>
        <w:pStyle w:val="ListParagraph"/>
        <w:numPr>
          <w:ilvl w:val="0"/>
          <w:numId w:val="2"/>
        </w:numPr>
        <w:spacing w:after="30" w:before="30"/>
      </w:pPr>
      <w:r>
        <w:rPr>
          <w:rFonts w:ascii="Arial" w:cs="Arial" w:eastAsia="Arial" w:hAnsi="Arial"/>
          <w:color w:val="000000"/>
          <w:sz w:val="19"/>
          <w:szCs w:val="19"/>
        </w:rPr>
        <w:t xml:space="preserve">How HITL review events are emitted into the HMAC audit chain as compliance evidence</w:t>
      </w:r>
    </w:p>
    <w:p>
      <w:pPr>
        <w:spacing w:after="60" w:before="60"/>
      </w:pPr>
      <w:r>
        <w:t xml:space="preserve"/>
      </w:r>
    </w:p>
    <w:p>
      <w:pPr>
        <w:pBdr>
          <w:bottom w:val="single" w:color="2E75B6" w:sz="4"/>
        </w:pBdr>
        <w:spacing w:after="140" w:before="140"/>
      </w:pPr>
      <w:r>
        <w:t xml:space="preserve"/>
      </w:r>
    </w:p>
    <w:p>
      <w:r>
        <w:br w:type="pag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5800"/>
        <w:gridCol w:w="1200"/>
        <w:gridCol w:w="1200"/>
      </w:tblGrid>
      <w:tr>
        <w:tc>
          <w:tcPr>
            <w:tcW w:type="dxa" w:w="1200"/>
            <w:tcBorders>
              <w:top w:val="single" w:color="3C3489" w:sz="6"/>
              <w:left w:val="single" w:color="3C3489" w:sz="6"/>
              <w:bottom w:val="single" w:color="3C3489" w:sz="6"/>
              <w:right w:val="single" w:color="CCCCCC" w:sz="1"/>
            </w:tcBorders>
            <w:shd w:fill="EEEDFE" w:val="clear"/>
            <w:tcMar>
              <w:top w:type="dxa" w:w="120"/>
              <w:left w:type="dxa" w:w="140"/>
              <w:bottom w:type="dxa" w:w="120"/>
              <w:right w:type="dxa" w:w="140"/>
            </w:tcMar>
            <w:vAlign w:val="center"/>
          </w:tcPr>
          <w:p>
            <w:pPr>
              <w:jc w:val="center"/>
            </w:pPr>
            <w:r>
              <w:rPr>
                <w:rFonts w:ascii="Arial" w:cs="Arial" w:eastAsia="Arial" w:hAnsi="Arial"/>
                <w:b/>
                <w:bCs/>
                <w:color w:val="3C3489"/>
                <w:sz w:val="20"/>
                <w:szCs w:val="20"/>
              </w:rPr>
              <w:t xml:space="preserve">Part 6</w:t>
            </w:r>
          </w:p>
          <w:p>
            <w:pPr>
              <w:spacing w:before="20"/>
              <w:jc w:val="center"/>
            </w:pPr>
            <w:r>
              <w:rPr>
                <w:rFonts w:ascii="Arial" w:cs="Arial" w:eastAsia="Arial" w:hAnsi="Arial"/>
                <w:color w:val="3C3489"/>
                <w:sz w:val="15"/>
                <w:szCs w:val="15"/>
              </w:rPr>
              <w:t xml:space="preserve">advanced</w:t>
            </w:r>
          </w:p>
        </w:tc>
        <w:tc>
          <w:tcPr>
            <w:tcW w:type="dxa" w:w="5800"/>
            <w:tcBorders>
              <w:top w:val="single" w:color="3C3489" w:sz="6"/>
              <w:left w:val="single" w:color="CCCCCC" w:sz="1"/>
              <w:bottom w:val="single" w:color="3C3489" w:sz="6"/>
              <w:right w:val="single" w:color="CCCCCC" w:sz="1"/>
            </w:tcBorders>
            <w:shd w:fill="FFFFFF" w:val="clear"/>
            <w:tcMar>
              <w:top w:type="dxa" w:w="120"/>
              <w:left w:type="dxa" w:w="180"/>
              <w:bottom w:type="dxa" w:w="120"/>
              <w:right w:type="dxa" w:w="140"/>
            </w:tcMar>
          </w:tcPr>
          <w:p>
            <w:r>
              <w:rPr>
                <w:rFonts w:ascii="Arial" w:cs="Arial" w:eastAsia="Arial" w:hAnsi="Arial"/>
                <w:b/>
                <w:bCs/>
                <w:color w:val="1F4E79"/>
                <w:sz w:val="24"/>
                <w:szCs w:val="24"/>
              </w:rPr>
              <w:t xml:space="preserve">SDK architecture — building services the right way</w:t>
            </w:r>
          </w:p>
        </w:tc>
        <w:tc>
          <w:tcPr>
            <w:tcW w:type="dxa" w:w="1200"/>
            <w:tcBorders>
              <w:top w:val="single" w:color="3C3489" w:sz="6"/>
              <w:left w:val="single" w:color="CCCCCC" w:sz="1"/>
              <w:bottom w:val="single" w:color="3C3489" w:sz="6"/>
              <w:right w:val="single" w:color="CCCCCC" w:sz="1"/>
            </w:tcBorders>
            <w:shd w:fill="F2F2F2" w:val="clear"/>
            <w:tcMar>
              <w:top w:type="dxa" w:w="120"/>
              <w:left w:type="dxa" w:w="120"/>
              <w:bottom w:type="dxa" w:w="120"/>
              <w:right w:type="dxa" w:w="120"/>
            </w:tcMar>
          </w:tcPr>
          <w:p>
            <w:pPr>
              <w:jc w:val="center"/>
            </w:pPr>
            <w:r>
              <w:rPr>
                <w:rFonts w:ascii="Arial" w:cs="Arial" w:eastAsia="Arial" w:hAnsi="Arial"/>
                <w:b/>
                <w:bCs/>
                <w:color w:val="2E75B6"/>
                <w:sz w:val="26"/>
                <w:szCs w:val="26"/>
              </w:rPr>
              <w:t xml:space="preserve">12</w:t>
            </w:r>
          </w:p>
          <w:p>
            <w:pPr>
              <w:spacing w:before="20"/>
              <w:jc w:val="center"/>
            </w:pPr>
            <w:r>
              <w:rPr>
                <w:rFonts w:ascii="Arial" w:cs="Arial" w:eastAsia="Arial" w:hAnsi="Arial"/>
                <w:color w:val="404040"/>
                <w:sz w:val="15"/>
                <w:szCs w:val="15"/>
              </w:rPr>
              <w:t xml:space="preserve">chapters</w:t>
            </w:r>
          </w:p>
        </w:tc>
        <w:tc>
          <w:tcPr>
            <w:tcW w:type="dxa" w:w="1200"/>
            <w:tcBorders>
              <w:top w:val="single" w:color="3C3489" w:sz="6"/>
              <w:left w:val="single" w:color="CCCCCC" w:sz="1"/>
              <w:bottom w:val="single" w:color="3C3489" w:sz="6"/>
              <w:right w:val="single" w:color="3C3489" w:sz="6"/>
            </w:tcBorders>
            <w:shd w:fill="F2F2F2" w:val="clear"/>
            <w:tcMar>
              <w:top w:type="dxa" w:w="120"/>
              <w:left w:type="dxa" w:w="120"/>
              <w:bottom w:type="dxa" w:w="120"/>
              <w:right w:type="dxa" w:w="120"/>
            </w:tcMar>
          </w:tcPr>
          <w:p>
            <w:pPr>
              <w:jc w:val="center"/>
            </w:pPr>
            <w:r>
              <w:rPr>
                <w:rFonts w:ascii="Arial" w:cs="Arial" w:eastAsia="Arial" w:hAnsi="Arial"/>
                <w:b/>
                <w:bCs/>
                <w:color w:val="404040"/>
                <w:sz w:val="20"/>
                <w:szCs w:val="20"/>
              </w:rPr>
              <w:t xml:space="preserve">~18 hrs</w:t>
            </w:r>
          </w:p>
          <w:p>
            <w:pPr>
              <w:spacing w:before="20"/>
              <w:jc w:val="center"/>
            </w:pPr>
            <w:r>
              <w:rPr>
                <w:rFonts w:ascii="Arial" w:cs="Arial" w:eastAsia="Arial" w:hAnsi="Arial"/>
                <w:color w:val="404040"/>
                <w:sz w:val="15"/>
                <w:szCs w:val="15"/>
              </w:rPr>
              <w:t xml:space="preserve">est. time</w:t>
            </w:r>
          </w:p>
        </w:tc>
      </w:tr>
    </w:tbl>
    <w:p>
      <w:pPr>
        <w:spacing w:after="60" w:before="60"/>
      </w:pPr>
      <w:r>
        <w:t xml:space="preserve"/>
      </w:r>
    </w:p>
    <w:p>
      <w:pPr>
        <w:spacing w:after="60" w:before="60"/>
      </w:pPr>
      <w:r>
        <w:rPr>
          <w:rFonts w:ascii="Arial" w:cs="Arial" w:eastAsia="Arial" w:hAnsi="Arial"/>
          <w:b w:val="false"/>
          <w:bCs w:val="false"/>
          <w:color w:val="404040"/>
          <w:sz w:val="20"/>
          <w:szCs w:val="20"/>
        </w:rPr>
        <w:t xml:space="preserve">This is the engineering education core of the curriculum. The patterns SpanForge uses — circuit breaker, sliding window rate limiter, zero-dependency design, namespace schemas, plugin discovery, auto-instrumentation — all transfer directly to any SDK or platform library.</w:t>
      </w:r>
    </w:p>
    <w:p>
      <w:pPr>
        <w:spacing w:after="6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800"/>
        <w:gridCol w:w="7700"/>
        <w:gridCol w:w="900"/>
      </w:tblGrid>
      <w:tr>
        <w:tc>
          <w:tcPr>
            <w:tcW w:type="dxa" w:w="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80"/>
            </w:tcMar>
          </w:tcPr>
          <w:p>
            <w:pPr>
              <w:jc w:val="center"/>
            </w:pPr>
            <w:r>
              <w:rPr>
                <w:rFonts w:ascii="Arial" w:cs="Arial" w:eastAsia="Arial" w:hAnsi="Arial"/>
                <w:b/>
                <w:bCs/>
                <w:color w:val="3C3489"/>
                <w:sz w:val="17"/>
                <w:szCs w:val="17"/>
              </w:rPr>
              <w:t xml:space="preserve">6.1</w:t>
            </w:r>
          </w:p>
        </w:tc>
        <w:tc>
          <w:tcPr>
            <w:tcW w:type="dxa" w:w="7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000000"/>
                <w:sz w:val="19"/>
                <w:szCs w:val="19"/>
              </w:rPr>
              <w:t xml:space="preserve">The SFServiceClient base class — retry, circuit breaker, auth refresh, fallback</w:t>
            </w:r>
          </w:p>
        </w:tc>
        <w:tc>
          <w:tcPr>
            <w:tcW w:type="dxa" w:w="900"/>
            <w:tcBorders>
              <w:top w:val="single" w:color="CCCCCC" w:sz="1"/>
              <w:left w:val="single" w:color="CCCCCC" w:sz="1"/>
              <w:bottom w:val="single" w:color="CCCCCC" w:sz="1"/>
              <w:right w:val="single" w:color="CCCCCC" w:sz="1"/>
            </w:tcBorders>
            <w:shd w:fill="EEEDFE" w:val="clear"/>
            <w:tcMar>
              <w:top w:type="dxa" w:w="80"/>
              <w:left w:type="dxa" w:w="80"/>
              <w:bottom w:type="dxa" w:w="80"/>
              <w:right w:type="dxa" w:w="80"/>
            </w:tcMar>
          </w:tcPr>
          <w:p>
            <w:pPr>
              <w:jc w:val="center"/>
            </w:pPr>
            <w:r>
              <w:rPr>
                <w:rFonts w:ascii="Arial" w:cs="Arial" w:eastAsia="Arial" w:hAnsi="Arial"/>
                <w:color w:val="3C3489"/>
                <w:sz w:val="15"/>
                <w:szCs w:val="15"/>
              </w:rPr>
              <w:t xml:space="preserve">advanced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bCs/>
                <w:color w:val="3C3489"/>
                <w:sz w:val="17"/>
                <w:szCs w:val="17"/>
              </w:rPr>
              <w:t xml:space="preserve">6.2</w:t>
            </w:r>
          </w:p>
        </w:tc>
        <w:tc>
          <w:tcPr>
            <w:tcW w:type="dxa" w:w="77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color w:val="000000"/>
                <w:sz w:val="19"/>
                <w:szCs w:val="19"/>
              </w:rPr>
              <w:t xml:space="preserve">Circuit breaker pattern — failure thresholds, OPEN/CLOSED/HALF-OPEN states</w:t>
            </w:r>
          </w:p>
        </w:tc>
        <w:tc>
          <w:tcPr>
            <w:tcW w:type="dxa" w:w="900"/>
            <w:tcBorders>
              <w:top w:val="single" w:color="CCCCCC" w:sz="1"/>
              <w:left w:val="single" w:color="CCCCCC" w:sz="1"/>
              <w:bottom w:val="single" w:color="CCCCCC" w:sz="1"/>
              <w:right w:val="single" w:color="CCCCCC" w:sz="1"/>
            </w:tcBorders>
            <w:shd w:fill="EEEDFE" w:val="clear"/>
            <w:tcMar>
              <w:top w:type="dxa" w:w="80"/>
              <w:left w:type="dxa" w:w="80"/>
              <w:bottom w:type="dxa" w:w="80"/>
              <w:right w:type="dxa" w:w="80"/>
            </w:tcMar>
          </w:tcPr>
          <w:p>
            <w:pPr>
              <w:jc w:val="center"/>
            </w:pPr>
            <w:r>
              <w:rPr>
                <w:rFonts w:ascii="Arial" w:cs="Arial" w:eastAsia="Arial" w:hAnsi="Arial"/>
                <w:color w:val="3C3489"/>
                <w:sz w:val="15"/>
                <w:szCs w:val="15"/>
              </w:rPr>
              <w:t xml:space="preserve">advanced</w:t>
            </w:r>
          </w:p>
        </w:tc>
      </w:tr>
      <w:tr>
        <w:tc>
          <w:tcPr>
            <w:tcW w:type="dxa" w:w="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80"/>
            </w:tcMar>
          </w:tcPr>
          <w:p>
            <w:pPr>
              <w:jc w:val="center"/>
            </w:pPr>
            <w:r>
              <w:rPr>
                <w:rFonts w:ascii="Arial" w:cs="Arial" w:eastAsia="Arial" w:hAnsi="Arial"/>
                <w:b/>
                <w:bCs/>
                <w:color w:val="3C3489"/>
                <w:sz w:val="17"/>
                <w:szCs w:val="17"/>
              </w:rPr>
              <w:t xml:space="preserve">6.3</w:t>
            </w:r>
          </w:p>
        </w:tc>
        <w:tc>
          <w:tcPr>
            <w:tcW w:type="dxa" w:w="7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000000"/>
                <w:sz w:val="19"/>
                <w:szCs w:val="19"/>
              </w:rPr>
              <w:t xml:space="preserve">Sliding window rate limiting — per-key counters without external dependencies</w:t>
            </w:r>
          </w:p>
        </w:tc>
        <w:tc>
          <w:tcPr>
            <w:tcW w:type="dxa" w:w="900"/>
            <w:tcBorders>
              <w:top w:val="single" w:color="CCCCCC" w:sz="1"/>
              <w:left w:val="single" w:color="CCCCCC" w:sz="1"/>
              <w:bottom w:val="single" w:color="CCCCCC" w:sz="1"/>
              <w:right w:val="single" w:color="CCCCCC" w:sz="1"/>
            </w:tcBorders>
            <w:shd w:fill="EEEDFE" w:val="clear"/>
            <w:tcMar>
              <w:top w:type="dxa" w:w="80"/>
              <w:left w:type="dxa" w:w="80"/>
              <w:bottom w:type="dxa" w:w="80"/>
              <w:right w:type="dxa" w:w="80"/>
            </w:tcMar>
          </w:tcPr>
          <w:p>
            <w:pPr>
              <w:jc w:val="center"/>
            </w:pPr>
            <w:r>
              <w:rPr>
                <w:rFonts w:ascii="Arial" w:cs="Arial" w:eastAsia="Arial" w:hAnsi="Arial"/>
                <w:color w:val="3C3489"/>
                <w:sz w:val="15"/>
                <w:szCs w:val="15"/>
              </w:rPr>
              <w:t xml:space="preserve">advanced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bCs/>
                <w:color w:val="3C3489"/>
                <w:sz w:val="17"/>
                <w:szCs w:val="17"/>
              </w:rPr>
              <w:t xml:space="preserve">6.4</w:t>
            </w:r>
          </w:p>
        </w:tc>
        <w:tc>
          <w:tcPr>
            <w:tcW w:type="dxa" w:w="77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color w:val="000000"/>
                <w:sz w:val="19"/>
                <w:szCs w:val="19"/>
              </w:rPr>
              <w:t xml:space="preserve">Local fallback architecture — graceful degradation when services are unreachable</w:t>
            </w:r>
          </w:p>
        </w:tc>
        <w:tc>
          <w:tcPr>
            <w:tcW w:type="dxa" w:w="900"/>
            <w:tcBorders>
              <w:top w:val="single" w:color="CCCCCC" w:sz="1"/>
              <w:left w:val="single" w:color="CCCCCC" w:sz="1"/>
              <w:bottom w:val="single" w:color="CCCCCC" w:sz="1"/>
              <w:right w:val="single" w:color="CCCCCC" w:sz="1"/>
            </w:tcBorders>
            <w:shd w:fill="EEEDFE" w:val="clear"/>
            <w:tcMar>
              <w:top w:type="dxa" w:w="80"/>
              <w:left w:type="dxa" w:w="80"/>
              <w:bottom w:type="dxa" w:w="80"/>
              <w:right w:type="dxa" w:w="80"/>
            </w:tcMar>
          </w:tcPr>
          <w:p>
            <w:pPr>
              <w:jc w:val="center"/>
            </w:pPr>
            <w:r>
              <w:rPr>
                <w:rFonts w:ascii="Arial" w:cs="Arial" w:eastAsia="Arial" w:hAnsi="Arial"/>
                <w:color w:val="3C3489"/>
                <w:sz w:val="15"/>
                <w:szCs w:val="15"/>
              </w:rPr>
              <w:t xml:space="preserve">advanced</w:t>
            </w:r>
          </w:p>
        </w:tc>
      </w:tr>
      <w:tr>
        <w:tc>
          <w:tcPr>
            <w:tcW w:type="dxa" w:w="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80"/>
            </w:tcMar>
          </w:tcPr>
          <w:p>
            <w:pPr>
              <w:jc w:val="center"/>
            </w:pPr>
            <w:r>
              <w:rPr>
                <w:rFonts w:ascii="Arial" w:cs="Arial" w:eastAsia="Arial" w:hAnsi="Arial"/>
                <w:b/>
                <w:bCs/>
                <w:color w:val="3C3489"/>
                <w:sz w:val="17"/>
                <w:szCs w:val="17"/>
              </w:rPr>
              <w:t xml:space="preserve">6.5</w:t>
            </w:r>
          </w:p>
        </w:tc>
        <w:tc>
          <w:tcPr>
            <w:tcW w:type="dxa" w:w="7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000000"/>
                <w:sz w:val="19"/>
                <w:szCs w:val="19"/>
              </w:rPr>
              <w:t xml:space="preserve">Zero required dependencies — designing with stdlib-only constraints</w:t>
            </w:r>
          </w:p>
        </w:tc>
        <w:tc>
          <w:tcPr>
            <w:tcW w:type="dxa" w:w="900"/>
            <w:tcBorders>
              <w:top w:val="single" w:color="CCCCCC" w:sz="1"/>
              <w:left w:val="single" w:color="CCCCCC" w:sz="1"/>
              <w:bottom w:val="single" w:color="CCCCCC" w:sz="1"/>
              <w:right w:val="single" w:color="CCCCCC" w:sz="1"/>
            </w:tcBorders>
            <w:shd w:fill="EEEDFE" w:val="clear"/>
            <w:tcMar>
              <w:top w:type="dxa" w:w="80"/>
              <w:left w:type="dxa" w:w="80"/>
              <w:bottom w:type="dxa" w:w="80"/>
              <w:right w:type="dxa" w:w="80"/>
            </w:tcMar>
          </w:tcPr>
          <w:p>
            <w:pPr>
              <w:jc w:val="center"/>
            </w:pPr>
            <w:r>
              <w:rPr>
                <w:rFonts w:ascii="Arial" w:cs="Arial" w:eastAsia="Arial" w:hAnsi="Arial"/>
                <w:color w:val="3C3489"/>
                <w:sz w:val="15"/>
                <w:szCs w:val="15"/>
              </w:rPr>
              <w:t xml:space="preserve">advanced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bCs/>
                <w:color w:val="3C3489"/>
                <w:sz w:val="17"/>
                <w:szCs w:val="17"/>
              </w:rPr>
              <w:t xml:space="preserve">6.6</w:t>
            </w:r>
          </w:p>
        </w:tc>
        <w:tc>
          <w:tcPr>
            <w:tcW w:type="dxa" w:w="77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color w:val="000000"/>
                <w:sz w:val="19"/>
                <w:szCs w:val="19"/>
              </w:rPr>
              <w:t xml:space="preserve">The namespace schema system — 19 namespaces, dataclasses, and RFC-grounded design</w:t>
            </w:r>
          </w:p>
        </w:tc>
        <w:tc>
          <w:tcPr>
            <w:tcW w:type="dxa" w:w="900"/>
            <w:tcBorders>
              <w:top w:val="single" w:color="CCCCCC" w:sz="1"/>
              <w:left w:val="single" w:color="CCCCCC" w:sz="1"/>
              <w:bottom w:val="single" w:color="CCCCCC" w:sz="1"/>
              <w:right w:val="single" w:color="CCCCCC" w:sz="1"/>
            </w:tcBorders>
            <w:shd w:fill="EEEDFE" w:val="clear"/>
            <w:tcMar>
              <w:top w:type="dxa" w:w="80"/>
              <w:left w:type="dxa" w:w="80"/>
              <w:bottom w:type="dxa" w:w="80"/>
              <w:right w:type="dxa" w:w="80"/>
            </w:tcMar>
          </w:tcPr>
          <w:p>
            <w:pPr>
              <w:jc w:val="center"/>
            </w:pPr>
            <w:r>
              <w:rPr>
                <w:rFonts w:ascii="Arial" w:cs="Arial" w:eastAsia="Arial" w:hAnsi="Arial"/>
                <w:color w:val="3C3489"/>
                <w:sz w:val="15"/>
                <w:szCs w:val="15"/>
              </w:rPr>
              <w:t xml:space="preserve">advanced</w:t>
            </w:r>
          </w:p>
        </w:tc>
      </w:tr>
      <w:tr>
        <w:tc>
          <w:tcPr>
            <w:tcW w:type="dxa" w:w="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80"/>
            </w:tcMar>
          </w:tcPr>
          <w:p>
            <w:pPr>
              <w:jc w:val="center"/>
            </w:pPr>
            <w:r>
              <w:rPr>
                <w:rFonts w:ascii="Arial" w:cs="Arial" w:eastAsia="Arial" w:hAnsi="Arial"/>
                <w:b/>
                <w:bCs/>
                <w:color w:val="3C3489"/>
                <w:sz w:val="17"/>
                <w:szCs w:val="17"/>
              </w:rPr>
              <w:t xml:space="preserve">6.7</w:t>
            </w:r>
          </w:p>
        </w:tc>
        <w:tc>
          <w:tcPr>
            <w:tcW w:type="dxa" w:w="7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000000"/>
                <w:sz w:val="19"/>
                <w:szCs w:val="19"/>
              </w:rPr>
              <w:t xml:space="preserve">The plugin system — entry-point discovery and third-party scorer registration</w:t>
            </w:r>
          </w:p>
        </w:tc>
        <w:tc>
          <w:tcPr>
            <w:tcW w:type="dxa" w:w="900"/>
            <w:tcBorders>
              <w:top w:val="single" w:color="CCCCCC" w:sz="1"/>
              <w:left w:val="single" w:color="CCCCCC" w:sz="1"/>
              <w:bottom w:val="single" w:color="CCCCCC" w:sz="1"/>
              <w:right w:val="single" w:color="CCCCCC" w:sz="1"/>
            </w:tcBorders>
            <w:shd w:fill="EEEDFE" w:val="clear"/>
            <w:tcMar>
              <w:top w:type="dxa" w:w="80"/>
              <w:left w:type="dxa" w:w="80"/>
              <w:bottom w:type="dxa" w:w="80"/>
              <w:right w:type="dxa" w:w="80"/>
            </w:tcMar>
          </w:tcPr>
          <w:p>
            <w:pPr>
              <w:jc w:val="center"/>
            </w:pPr>
            <w:r>
              <w:rPr>
                <w:rFonts w:ascii="Arial" w:cs="Arial" w:eastAsia="Arial" w:hAnsi="Arial"/>
                <w:color w:val="3C3489"/>
                <w:sz w:val="15"/>
                <w:szCs w:val="15"/>
              </w:rPr>
              <w:t xml:space="preserve">advanced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bCs/>
                <w:color w:val="3C3489"/>
                <w:sz w:val="17"/>
                <w:szCs w:val="17"/>
              </w:rPr>
              <w:t xml:space="preserve">6.8</w:t>
            </w:r>
          </w:p>
        </w:tc>
        <w:tc>
          <w:tcPr>
            <w:tcW w:type="dxa" w:w="77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color w:val="000000"/>
                <w:sz w:val="19"/>
                <w:szCs w:val="19"/>
              </w:rPr>
              <w:t xml:space="preserve">Auto-instrumentation — monkey-patching 8 providers without breaking their APIs</w:t>
            </w:r>
          </w:p>
        </w:tc>
        <w:tc>
          <w:tcPr>
            <w:tcW w:type="dxa" w:w="900"/>
            <w:tcBorders>
              <w:top w:val="single" w:color="CCCCCC" w:sz="1"/>
              <w:left w:val="single" w:color="CCCCCC" w:sz="1"/>
              <w:bottom w:val="single" w:color="CCCCCC" w:sz="1"/>
              <w:right w:val="single" w:color="CCCCCC" w:sz="1"/>
            </w:tcBorders>
            <w:shd w:fill="EEEDFE" w:val="clear"/>
            <w:tcMar>
              <w:top w:type="dxa" w:w="80"/>
              <w:left w:type="dxa" w:w="80"/>
              <w:bottom w:type="dxa" w:w="80"/>
              <w:right w:type="dxa" w:w="80"/>
            </w:tcMar>
          </w:tcPr>
          <w:p>
            <w:pPr>
              <w:jc w:val="center"/>
            </w:pPr>
            <w:r>
              <w:rPr>
                <w:rFonts w:ascii="Arial" w:cs="Arial" w:eastAsia="Arial" w:hAnsi="Arial"/>
                <w:color w:val="3C3489"/>
                <w:sz w:val="15"/>
                <w:szCs w:val="15"/>
              </w:rPr>
              <w:t xml:space="preserve">advanced</w:t>
            </w:r>
          </w:p>
        </w:tc>
      </w:tr>
      <w:tr>
        <w:tc>
          <w:tcPr>
            <w:tcW w:type="dxa" w:w="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80"/>
            </w:tcMar>
          </w:tcPr>
          <w:p>
            <w:pPr>
              <w:jc w:val="center"/>
            </w:pPr>
            <w:r>
              <w:rPr>
                <w:rFonts w:ascii="Arial" w:cs="Arial" w:eastAsia="Arial" w:hAnsi="Arial"/>
                <w:b/>
                <w:bCs/>
                <w:color w:val="3C3489"/>
                <w:sz w:val="17"/>
                <w:szCs w:val="17"/>
              </w:rPr>
              <w:t xml:space="preserve">6.9</w:t>
            </w:r>
          </w:p>
        </w:tc>
        <w:tc>
          <w:tcPr>
            <w:tcW w:type="dxa" w:w="7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000000"/>
                <w:sz w:val="19"/>
                <w:szCs w:val="19"/>
              </w:rPr>
              <w:t xml:space="preserve">The prompt registry — versioning, A/B routing, and reproducible audit trails</w:t>
            </w:r>
          </w:p>
        </w:tc>
        <w:tc>
          <w:tcPr>
            <w:tcW w:type="dxa" w:w="900"/>
            <w:tcBorders>
              <w:top w:val="single" w:color="CCCCCC" w:sz="1"/>
              <w:left w:val="single" w:color="CCCCCC" w:sz="1"/>
              <w:bottom w:val="single" w:color="CCCCCC" w:sz="1"/>
              <w:right w:val="single" w:color="CCCCCC" w:sz="1"/>
            </w:tcBorders>
            <w:shd w:fill="EEEDFE" w:val="clear"/>
            <w:tcMar>
              <w:top w:type="dxa" w:w="80"/>
              <w:left w:type="dxa" w:w="80"/>
              <w:bottom w:type="dxa" w:w="80"/>
              <w:right w:type="dxa" w:w="80"/>
            </w:tcMar>
          </w:tcPr>
          <w:p>
            <w:pPr>
              <w:jc w:val="center"/>
            </w:pPr>
            <w:r>
              <w:rPr>
                <w:rFonts w:ascii="Arial" w:cs="Arial" w:eastAsia="Arial" w:hAnsi="Arial"/>
                <w:color w:val="3C3489"/>
                <w:sz w:val="15"/>
                <w:szCs w:val="15"/>
              </w:rPr>
              <w:t xml:space="preserve">advanced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bCs/>
                <w:color w:val="3C3489"/>
                <w:sz w:val="17"/>
                <w:szCs w:val="17"/>
              </w:rPr>
              <w:t xml:space="preserve">6.10</w:t>
            </w:r>
          </w:p>
        </w:tc>
        <w:tc>
          <w:tcPr>
            <w:tcW w:type="dxa" w:w="77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color w:val="000000"/>
                <w:sz w:val="19"/>
                <w:szCs w:val="19"/>
              </w:rPr>
              <w:t xml:space="preserve">Model registry — lifecycle tracking (active → deprecated → retired) with HMAC events</w:t>
            </w:r>
          </w:p>
        </w:tc>
        <w:tc>
          <w:tcPr>
            <w:tcW w:type="dxa" w:w="900"/>
            <w:tcBorders>
              <w:top w:val="single" w:color="CCCCCC" w:sz="1"/>
              <w:left w:val="single" w:color="CCCCCC" w:sz="1"/>
              <w:bottom w:val="single" w:color="CCCCCC" w:sz="1"/>
              <w:right w:val="single" w:color="CCCCCC" w:sz="1"/>
            </w:tcBorders>
            <w:shd w:fill="EEEDFE" w:val="clear"/>
            <w:tcMar>
              <w:top w:type="dxa" w:w="80"/>
              <w:left w:type="dxa" w:w="80"/>
              <w:bottom w:type="dxa" w:w="80"/>
              <w:right w:type="dxa" w:w="80"/>
            </w:tcMar>
          </w:tcPr>
          <w:p>
            <w:pPr>
              <w:jc w:val="center"/>
            </w:pPr>
            <w:r>
              <w:rPr>
                <w:rFonts w:ascii="Arial" w:cs="Arial" w:eastAsia="Arial" w:hAnsi="Arial"/>
                <w:color w:val="3C3489"/>
                <w:sz w:val="15"/>
                <w:szCs w:val="15"/>
              </w:rPr>
              <w:t xml:space="preserve">advanced</w:t>
            </w:r>
          </w:p>
        </w:tc>
      </w:tr>
      <w:tr>
        <w:tc>
          <w:tcPr>
            <w:tcW w:type="dxa" w:w="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80"/>
            </w:tcMar>
          </w:tcPr>
          <w:p>
            <w:pPr>
              <w:jc w:val="center"/>
            </w:pPr>
            <w:r>
              <w:rPr>
                <w:rFonts w:ascii="Arial" w:cs="Arial" w:eastAsia="Arial" w:hAnsi="Arial"/>
                <w:b/>
                <w:bCs/>
                <w:color w:val="3C3489"/>
                <w:sz w:val="17"/>
                <w:szCs w:val="17"/>
              </w:rPr>
              <w:t xml:space="preserve">6.11</w:t>
            </w:r>
          </w:p>
        </w:tc>
        <w:tc>
          <w:tcPr>
            <w:tcW w:type="dxa" w:w="7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000000"/>
                <w:sz w:val="19"/>
                <w:szCs w:val="19"/>
              </w:rPr>
              <w:t xml:space="preserve">Schema migration — v1 → v2 event migration and the MD5 rehash pattern</w:t>
            </w:r>
          </w:p>
        </w:tc>
        <w:tc>
          <w:tcPr>
            <w:tcW w:type="dxa" w:w="900"/>
            <w:tcBorders>
              <w:top w:val="single" w:color="CCCCCC" w:sz="1"/>
              <w:left w:val="single" w:color="CCCCCC" w:sz="1"/>
              <w:bottom w:val="single" w:color="CCCCCC" w:sz="1"/>
              <w:right w:val="single" w:color="CCCCCC" w:sz="1"/>
            </w:tcBorders>
            <w:shd w:fill="EEEDFE" w:val="clear"/>
            <w:tcMar>
              <w:top w:type="dxa" w:w="80"/>
              <w:left w:type="dxa" w:w="80"/>
              <w:bottom w:type="dxa" w:w="80"/>
              <w:right w:type="dxa" w:w="80"/>
            </w:tcMar>
          </w:tcPr>
          <w:p>
            <w:pPr>
              <w:jc w:val="center"/>
            </w:pPr>
            <w:r>
              <w:rPr>
                <w:rFonts w:ascii="Arial" w:cs="Arial" w:eastAsia="Arial" w:hAnsi="Arial"/>
                <w:color w:val="3C3489"/>
                <w:sz w:val="15"/>
                <w:szCs w:val="15"/>
              </w:rPr>
              <w:t xml:space="preserve">advanced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bCs/>
                <w:color w:val="3C3489"/>
                <w:sz w:val="17"/>
                <w:szCs w:val="17"/>
              </w:rPr>
              <w:t xml:space="preserve">6.12</w:t>
            </w:r>
          </w:p>
        </w:tc>
        <w:tc>
          <w:tcPr>
            <w:tcW w:type="dxa" w:w="77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color w:val="000000"/>
                <w:sz w:val="19"/>
                <w:szCs w:val="19"/>
              </w:rPr>
              <w:t xml:space="preserve">The CI/CD gate pipeline — YAML-driven pass conditions, 6-gate architecture, SLSA</w:t>
            </w:r>
          </w:p>
        </w:tc>
        <w:tc>
          <w:tcPr>
            <w:tcW w:type="dxa" w:w="900"/>
            <w:tcBorders>
              <w:top w:val="single" w:color="CCCCCC" w:sz="1"/>
              <w:left w:val="single" w:color="CCCCCC" w:sz="1"/>
              <w:bottom w:val="single" w:color="CCCCCC" w:sz="1"/>
              <w:right w:val="single" w:color="CCCCCC" w:sz="1"/>
            </w:tcBorders>
            <w:shd w:fill="EEEDFE" w:val="clear"/>
            <w:tcMar>
              <w:top w:type="dxa" w:w="80"/>
              <w:left w:type="dxa" w:w="80"/>
              <w:bottom w:type="dxa" w:w="80"/>
              <w:right w:type="dxa" w:w="80"/>
            </w:tcMar>
          </w:tcPr>
          <w:p>
            <w:pPr>
              <w:jc w:val="center"/>
            </w:pPr>
            <w:r>
              <w:rPr>
                <w:rFonts w:ascii="Arial" w:cs="Arial" w:eastAsia="Arial" w:hAnsi="Arial"/>
                <w:color w:val="3C3489"/>
                <w:sz w:val="15"/>
                <w:szCs w:val="15"/>
              </w:rPr>
              <w:t xml:space="preserve">advanced</w:t>
            </w:r>
          </w:p>
        </w:tc>
      </w:tr>
    </w:tbl>
    <w:p>
      <w:pPr>
        <w:spacing w:after="60" w:before="60"/>
      </w:pPr>
      <w:r>
        <w:t xml:space="preserve"/>
      </w:r>
    </w:p>
    <w:p>
      <w:pPr>
        <w:pStyle w:val="Heading2"/>
        <w:spacing w:after="80" w:before="200"/>
      </w:pPr>
      <w:r>
        <w:rPr>
          <w:rFonts w:ascii="Arial" w:cs="Arial" w:eastAsia="Arial" w:hAnsi="Arial"/>
          <w:b/>
          <w:bCs/>
          <w:color w:val="2E75B6"/>
          <w:sz w:val="24"/>
          <w:szCs w:val="24"/>
        </w:rPr>
        <w:t xml:space="preserve">Chapter details</w:t>
      </w:r>
    </w:p>
    <w:p>
      <w:pPr>
        <w:shd w:fill="EEEDFE" w:val="clear"/>
        <w:spacing w:after="0" w:before="120"/>
        <w:ind w:left="0"/>
      </w:pPr>
      <w:r>
        <w:rPr>
          <w:rFonts w:ascii="Arial" w:cs="Arial" w:eastAsia="Arial" w:hAnsi="Arial"/>
          <w:b/>
          <w:bCs/>
          <w:color w:val="3C3489"/>
          <w:sz w:val="20"/>
          <w:szCs w:val="20"/>
        </w:rPr>
        <w:t xml:space="preserve">  6.1  </w:t>
      </w:r>
      <w:r>
        <w:rPr>
          <w:rFonts w:ascii="Arial" w:cs="Arial" w:eastAsia="Arial" w:hAnsi="Arial"/>
          <w:b/>
          <w:bCs/>
          <w:color w:val="3C3489"/>
          <w:sz w:val="20"/>
          <w:szCs w:val="20"/>
        </w:rPr>
        <w:t xml:space="preserve">The SFServiceClient base class — retry, circuit breaker, auth refresh, fallback</w:t>
      </w:r>
    </w:p>
    <w:p>
      <w:pPr>
        <w:pStyle w:val="ListParagraph"/>
        <w:numPr>
          <w:ilvl w:val="0"/>
          <w:numId w:val="2"/>
        </w:numPr>
        <w:spacing w:after="30" w:before="30"/>
      </w:pPr>
      <w:r>
        <w:rPr>
          <w:rFonts w:ascii="Arial" w:cs="Arial" w:eastAsia="Arial" w:hAnsi="Arial"/>
          <w:color w:val="000000"/>
          <w:sz w:val="19"/>
          <w:szCs w:val="19"/>
        </w:rPr>
        <w:t xml:space="preserve">Exponential backoff with jitter — why constant-interval retry is wrong</w:t>
      </w:r>
    </w:p>
    <w:p>
      <w:pPr>
        <w:pStyle w:val="ListParagraph"/>
        <w:numPr>
          <w:ilvl w:val="0"/>
          <w:numId w:val="2"/>
        </w:numPr>
        <w:spacing w:after="30" w:before="30"/>
      </w:pPr>
      <w:r>
        <w:rPr>
          <w:rFonts w:ascii="Arial" w:cs="Arial" w:eastAsia="Arial" w:hAnsi="Arial"/>
          <w:color w:val="000000"/>
          <w:sz w:val="19"/>
          <w:szCs w:val="19"/>
        </w:rPr>
        <w:t xml:space="preserve">Token refresh pipeline — checking X-SF-Token-Expires before every request</w:t>
      </w:r>
    </w:p>
    <w:p>
      <w:pPr>
        <w:pStyle w:val="ListParagraph"/>
        <w:numPr>
          <w:ilvl w:val="0"/>
          <w:numId w:val="2"/>
        </w:numPr>
        <w:spacing w:after="30" w:before="30"/>
      </w:pPr>
      <w:r>
        <w:rPr>
          <w:rFonts w:ascii="Arial" w:cs="Arial" w:eastAsia="Arial" w:hAnsi="Arial"/>
          <w:color w:val="000000"/>
          <w:sz w:val="19"/>
          <w:szCs w:val="19"/>
        </w:rPr>
        <w:t xml:space="preserve">Local fallback flag — how the same client serves both local and remote mode</w:t>
      </w:r>
    </w:p>
    <w:p>
      <w:pPr>
        <w:spacing w:after="60" w:before="60"/>
      </w:pPr>
      <w:r>
        <w:t xml:space="preserve"/>
      </w:r>
    </w:p>
    <w:p>
      <w:pPr>
        <w:shd w:fill="EEEDFE" w:val="clear"/>
        <w:spacing w:after="0" w:before="120"/>
        <w:ind w:left="0"/>
      </w:pPr>
      <w:r>
        <w:rPr>
          <w:rFonts w:ascii="Arial" w:cs="Arial" w:eastAsia="Arial" w:hAnsi="Arial"/>
          <w:b/>
          <w:bCs/>
          <w:color w:val="3C3489"/>
          <w:sz w:val="20"/>
          <w:szCs w:val="20"/>
        </w:rPr>
        <w:t xml:space="preserve">  6.2  </w:t>
      </w:r>
      <w:r>
        <w:rPr>
          <w:rFonts w:ascii="Arial" w:cs="Arial" w:eastAsia="Arial" w:hAnsi="Arial"/>
          <w:b/>
          <w:bCs/>
          <w:color w:val="3C3489"/>
          <w:sz w:val="20"/>
          <w:szCs w:val="20"/>
        </w:rPr>
        <w:t xml:space="preserve">Circuit breaker pattern — failure thresholds, OPEN/CLOSED/HALF-OPEN states</w:t>
      </w:r>
    </w:p>
    <w:p>
      <w:pPr>
        <w:pStyle w:val="ListParagraph"/>
        <w:numPr>
          <w:ilvl w:val="0"/>
          <w:numId w:val="2"/>
        </w:numPr>
        <w:spacing w:after="30" w:before="30"/>
      </w:pPr>
      <w:r>
        <w:rPr>
          <w:rFonts w:ascii="Arial" w:cs="Arial" w:eastAsia="Arial" w:hAnsi="Arial"/>
          <w:color w:val="000000"/>
          <w:sz w:val="19"/>
          <w:szCs w:val="19"/>
        </w:rPr>
        <w:t xml:space="preserve">The three-state model: CLOSED (normal), OPEN (failing fast), HALF-OPEN (testing recovery)</w:t>
      </w:r>
    </w:p>
    <w:p>
      <w:pPr>
        <w:pStyle w:val="ListParagraph"/>
        <w:numPr>
          <w:ilvl w:val="0"/>
          <w:numId w:val="2"/>
        </w:numPr>
        <w:spacing w:after="30" w:before="30"/>
      </w:pPr>
      <w:r>
        <w:rPr>
          <w:rFonts w:ascii="Arial" w:cs="Arial" w:eastAsia="Arial" w:hAnsi="Arial"/>
          <w:color w:val="000000"/>
          <w:sz w:val="19"/>
          <w:szCs w:val="19"/>
        </w:rPr>
        <w:t xml:space="preserve">5 failures → OPEN, 30s auto-reset — choosing the right thresholds for your system</w:t>
      </w:r>
    </w:p>
    <w:p>
      <w:pPr>
        <w:pStyle w:val="ListParagraph"/>
        <w:numPr>
          <w:ilvl w:val="0"/>
          <w:numId w:val="2"/>
        </w:numPr>
        <w:spacing w:after="30" w:before="30"/>
      </w:pPr>
      <w:r>
        <w:rPr>
          <w:rFonts w:ascii="Arial" w:cs="Arial" w:eastAsia="Arial" w:hAnsi="Arial"/>
          <w:color w:val="000000"/>
          <w:sz w:val="19"/>
          <w:szCs w:val="19"/>
        </w:rPr>
        <w:t xml:space="preserve">Per-exporter vs. per-service circuit breakers — different granularities for different needs</w:t>
      </w:r>
    </w:p>
    <w:p>
      <w:pPr>
        <w:spacing w:after="60" w:before="60"/>
      </w:pPr>
      <w:r>
        <w:t xml:space="preserve"/>
      </w:r>
    </w:p>
    <w:p>
      <w:pPr>
        <w:shd w:fill="EEEDFE" w:val="clear"/>
        <w:spacing w:after="0" w:before="120"/>
        <w:ind w:left="0"/>
      </w:pPr>
      <w:r>
        <w:rPr>
          <w:rFonts w:ascii="Arial" w:cs="Arial" w:eastAsia="Arial" w:hAnsi="Arial"/>
          <w:b/>
          <w:bCs/>
          <w:color w:val="3C3489"/>
          <w:sz w:val="20"/>
          <w:szCs w:val="20"/>
        </w:rPr>
        <w:t xml:space="preserve">  6.3  </w:t>
      </w:r>
      <w:r>
        <w:rPr>
          <w:rFonts w:ascii="Arial" w:cs="Arial" w:eastAsia="Arial" w:hAnsi="Arial"/>
          <w:b/>
          <w:bCs/>
          <w:color w:val="3C3489"/>
          <w:sz w:val="20"/>
          <w:szCs w:val="20"/>
        </w:rPr>
        <w:t xml:space="preserve">Sliding window rate limiting — per-key counters without external dependencies</w:t>
      </w:r>
    </w:p>
    <w:p>
      <w:pPr>
        <w:pStyle w:val="ListParagraph"/>
        <w:numPr>
          <w:ilvl w:val="0"/>
          <w:numId w:val="2"/>
        </w:numPr>
        <w:spacing w:after="30" w:before="30"/>
      </w:pPr>
      <w:r>
        <w:rPr>
          <w:rFonts w:ascii="Arial" w:cs="Arial" w:eastAsia="Arial" w:hAnsi="Arial"/>
          <w:color w:val="000000"/>
          <w:sz w:val="19"/>
          <w:szCs w:val="19"/>
        </w:rPr>
        <w:t xml:space="preserve">Sliding window vs. fixed window — why sliding windows are fairer under burst load</w:t>
      </w:r>
    </w:p>
    <w:p>
      <w:pPr>
        <w:pStyle w:val="ListParagraph"/>
        <w:numPr>
          <w:ilvl w:val="0"/>
          <w:numId w:val="2"/>
        </w:numPr>
        <w:spacing w:after="30" w:before="30"/>
      </w:pPr>
      <w:r>
        <w:rPr>
          <w:rFonts w:ascii="Arial" w:cs="Arial" w:eastAsia="Arial" w:hAnsi="Arial"/>
          <w:color w:val="000000"/>
          <w:sz w:val="19"/>
          <w:szCs w:val="19"/>
        </w:rPr>
        <w:t xml:space="preserve">Pure stdlib implementation using collections.deque — no Redis required</w:t>
      </w:r>
    </w:p>
    <w:p>
      <w:pPr>
        <w:pStyle w:val="ListParagraph"/>
        <w:numPr>
          <w:ilvl w:val="0"/>
          <w:numId w:val="2"/>
        </w:numPr>
        <w:spacing w:after="30" w:before="30"/>
      </w:pPr>
      <w:r>
        <w:rPr>
          <w:rFonts w:ascii="Arial" w:cs="Arial" w:eastAsia="Arial" w:hAnsi="Arial"/>
          <w:color w:val="000000"/>
          <w:sz w:val="19"/>
          <w:szCs w:val="19"/>
        </w:rPr>
        <w:t xml:space="preserve">Returning X-SF-RateLimit-* headers — the RFC-6585 pattern for communicating limits</w:t>
      </w:r>
    </w:p>
    <w:p>
      <w:pPr>
        <w:spacing w:after="60" w:before="60"/>
      </w:pPr>
      <w:r>
        <w:t xml:space="preserve"/>
      </w:r>
    </w:p>
    <w:p>
      <w:pPr>
        <w:shd w:fill="EEEDFE" w:val="clear"/>
        <w:spacing w:after="0" w:before="120"/>
        <w:ind w:left="0"/>
      </w:pPr>
      <w:r>
        <w:rPr>
          <w:rFonts w:ascii="Arial" w:cs="Arial" w:eastAsia="Arial" w:hAnsi="Arial"/>
          <w:b/>
          <w:bCs/>
          <w:color w:val="3C3489"/>
          <w:sz w:val="20"/>
          <w:szCs w:val="20"/>
        </w:rPr>
        <w:t xml:space="preserve">  6.4  </w:t>
      </w:r>
      <w:r>
        <w:rPr>
          <w:rFonts w:ascii="Arial" w:cs="Arial" w:eastAsia="Arial" w:hAnsi="Arial"/>
          <w:b/>
          <w:bCs/>
          <w:color w:val="3C3489"/>
          <w:sz w:val="20"/>
          <w:szCs w:val="20"/>
        </w:rPr>
        <w:t xml:space="preserve">Local fallback architecture — graceful degradation when services are unreachable</w:t>
      </w:r>
    </w:p>
    <w:p>
      <w:pPr>
        <w:pStyle w:val="ListParagraph"/>
        <w:numPr>
          <w:ilvl w:val="0"/>
          <w:numId w:val="2"/>
        </w:numPr>
        <w:spacing w:after="30" w:before="30"/>
      </w:pPr>
      <w:r>
        <w:rPr>
          <w:rFonts w:ascii="Arial" w:cs="Arial" w:eastAsia="Arial" w:hAnsi="Arial"/>
          <w:color w:val="000000"/>
          <w:sz w:val="19"/>
          <w:szCs w:val="19"/>
        </w:rPr>
        <w:t xml:space="preserve">Eight service fallback implementations — each one a documented contract</w:t>
      </w:r>
    </w:p>
    <w:p>
      <w:pPr>
        <w:pStyle w:val="ListParagraph"/>
        <w:numPr>
          <w:ilvl w:val="0"/>
          <w:numId w:val="2"/>
        </w:numPr>
        <w:spacing w:after="30" w:before="30"/>
      </w:pPr>
      <w:r>
        <w:rPr>
          <w:rFonts w:ascii="Arial" w:cs="Arial" w:eastAsia="Arial" w:hAnsi="Arial"/>
          <w:color w:val="000000"/>
          <w:sz w:val="19"/>
          <w:szCs w:val="19"/>
        </w:rPr>
        <w:t xml:space="preserve">Enterprise mode: local_fallback.enabled=false raises SFServiceUnavailableError immediately</w:t>
      </w:r>
    </w:p>
    <w:p>
      <w:pPr>
        <w:pStyle w:val="ListParagraph"/>
        <w:numPr>
          <w:ilvl w:val="0"/>
          <w:numId w:val="2"/>
        </w:numPr>
        <w:spacing w:after="30" w:before="30"/>
      </w:pPr>
      <w:r>
        <w:rPr>
          <w:rFonts w:ascii="Arial" w:cs="Arial" w:eastAsia="Arial" w:hAnsi="Arial"/>
          <w:color w:val="000000"/>
          <w:sz w:val="19"/>
          <w:szCs w:val="19"/>
        </w:rPr>
        <w:t xml:space="preserve">Fallback telemetry counters — counting fallback activations as a Prometheus metric</w:t>
      </w:r>
    </w:p>
    <w:p>
      <w:pPr>
        <w:spacing w:after="60" w:before="60"/>
      </w:pPr>
      <w:r>
        <w:t xml:space="preserve"/>
      </w:r>
    </w:p>
    <w:p>
      <w:pPr>
        <w:shd w:fill="EEEDFE" w:val="clear"/>
        <w:spacing w:after="0" w:before="120"/>
        <w:ind w:left="0"/>
      </w:pPr>
      <w:r>
        <w:rPr>
          <w:rFonts w:ascii="Arial" w:cs="Arial" w:eastAsia="Arial" w:hAnsi="Arial"/>
          <w:b/>
          <w:bCs/>
          <w:color w:val="3C3489"/>
          <w:sz w:val="20"/>
          <w:szCs w:val="20"/>
        </w:rPr>
        <w:t xml:space="preserve">  6.5  </w:t>
      </w:r>
      <w:r>
        <w:rPr>
          <w:rFonts w:ascii="Arial" w:cs="Arial" w:eastAsia="Arial" w:hAnsi="Arial"/>
          <w:b/>
          <w:bCs/>
          <w:color w:val="3C3489"/>
          <w:sz w:val="20"/>
          <w:szCs w:val="20"/>
        </w:rPr>
        <w:t xml:space="preserve">Zero required dependencies — designing with stdlib-only constraints</w:t>
      </w:r>
    </w:p>
    <w:p>
      <w:pPr>
        <w:pStyle w:val="ListParagraph"/>
        <w:numPr>
          <w:ilvl w:val="0"/>
          <w:numId w:val="2"/>
        </w:numPr>
        <w:spacing w:after="30" w:before="30"/>
      </w:pPr>
      <w:r>
        <w:rPr>
          <w:rFonts w:ascii="Arial" w:cs="Arial" w:eastAsia="Arial" w:hAnsi="Arial"/>
          <w:color w:val="000000"/>
          <w:sz w:val="19"/>
          <w:szCs w:val="19"/>
        </w:rPr>
        <w:t xml:space="preserve">Why zero required dependencies is the correct default for SDK design</w:t>
      </w:r>
    </w:p>
    <w:p>
      <w:pPr>
        <w:pStyle w:val="ListParagraph"/>
        <w:numPr>
          <w:ilvl w:val="0"/>
          <w:numId w:val="2"/>
        </w:numPr>
        <w:spacing w:after="30" w:before="30"/>
      </w:pPr>
      <w:r>
        <w:rPr>
          <w:rFonts w:ascii="Arial" w:cs="Arial" w:eastAsia="Arial" w:hAnsi="Arial"/>
          <w:color w:val="000000"/>
          <w:sz w:val="19"/>
          <w:szCs w:val="19"/>
        </w:rPr>
        <w:t xml:space="preserve">Optional extras pattern: pip install spanforge[presidio], spanforge[pydantic]</w:t>
      </w:r>
    </w:p>
    <w:p>
      <w:pPr>
        <w:pStyle w:val="ListParagraph"/>
        <w:numPr>
          <w:ilvl w:val="0"/>
          <w:numId w:val="2"/>
        </w:numPr>
        <w:spacing w:after="30" w:before="30"/>
      </w:pPr>
      <w:r>
        <w:rPr>
          <w:rFonts w:ascii="Arial" w:cs="Arial" w:eastAsia="Arial" w:hAnsi="Arial"/>
          <w:color w:val="000000"/>
          <w:sz w:val="19"/>
          <w:szCs w:val="19"/>
        </w:rPr>
        <w:t xml:space="preserve">Graceful feature degradation — full functionality without optional packages</w:t>
      </w:r>
    </w:p>
    <w:p>
      <w:pPr>
        <w:spacing w:after="60" w:before="60"/>
      </w:pPr>
      <w:r>
        <w:t xml:space="preserve"/>
      </w:r>
    </w:p>
    <w:p>
      <w:pPr>
        <w:shd w:fill="EEEDFE" w:val="clear"/>
        <w:spacing w:after="0" w:before="120"/>
        <w:ind w:left="0"/>
      </w:pPr>
      <w:r>
        <w:rPr>
          <w:rFonts w:ascii="Arial" w:cs="Arial" w:eastAsia="Arial" w:hAnsi="Arial"/>
          <w:b/>
          <w:bCs/>
          <w:color w:val="3C3489"/>
          <w:sz w:val="20"/>
          <w:szCs w:val="20"/>
        </w:rPr>
        <w:t xml:space="preserve">  6.6  </w:t>
      </w:r>
      <w:r>
        <w:rPr>
          <w:rFonts w:ascii="Arial" w:cs="Arial" w:eastAsia="Arial" w:hAnsi="Arial"/>
          <w:b/>
          <w:bCs/>
          <w:color w:val="3C3489"/>
          <w:sz w:val="20"/>
          <w:szCs w:val="20"/>
        </w:rPr>
        <w:t xml:space="preserve">The namespace schema system — 19 namespaces, dataclasses, and RFC-grounded design</w:t>
      </w:r>
    </w:p>
    <w:p>
      <w:pPr>
        <w:pStyle w:val="ListParagraph"/>
        <w:numPr>
          <w:ilvl w:val="0"/>
          <w:numId w:val="2"/>
        </w:numPr>
        <w:spacing w:after="30" w:before="30"/>
      </w:pPr>
      <w:r>
        <w:rPr>
          <w:rFonts w:ascii="Arial" w:cs="Arial" w:eastAsia="Arial" w:hAnsi="Arial"/>
          <w:color w:val="000000"/>
          <w:sz w:val="19"/>
          <w:szCs w:val="19"/>
        </w:rPr>
        <w:t xml:space="preserve">@dataclass with __post_init__ validation + to_dict() + from_dict() — the consistent contract</w:t>
      </w:r>
    </w:p>
    <w:p>
      <w:pPr>
        <w:pStyle w:val="ListParagraph"/>
        <w:numPr>
          <w:ilvl w:val="0"/>
          <w:numId w:val="2"/>
        </w:numPr>
        <w:spacing w:after="30" w:before="30"/>
      </w:pPr>
      <w:r>
        <w:rPr>
          <w:rFonts w:ascii="Arial" w:cs="Arial" w:eastAsia="Arial" w:hAnsi="Arial"/>
          <w:color w:val="000000"/>
          <w:sz w:val="19"/>
          <w:szCs w:val="19"/>
        </w:rPr>
        <w:t xml:space="preserve">RFC clause numbers in validation comments — tracing every constraint to its specification</w:t>
      </w:r>
    </w:p>
    <w:p>
      <w:pPr>
        <w:pStyle w:val="ListParagraph"/>
        <w:numPr>
          <w:ilvl w:val="0"/>
          <w:numId w:val="2"/>
        </w:numPr>
        <w:spacing w:after="30" w:before="30"/>
      </w:pPr>
      <w:r>
        <w:rPr>
          <w:rFonts w:ascii="Arial" w:cs="Arial" w:eastAsia="Arial" w:hAnsi="Arial"/>
          <w:color w:val="000000"/>
          <w:sz w:val="19"/>
          <w:szCs w:val="19"/>
        </w:rPr>
        <w:t xml:space="preserve">GuardPayload stores only content_hash (SHA-256) — compliance-by-design in the schema</w:t>
      </w:r>
    </w:p>
    <w:p>
      <w:pPr>
        <w:spacing w:after="60" w:before="60"/>
      </w:pPr>
      <w:r>
        <w:t xml:space="preserve"/>
      </w:r>
    </w:p>
    <w:p>
      <w:pPr>
        <w:shd w:fill="EEEDFE" w:val="clear"/>
        <w:spacing w:after="0" w:before="120"/>
        <w:ind w:left="0"/>
      </w:pPr>
      <w:r>
        <w:rPr>
          <w:rFonts w:ascii="Arial" w:cs="Arial" w:eastAsia="Arial" w:hAnsi="Arial"/>
          <w:b/>
          <w:bCs/>
          <w:color w:val="3C3489"/>
          <w:sz w:val="20"/>
          <w:szCs w:val="20"/>
        </w:rPr>
        <w:t xml:space="preserve">  6.7  </w:t>
      </w:r>
      <w:r>
        <w:rPr>
          <w:rFonts w:ascii="Arial" w:cs="Arial" w:eastAsia="Arial" w:hAnsi="Arial"/>
          <w:b/>
          <w:bCs/>
          <w:color w:val="3C3489"/>
          <w:sz w:val="20"/>
          <w:szCs w:val="20"/>
        </w:rPr>
        <w:t xml:space="preserve">The plugin system — entry-point discovery and third-party scorer registration</w:t>
      </w:r>
    </w:p>
    <w:p>
      <w:pPr>
        <w:pStyle w:val="ListParagraph"/>
        <w:numPr>
          <w:ilvl w:val="0"/>
          <w:numId w:val="2"/>
        </w:numPr>
        <w:spacing w:after="30" w:before="30"/>
      </w:pPr>
      <w:r>
        <w:rPr>
          <w:rFonts w:ascii="Arial" w:cs="Arial" w:eastAsia="Arial" w:hAnsi="Arial"/>
          <w:color w:val="000000"/>
          <w:sz w:val="19"/>
          <w:szCs w:val="19"/>
        </w:rPr>
        <w:t xml:space="preserve">Python entry points — how spanforge.scorers group enables third-party eval plugins</w:t>
      </w:r>
    </w:p>
    <w:p>
      <w:pPr>
        <w:pStyle w:val="ListParagraph"/>
        <w:numPr>
          <w:ilvl w:val="0"/>
          <w:numId w:val="2"/>
        </w:numPr>
        <w:spacing w:after="30" w:before="30"/>
      </w:pPr>
      <w:r>
        <w:rPr>
          <w:rFonts w:ascii="Arial" w:cs="Arial" w:eastAsia="Arial" w:hAnsi="Arial"/>
          <w:color w:val="000000"/>
          <w:sz w:val="19"/>
          <w:szCs w:val="19"/>
        </w:rPr>
        <w:t xml:space="preserve">The importlib.metadata API split between Python 3.9 and 3.10+ — and the fix</w:t>
      </w:r>
    </w:p>
    <w:p>
      <w:pPr>
        <w:pStyle w:val="ListParagraph"/>
        <w:numPr>
          <w:ilvl w:val="0"/>
          <w:numId w:val="2"/>
        </w:numPr>
        <w:spacing w:after="30" w:before="30"/>
      </w:pPr>
      <w:r>
        <w:rPr>
          <w:rFonts w:ascii="Arial" w:cs="Arial" w:eastAsia="Arial" w:hAnsi="Arial"/>
          <w:color w:val="000000"/>
          <w:sz w:val="19"/>
          <w:szCs w:val="19"/>
        </w:rPr>
        <w:t xml:space="preserve">Plugin isolation — a broken plugin does not silence other plugins</w:t>
      </w:r>
    </w:p>
    <w:p>
      <w:pPr>
        <w:spacing w:after="60" w:before="60"/>
      </w:pPr>
      <w:r>
        <w:t xml:space="preserve"/>
      </w:r>
    </w:p>
    <w:p>
      <w:pPr>
        <w:shd w:fill="EEEDFE" w:val="clear"/>
        <w:spacing w:after="0" w:before="120"/>
        <w:ind w:left="0"/>
      </w:pPr>
      <w:r>
        <w:rPr>
          <w:rFonts w:ascii="Arial" w:cs="Arial" w:eastAsia="Arial" w:hAnsi="Arial"/>
          <w:b/>
          <w:bCs/>
          <w:color w:val="3C3489"/>
          <w:sz w:val="20"/>
          <w:szCs w:val="20"/>
        </w:rPr>
        <w:t xml:space="preserve">  6.8  </w:t>
      </w:r>
      <w:r>
        <w:rPr>
          <w:rFonts w:ascii="Arial" w:cs="Arial" w:eastAsia="Arial" w:hAnsi="Arial"/>
          <w:b/>
          <w:bCs/>
          <w:color w:val="3C3489"/>
          <w:sz w:val="20"/>
          <w:szCs w:val="20"/>
        </w:rPr>
        <w:t xml:space="preserve">Auto-instrumentation — monkey-patching 8 providers without breaking their APIs</w:t>
      </w:r>
    </w:p>
    <w:p>
      <w:pPr>
        <w:pStyle w:val="ListParagraph"/>
        <w:numPr>
          <w:ilvl w:val="0"/>
          <w:numId w:val="2"/>
        </w:numPr>
        <w:spacing w:after="30" w:before="30"/>
      </w:pPr>
      <w:r>
        <w:rPr>
          <w:rFonts w:ascii="Arial" w:cs="Arial" w:eastAsia="Arial" w:hAnsi="Arial"/>
          <w:color w:val="000000"/>
          <w:sz w:val="19"/>
          <w:szCs w:val="19"/>
        </w:rPr>
        <w:t xml:space="preserve">importlib.util.find_spec before patching — never patch what is not installed</w:t>
      </w:r>
    </w:p>
    <w:p>
      <w:pPr>
        <w:pStyle w:val="ListParagraph"/>
        <w:numPr>
          <w:ilvl w:val="0"/>
          <w:numId w:val="2"/>
        </w:numPr>
        <w:spacing w:after="30" w:before="30"/>
      </w:pPr>
      <w:r>
        <w:rPr>
          <w:rFonts w:ascii="Arial" w:cs="Arial" w:eastAsia="Arial" w:hAnsi="Arial"/>
          <w:color w:val="000000"/>
          <w:sz w:val="19"/>
          <w:szCs w:val="19"/>
        </w:rPr>
        <w:t xml:space="preserve">Try/except isolation — one broken integration does not silence others</w:t>
      </w:r>
    </w:p>
    <w:p>
      <w:pPr>
        <w:pStyle w:val="ListParagraph"/>
        <w:numPr>
          <w:ilvl w:val="0"/>
          <w:numId w:val="2"/>
        </w:numPr>
        <w:spacing w:after="30" w:before="30"/>
      </w:pPr>
      <w:r>
        <w:rPr>
          <w:rFonts w:ascii="Arial" w:cs="Arial" w:eastAsia="Arial" w:hAnsi="Arial"/>
          <w:color w:val="000000"/>
          <w:sz w:val="19"/>
          <w:szCs w:val="19"/>
        </w:rPr>
        <w:t xml:space="preserve">The sentinel attribute pattern — preventing double-patching on repeated auto.setup() calls</w:t>
      </w:r>
    </w:p>
    <w:p>
      <w:pPr>
        <w:spacing w:after="60" w:before="60"/>
      </w:pPr>
      <w:r>
        <w:t xml:space="preserve"/>
      </w:r>
    </w:p>
    <w:p>
      <w:pPr>
        <w:shd w:fill="EEEDFE" w:val="clear"/>
        <w:spacing w:after="0" w:before="120"/>
        <w:ind w:left="0"/>
      </w:pPr>
      <w:r>
        <w:rPr>
          <w:rFonts w:ascii="Arial" w:cs="Arial" w:eastAsia="Arial" w:hAnsi="Arial"/>
          <w:b/>
          <w:bCs/>
          <w:color w:val="3C3489"/>
          <w:sz w:val="20"/>
          <w:szCs w:val="20"/>
        </w:rPr>
        <w:t xml:space="preserve">  6.9  </w:t>
      </w:r>
      <w:r>
        <w:rPr>
          <w:rFonts w:ascii="Arial" w:cs="Arial" w:eastAsia="Arial" w:hAnsi="Arial"/>
          <w:b/>
          <w:bCs/>
          <w:color w:val="3C3489"/>
          <w:sz w:val="20"/>
          <w:szCs w:val="20"/>
        </w:rPr>
        <w:t xml:space="preserve">The prompt registry — versioning, A/B routing, and reproducible audit trails</w:t>
      </w:r>
    </w:p>
    <w:p>
      <w:pPr>
        <w:pStyle w:val="ListParagraph"/>
        <w:numPr>
          <w:ilvl w:val="0"/>
          <w:numId w:val="2"/>
        </w:numPr>
        <w:spacing w:after="30" w:before="30"/>
      </w:pPr>
      <w:r>
        <w:rPr>
          <w:rFonts w:ascii="Arial" w:cs="Arial" w:eastAsia="Arial" w:hAnsi="Arial"/>
          <w:color w:val="000000"/>
          <w:sz w:val="19"/>
          <w:szCs w:val="19"/>
        </w:rPr>
        <w:t xml:space="preserve">register(), render(), list_versions() — the minimal prompt management API</w:t>
      </w:r>
    </w:p>
    <w:p>
      <w:pPr>
        <w:pStyle w:val="ListParagraph"/>
        <w:numPr>
          <w:ilvl w:val="0"/>
          <w:numId w:val="2"/>
        </w:numPr>
        <w:spacing w:after="30" w:before="30"/>
      </w:pPr>
      <w:r>
        <w:rPr>
          <w:rFonts w:ascii="Arial" w:cs="Arial" w:eastAsia="Arial" w:hAnsi="Arial"/>
          <w:color w:val="000000"/>
          <w:sz w:val="19"/>
          <w:szCs w:val="19"/>
        </w:rPr>
        <w:t xml:space="preserve">Version change events emitted into the HMAC chain — every prompt change is auditable</w:t>
      </w:r>
    </w:p>
    <w:p>
      <w:pPr>
        <w:pStyle w:val="ListParagraph"/>
        <w:numPr>
          <w:ilvl w:val="0"/>
          <w:numId w:val="2"/>
        </w:numPr>
        <w:spacing w:after="30" w:before="30"/>
      </w:pPr>
      <w:r>
        <w:rPr>
          <w:rFonts w:ascii="Arial" w:cs="Arial" w:eastAsia="Arial" w:hAnsi="Arial"/>
          <w:color w:val="000000"/>
          <w:sz w:val="19"/>
          <w:szCs w:val="19"/>
        </w:rPr>
        <w:t xml:space="preserve">A/B routing between prompt versions — traffic splitting without external infrastructure</w:t>
      </w:r>
    </w:p>
    <w:p>
      <w:pPr>
        <w:spacing w:after="60" w:before="60"/>
      </w:pPr>
      <w:r>
        <w:t xml:space="preserve"/>
      </w:r>
    </w:p>
    <w:p>
      <w:pPr>
        <w:shd w:fill="EEEDFE" w:val="clear"/>
        <w:spacing w:after="0" w:before="120"/>
        <w:ind w:left="0"/>
      </w:pPr>
      <w:r>
        <w:rPr>
          <w:rFonts w:ascii="Arial" w:cs="Arial" w:eastAsia="Arial" w:hAnsi="Arial"/>
          <w:b/>
          <w:bCs/>
          <w:color w:val="3C3489"/>
          <w:sz w:val="20"/>
          <w:szCs w:val="20"/>
        </w:rPr>
        <w:t xml:space="preserve">  6.10  </w:t>
      </w:r>
      <w:r>
        <w:rPr>
          <w:rFonts w:ascii="Arial" w:cs="Arial" w:eastAsia="Arial" w:hAnsi="Arial"/>
          <w:b/>
          <w:bCs/>
          <w:color w:val="3C3489"/>
          <w:sz w:val="20"/>
          <w:szCs w:val="20"/>
        </w:rPr>
        <w:t xml:space="preserve">Model registry — lifecycle tracking (active → deprecated → retired) with HMAC events</w:t>
      </w:r>
    </w:p>
    <w:p>
      <w:pPr>
        <w:pStyle w:val="ListParagraph"/>
        <w:numPr>
          <w:ilvl w:val="0"/>
          <w:numId w:val="2"/>
        </w:numPr>
        <w:spacing w:after="30" w:before="30"/>
      </w:pPr>
      <w:r>
        <w:rPr>
          <w:rFonts w:ascii="Arial" w:cs="Arial" w:eastAsia="Arial" w:hAnsi="Arial"/>
          <w:color w:val="000000"/>
          <w:sz w:val="19"/>
          <w:szCs w:val="19"/>
        </w:rPr>
        <w:t xml:space="preserve">model_registry.registered, model_registry.deprecated, model_registry.retired event types</w:t>
      </w:r>
    </w:p>
    <w:p>
      <w:pPr>
        <w:pStyle w:val="ListParagraph"/>
        <w:numPr>
          <w:ilvl w:val="0"/>
          <w:numId w:val="2"/>
        </w:numPr>
        <w:spacing w:after="30" w:before="30"/>
      </w:pPr>
      <w:r>
        <w:rPr>
          <w:rFonts w:ascii="Arial" w:cs="Arial" w:eastAsia="Arial" w:hAnsi="Arial"/>
          <w:color w:val="000000"/>
          <w:sz w:val="19"/>
          <w:szCs w:val="19"/>
        </w:rPr>
        <w:t xml:space="preserve">Thread-safe in-memory registry with HMAC-signed lifecycle events</w:t>
      </w:r>
    </w:p>
    <w:p>
      <w:pPr>
        <w:pStyle w:val="ListParagraph"/>
        <w:numPr>
          <w:ilvl w:val="0"/>
          <w:numId w:val="2"/>
        </w:numPr>
        <w:spacing w:after="30" w:before="30"/>
      </w:pPr>
      <w:r>
        <w:rPr>
          <w:rFonts w:ascii="Arial" w:cs="Arial" w:eastAsia="Arial" w:hAnsi="Arial"/>
          <w:color w:val="000000"/>
          <w:sz w:val="19"/>
          <w:szCs w:val="19"/>
        </w:rPr>
        <w:t xml:space="preserve">How model lifecycle tracking satisfies EU AI Act Article 9 risk management requirements</w:t>
      </w:r>
    </w:p>
    <w:p>
      <w:pPr>
        <w:spacing w:after="60" w:before="60"/>
      </w:pPr>
      <w:r>
        <w:t xml:space="preserve"/>
      </w:r>
    </w:p>
    <w:p>
      <w:pPr>
        <w:shd w:fill="EEEDFE" w:val="clear"/>
        <w:spacing w:after="0" w:before="120"/>
        <w:ind w:left="0"/>
      </w:pPr>
      <w:r>
        <w:rPr>
          <w:rFonts w:ascii="Arial" w:cs="Arial" w:eastAsia="Arial" w:hAnsi="Arial"/>
          <w:b/>
          <w:bCs/>
          <w:color w:val="3C3489"/>
          <w:sz w:val="20"/>
          <w:szCs w:val="20"/>
        </w:rPr>
        <w:t xml:space="preserve">  6.11  </w:t>
      </w:r>
      <w:r>
        <w:rPr>
          <w:rFonts w:ascii="Arial" w:cs="Arial" w:eastAsia="Arial" w:hAnsi="Arial"/>
          <w:b/>
          <w:bCs/>
          <w:color w:val="3C3489"/>
          <w:sz w:val="20"/>
          <w:szCs w:val="20"/>
        </w:rPr>
        <w:t xml:space="preserve">Schema migration — v1 → v2 event migration and the MD5 rehash pattern</w:t>
      </w:r>
    </w:p>
    <w:p>
      <w:pPr>
        <w:pStyle w:val="ListParagraph"/>
        <w:numPr>
          <w:ilvl w:val="0"/>
          <w:numId w:val="2"/>
        </w:numPr>
        <w:spacing w:after="30" w:before="30"/>
      </w:pPr>
      <w:r>
        <w:rPr>
          <w:rFonts w:ascii="Arial" w:cs="Arial" w:eastAsia="Arial" w:hAnsi="Arial"/>
          <w:color w:val="000000"/>
          <w:sz w:val="19"/>
          <w:szCs w:val="19"/>
        </w:rPr>
        <w:t xml:space="preserve">Why schema migrations in event systems are harder than database migrations</w:t>
      </w:r>
    </w:p>
    <w:p>
      <w:pPr>
        <w:pStyle w:val="ListParagraph"/>
        <w:numPr>
          <w:ilvl w:val="0"/>
          <w:numId w:val="2"/>
        </w:numPr>
        <w:spacing w:after="30" w:before="30"/>
      </w:pPr>
      <w:r>
        <w:rPr>
          <w:rFonts w:ascii="Arial" w:cs="Arial" w:eastAsia="Arial" w:hAnsi="Arial"/>
          <w:color w:val="000000"/>
          <w:sz w:val="19"/>
          <w:szCs w:val="19"/>
        </w:rPr>
        <w:t xml:space="preserve">The v1 → v2 migration path — field renames, added required fields, format changes</w:t>
      </w:r>
    </w:p>
    <w:p>
      <w:pPr>
        <w:pStyle w:val="ListParagraph"/>
        <w:numPr>
          <w:ilvl w:val="0"/>
          <w:numId w:val="2"/>
        </w:numPr>
        <w:spacing w:after="30" w:before="30"/>
      </w:pPr>
      <w:r>
        <w:rPr>
          <w:rFonts w:ascii="Arial" w:cs="Arial" w:eastAsia="Arial" w:hAnsi="Arial"/>
          <w:color w:val="000000"/>
          <w:sz w:val="19"/>
          <w:szCs w:val="19"/>
        </w:rPr>
        <w:t xml:space="preserve">MD5 rehash migration — re-signing legacy events with the current HMAC scheme</w:t>
      </w:r>
    </w:p>
    <w:p>
      <w:pPr>
        <w:spacing w:after="60" w:before="60"/>
      </w:pPr>
      <w:r>
        <w:t xml:space="preserve"/>
      </w:r>
    </w:p>
    <w:p>
      <w:pPr>
        <w:shd w:fill="EEEDFE" w:val="clear"/>
        <w:spacing w:after="0" w:before="120"/>
        <w:ind w:left="0"/>
      </w:pPr>
      <w:r>
        <w:rPr>
          <w:rFonts w:ascii="Arial" w:cs="Arial" w:eastAsia="Arial" w:hAnsi="Arial"/>
          <w:b/>
          <w:bCs/>
          <w:color w:val="3C3489"/>
          <w:sz w:val="20"/>
          <w:szCs w:val="20"/>
        </w:rPr>
        <w:t xml:space="preserve">  6.12  </w:t>
      </w:r>
      <w:r>
        <w:rPr>
          <w:rFonts w:ascii="Arial" w:cs="Arial" w:eastAsia="Arial" w:hAnsi="Arial"/>
          <w:b/>
          <w:bCs/>
          <w:color w:val="3C3489"/>
          <w:sz w:val="20"/>
          <w:szCs w:val="20"/>
        </w:rPr>
        <w:t xml:space="preserve">The CI/CD gate pipeline — YAML-driven pass conditions, 6-gate architecture, SLSA</w:t>
      </w:r>
    </w:p>
    <w:p>
      <w:pPr>
        <w:pStyle w:val="ListParagraph"/>
        <w:numPr>
          <w:ilvl w:val="0"/>
          <w:numId w:val="2"/>
        </w:numPr>
        <w:spacing w:after="30" w:before="30"/>
      </w:pPr>
      <w:r>
        <w:rPr>
          <w:rFonts w:ascii="Arial" w:cs="Arial" w:eastAsia="Arial" w:hAnsi="Arial"/>
          <w:color w:val="000000"/>
          <w:sz w:val="19"/>
          <w:szCs w:val="19"/>
        </w:rPr>
        <w:t xml:space="preserve">Gate YAML schema — id, type, command, pass_condition, on_fail, timeout_seconds, skip_on</w:t>
      </w:r>
    </w:p>
    <w:p>
      <w:pPr>
        <w:pStyle w:val="ListParagraph"/>
        <w:numPr>
          <w:ilvl w:val="0"/>
          <w:numId w:val="2"/>
        </w:numPr>
        <w:spacing w:after="30" w:before="30"/>
      </w:pPr>
      <w:r>
        <w:rPr>
          <w:rFonts w:ascii="Arial" w:cs="Arial" w:eastAsia="Arial" w:hAnsi="Arial"/>
          <w:color w:val="000000"/>
          <w:sz w:val="19"/>
          <w:szCs w:val="19"/>
        </w:rPr>
        <w:t xml:space="preserve">_SAFE_VALUE_PATTERN and shlex.split() — template injection prevention in gate commands</w:t>
      </w:r>
    </w:p>
    <w:p>
      <w:pPr>
        <w:pStyle w:val="ListParagraph"/>
        <w:numPr>
          <w:ilvl w:val="0"/>
          <w:numId w:val="2"/>
        </w:numPr>
        <w:spacing w:after="30" w:before="30"/>
      </w:pPr>
      <w:r>
        <w:rPr>
          <w:rFonts w:ascii="Arial" w:cs="Arial" w:eastAsia="Arial" w:hAnsi="Arial"/>
          <w:color w:val="000000"/>
          <w:sz w:val="19"/>
          <w:szCs w:val="19"/>
        </w:rPr>
        <w:t xml:space="preserve">SLSA Level 2 provenance — Sigstore/cosign, Rekor transparency log, CycloneDX SBOM</w:t>
      </w:r>
    </w:p>
    <w:p>
      <w:pPr>
        <w:spacing w:after="60" w:before="60"/>
      </w:pPr>
      <w:r>
        <w:t xml:space="preserve"/>
      </w:r>
    </w:p>
    <w:p>
      <w:pPr>
        <w:pBdr>
          <w:bottom w:val="single" w:color="2E75B6" w:sz="4"/>
        </w:pBdr>
        <w:spacing w:after="140" w:before="140"/>
      </w:pPr>
      <w:r>
        <w:t xml:space="preserve"/>
      </w:r>
    </w:p>
    <w:p>
      <w:r>
        <w:br w:type="pag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5800"/>
        <w:gridCol w:w="1200"/>
        <w:gridCol w:w="1200"/>
      </w:tblGrid>
      <w:tr>
        <w:tc>
          <w:tcPr>
            <w:tcW w:type="dxa" w:w="1200"/>
            <w:tcBorders>
              <w:top w:val="single" w:color="3C3489" w:sz="6"/>
              <w:left w:val="single" w:color="3C3489" w:sz="6"/>
              <w:bottom w:val="single" w:color="3C3489" w:sz="6"/>
              <w:right w:val="single" w:color="CCCCCC" w:sz="1"/>
            </w:tcBorders>
            <w:shd w:fill="EEEDFE" w:val="clear"/>
            <w:tcMar>
              <w:top w:type="dxa" w:w="120"/>
              <w:left w:type="dxa" w:w="140"/>
              <w:bottom w:type="dxa" w:w="120"/>
              <w:right w:type="dxa" w:w="140"/>
            </w:tcMar>
            <w:vAlign w:val="center"/>
          </w:tcPr>
          <w:p>
            <w:pPr>
              <w:jc w:val="center"/>
            </w:pPr>
            <w:r>
              <w:rPr>
                <w:rFonts w:ascii="Arial" w:cs="Arial" w:eastAsia="Arial" w:hAnsi="Arial"/>
                <w:b/>
                <w:bCs/>
                <w:color w:val="3C3489"/>
                <w:sz w:val="20"/>
                <w:szCs w:val="20"/>
              </w:rPr>
              <w:t xml:space="preserve">Part 7</w:t>
            </w:r>
          </w:p>
          <w:p>
            <w:pPr>
              <w:spacing w:before="20"/>
              <w:jc w:val="center"/>
            </w:pPr>
            <w:r>
              <w:rPr>
                <w:rFonts w:ascii="Arial" w:cs="Arial" w:eastAsia="Arial" w:hAnsi="Arial"/>
                <w:color w:val="3C3489"/>
                <w:sz w:val="15"/>
                <w:szCs w:val="15"/>
              </w:rPr>
              <w:t xml:space="preserve">advanced</w:t>
            </w:r>
          </w:p>
        </w:tc>
        <w:tc>
          <w:tcPr>
            <w:tcW w:type="dxa" w:w="5800"/>
            <w:tcBorders>
              <w:top w:val="single" w:color="3C3489" w:sz="6"/>
              <w:left w:val="single" w:color="CCCCCC" w:sz="1"/>
              <w:bottom w:val="single" w:color="3C3489" w:sz="6"/>
              <w:right w:val="single" w:color="CCCCCC" w:sz="1"/>
            </w:tcBorders>
            <w:shd w:fill="FFFFFF" w:val="clear"/>
            <w:tcMar>
              <w:top w:type="dxa" w:w="120"/>
              <w:left w:type="dxa" w:w="180"/>
              <w:bottom w:type="dxa" w:w="120"/>
              <w:right w:type="dxa" w:w="140"/>
            </w:tcMar>
          </w:tcPr>
          <w:p>
            <w:r>
              <w:rPr>
                <w:rFonts w:ascii="Arial" w:cs="Arial" w:eastAsia="Arial" w:hAnsi="Arial"/>
                <w:b/>
                <w:bCs/>
                <w:color w:val="1F4E79"/>
                <w:sz w:val="24"/>
                <w:szCs w:val="24"/>
              </w:rPr>
              <w:t xml:space="preserve">Enterprise patterns — production at scale</w:t>
            </w:r>
          </w:p>
        </w:tc>
        <w:tc>
          <w:tcPr>
            <w:tcW w:type="dxa" w:w="1200"/>
            <w:tcBorders>
              <w:top w:val="single" w:color="3C3489" w:sz="6"/>
              <w:left w:val="single" w:color="CCCCCC" w:sz="1"/>
              <w:bottom w:val="single" w:color="3C3489" w:sz="6"/>
              <w:right w:val="single" w:color="CCCCCC" w:sz="1"/>
            </w:tcBorders>
            <w:shd w:fill="F2F2F2" w:val="clear"/>
            <w:tcMar>
              <w:top w:type="dxa" w:w="120"/>
              <w:left w:type="dxa" w:w="120"/>
              <w:bottom w:type="dxa" w:w="120"/>
              <w:right w:type="dxa" w:w="120"/>
            </w:tcMar>
          </w:tcPr>
          <w:p>
            <w:pPr>
              <w:jc w:val="center"/>
            </w:pPr>
            <w:r>
              <w:rPr>
                <w:rFonts w:ascii="Arial" w:cs="Arial" w:eastAsia="Arial" w:hAnsi="Arial"/>
                <w:b/>
                <w:bCs/>
                <w:color w:val="2E75B6"/>
                <w:sz w:val="26"/>
                <w:szCs w:val="26"/>
              </w:rPr>
              <w:t xml:space="preserve">8</w:t>
            </w:r>
          </w:p>
          <w:p>
            <w:pPr>
              <w:spacing w:before="20"/>
              <w:jc w:val="center"/>
            </w:pPr>
            <w:r>
              <w:rPr>
                <w:rFonts w:ascii="Arial" w:cs="Arial" w:eastAsia="Arial" w:hAnsi="Arial"/>
                <w:color w:val="404040"/>
                <w:sz w:val="15"/>
                <w:szCs w:val="15"/>
              </w:rPr>
              <w:t xml:space="preserve">chapters</w:t>
            </w:r>
          </w:p>
        </w:tc>
        <w:tc>
          <w:tcPr>
            <w:tcW w:type="dxa" w:w="1200"/>
            <w:tcBorders>
              <w:top w:val="single" w:color="3C3489" w:sz="6"/>
              <w:left w:val="single" w:color="CCCCCC" w:sz="1"/>
              <w:bottom w:val="single" w:color="3C3489" w:sz="6"/>
              <w:right w:val="single" w:color="3C3489" w:sz="6"/>
            </w:tcBorders>
            <w:shd w:fill="F2F2F2" w:val="clear"/>
            <w:tcMar>
              <w:top w:type="dxa" w:w="120"/>
              <w:left w:type="dxa" w:w="120"/>
              <w:bottom w:type="dxa" w:w="120"/>
              <w:right w:type="dxa" w:w="120"/>
            </w:tcMar>
          </w:tcPr>
          <w:p>
            <w:pPr>
              <w:jc w:val="center"/>
            </w:pPr>
            <w:r>
              <w:rPr>
                <w:rFonts w:ascii="Arial" w:cs="Arial" w:eastAsia="Arial" w:hAnsi="Arial"/>
                <w:b/>
                <w:bCs/>
                <w:color w:val="404040"/>
                <w:sz w:val="20"/>
                <w:szCs w:val="20"/>
              </w:rPr>
              <w:t xml:space="preserve">~14 hrs</w:t>
            </w:r>
          </w:p>
          <w:p>
            <w:pPr>
              <w:spacing w:before="20"/>
              <w:jc w:val="center"/>
            </w:pPr>
            <w:r>
              <w:rPr>
                <w:rFonts w:ascii="Arial" w:cs="Arial" w:eastAsia="Arial" w:hAnsi="Arial"/>
                <w:color w:val="404040"/>
                <w:sz w:val="15"/>
                <w:szCs w:val="15"/>
              </w:rPr>
              <w:t xml:space="preserve">est. time</w:t>
            </w:r>
          </w:p>
        </w:tc>
      </w:tr>
    </w:tbl>
    <w:p>
      <w:pPr>
        <w:spacing w:after="60" w:before="60"/>
      </w:pPr>
      <w:r>
        <w:t xml:space="preserve"/>
      </w:r>
    </w:p>
    <w:p>
      <w:pPr>
        <w:spacing w:after="60" w:before="60"/>
      </w:pPr>
      <w:r>
        <w:rPr>
          <w:rFonts w:ascii="Arial" w:cs="Arial" w:eastAsia="Arial" w:hAnsi="Arial"/>
          <w:b w:val="false"/>
          <w:bCs w:val="false"/>
          <w:color w:val="404040"/>
          <w:sz w:val="20"/>
          <w:szCs w:val="20"/>
        </w:rPr>
        <w:t xml:space="preserve">Enterprise deployments have requirements that don't appear in development environments: tenant isolation, data residency, encryption key management, air-gap deployment, and formal security review processes. This part covers all of them with concrete implementation patterns.</w:t>
      </w:r>
    </w:p>
    <w:p>
      <w:pPr>
        <w:spacing w:after="6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800"/>
        <w:gridCol w:w="7700"/>
        <w:gridCol w:w="900"/>
      </w:tblGrid>
      <w:tr>
        <w:tc>
          <w:tcPr>
            <w:tcW w:type="dxa" w:w="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80"/>
            </w:tcMar>
          </w:tcPr>
          <w:p>
            <w:pPr>
              <w:jc w:val="center"/>
            </w:pPr>
            <w:r>
              <w:rPr>
                <w:rFonts w:ascii="Arial" w:cs="Arial" w:eastAsia="Arial" w:hAnsi="Arial"/>
                <w:b/>
                <w:bCs/>
                <w:color w:val="3C3489"/>
                <w:sz w:val="17"/>
                <w:szCs w:val="17"/>
              </w:rPr>
              <w:t xml:space="preserve">7.1</w:t>
            </w:r>
          </w:p>
        </w:tc>
        <w:tc>
          <w:tcPr>
            <w:tcW w:type="dxa" w:w="7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000000"/>
                <w:sz w:val="19"/>
                <w:szCs w:val="19"/>
              </w:rPr>
              <w:t xml:space="preserve">Multi-tenancy — project isolation, HMAC chain scoping, cross-project query guards</w:t>
            </w:r>
          </w:p>
        </w:tc>
        <w:tc>
          <w:tcPr>
            <w:tcW w:type="dxa" w:w="900"/>
            <w:tcBorders>
              <w:top w:val="single" w:color="CCCCCC" w:sz="1"/>
              <w:left w:val="single" w:color="CCCCCC" w:sz="1"/>
              <w:bottom w:val="single" w:color="CCCCCC" w:sz="1"/>
              <w:right w:val="single" w:color="CCCCCC" w:sz="1"/>
            </w:tcBorders>
            <w:shd w:fill="EEEDFE" w:val="clear"/>
            <w:tcMar>
              <w:top w:type="dxa" w:w="80"/>
              <w:left w:type="dxa" w:w="80"/>
              <w:bottom w:type="dxa" w:w="80"/>
              <w:right w:type="dxa" w:w="80"/>
            </w:tcMar>
          </w:tcPr>
          <w:p>
            <w:pPr>
              <w:jc w:val="center"/>
            </w:pPr>
            <w:r>
              <w:rPr>
                <w:rFonts w:ascii="Arial" w:cs="Arial" w:eastAsia="Arial" w:hAnsi="Arial"/>
                <w:color w:val="3C3489"/>
                <w:sz w:val="15"/>
                <w:szCs w:val="15"/>
              </w:rPr>
              <w:t xml:space="preserve">advanced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bCs/>
                <w:color w:val="3C3489"/>
                <w:sz w:val="17"/>
                <w:szCs w:val="17"/>
              </w:rPr>
              <w:t xml:space="preserve">7.2</w:t>
            </w:r>
          </w:p>
        </w:tc>
        <w:tc>
          <w:tcPr>
            <w:tcW w:type="dxa" w:w="77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color w:val="000000"/>
                <w:sz w:val="19"/>
                <w:szCs w:val="19"/>
              </w:rPr>
              <w:t xml:space="preserve">Data residency — EU, US, APAC, India routing and enforcement at the SDK layer</w:t>
            </w:r>
          </w:p>
        </w:tc>
        <w:tc>
          <w:tcPr>
            <w:tcW w:type="dxa" w:w="900"/>
            <w:tcBorders>
              <w:top w:val="single" w:color="CCCCCC" w:sz="1"/>
              <w:left w:val="single" w:color="CCCCCC" w:sz="1"/>
              <w:bottom w:val="single" w:color="CCCCCC" w:sz="1"/>
              <w:right w:val="single" w:color="CCCCCC" w:sz="1"/>
            </w:tcBorders>
            <w:shd w:fill="EEEDFE" w:val="clear"/>
            <w:tcMar>
              <w:top w:type="dxa" w:w="80"/>
              <w:left w:type="dxa" w:w="80"/>
              <w:bottom w:type="dxa" w:w="80"/>
              <w:right w:type="dxa" w:w="80"/>
            </w:tcMar>
          </w:tcPr>
          <w:p>
            <w:pPr>
              <w:jc w:val="center"/>
            </w:pPr>
            <w:r>
              <w:rPr>
                <w:rFonts w:ascii="Arial" w:cs="Arial" w:eastAsia="Arial" w:hAnsi="Arial"/>
                <w:color w:val="3C3489"/>
                <w:sz w:val="15"/>
                <w:szCs w:val="15"/>
              </w:rPr>
              <w:t xml:space="preserve">advanced</w:t>
            </w:r>
          </w:p>
        </w:tc>
      </w:tr>
      <w:tr>
        <w:tc>
          <w:tcPr>
            <w:tcW w:type="dxa" w:w="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80"/>
            </w:tcMar>
          </w:tcPr>
          <w:p>
            <w:pPr>
              <w:jc w:val="center"/>
            </w:pPr>
            <w:r>
              <w:rPr>
                <w:rFonts w:ascii="Arial" w:cs="Arial" w:eastAsia="Arial" w:hAnsi="Arial"/>
                <w:b/>
                <w:bCs/>
                <w:color w:val="3C3489"/>
                <w:sz w:val="17"/>
                <w:szCs w:val="17"/>
              </w:rPr>
              <w:t xml:space="preserve">7.3</w:t>
            </w:r>
          </w:p>
        </w:tc>
        <w:tc>
          <w:tcPr>
            <w:tcW w:type="dxa" w:w="7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000000"/>
                <w:sz w:val="19"/>
                <w:szCs w:val="19"/>
              </w:rPr>
              <w:t xml:space="preserve">Encryption at rest — AES-256-GCM, envelope encryption, and cloud KMS integration</w:t>
            </w:r>
          </w:p>
        </w:tc>
        <w:tc>
          <w:tcPr>
            <w:tcW w:type="dxa" w:w="900"/>
            <w:tcBorders>
              <w:top w:val="single" w:color="CCCCCC" w:sz="1"/>
              <w:left w:val="single" w:color="CCCCCC" w:sz="1"/>
              <w:bottom w:val="single" w:color="CCCCCC" w:sz="1"/>
              <w:right w:val="single" w:color="CCCCCC" w:sz="1"/>
            </w:tcBorders>
            <w:shd w:fill="EEEDFE" w:val="clear"/>
            <w:tcMar>
              <w:top w:type="dxa" w:w="80"/>
              <w:left w:type="dxa" w:w="80"/>
              <w:bottom w:type="dxa" w:w="80"/>
              <w:right w:type="dxa" w:w="80"/>
            </w:tcMar>
          </w:tcPr>
          <w:p>
            <w:pPr>
              <w:jc w:val="center"/>
            </w:pPr>
            <w:r>
              <w:rPr>
                <w:rFonts w:ascii="Arial" w:cs="Arial" w:eastAsia="Arial" w:hAnsi="Arial"/>
                <w:color w:val="3C3489"/>
                <w:sz w:val="15"/>
                <w:szCs w:val="15"/>
              </w:rPr>
              <w:t xml:space="preserve">advanced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bCs/>
                <w:color w:val="3C3489"/>
                <w:sz w:val="17"/>
                <w:szCs w:val="17"/>
              </w:rPr>
              <w:t xml:space="preserve">7.4</w:t>
            </w:r>
          </w:p>
        </w:tc>
        <w:tc>
          <w:tcPr>
            <w:tcW w:type="dxa" w:w="77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color w:val="000000"/>
                <w:sz w:val="19"/>
                <w:szCs w:val="19"/>
              </w:rPr>
              <w:t xml:space="preserve">mTLS and FIPS 140-2 mode — certificate rotation and algorithm restriction</w:t>
            </w:r>
          </w:p>
        </w:tc>
        <w:tc>
          <w:tcPr>
            <w:tcW w:type="dxa" w:w="900"/>
            <w:tcBorders>
              <w:top w:val="single" w:color="CCCCCC" w:sz="1"/>
              <w:left w:val="single" w:color="CCCCCC" w:sz="1"/>
              <w:bottom w:val="single" w:color="CCCCCC" w:sz="1"/>
              <w:right w:val="single" w:color="CCCCCC" w:sz="1"/>
            </w:tcBorders>
            <w:shd w:fill="EEEDFE" w:val="clear"/>
            <w:tcMar>
              <w:top w:type="dxa" w:w="80"/>
              <w:left w:type="dxa" w:w="80"/>
              <w:bottom w:type="dxa" w:w="80"/>
              <w:right w:type="dxa" w:w="80"/>
            </w:tcMar>
          </w:tcPr>
          <w:p>
            <w:pPr>
              <w:jc w:val="center"/>
            </w:pPr>
            <w:r>
              <w:rPr>
                <w:rFonts w:ascii="Arial" w:cs="Arial" w:eastAsia="Arial" w:hAnsi="Arial"/>
                <w:color w:val="3C3489"/>
                <w:sz w:val="15"/>
                <w:szCs w:val="15"/>
              </w:rPr>
              <w:t xml:space="preserve">advanced</w:t>
            </w:r>
          </w:p>
        </w:tc>
      </w:tr>
      <w:tr>
        <w:tc>
          <w:tcPr>
            <w:tcW w:type="dxa" w:w="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80"/>
            </w:tcMar>
          </w:tcPr>
          <w:p>
            <w:pPr>
              <w:jc w:val="center"/>
            </w:pPr>
            <w:r>
              <w:rPr>
                <w:rFonts w:ascii="Arial" w:cs="Arial" w:eastAsia="Arial" w:hAnsi="Arial"/>
                <w:b/>
                <w:bCs/>
                <w:color w:val="3C3489"/>
                <w:sz w:val="17"/>
                <w:szCs w:val="17"/>
              </w:rPr>
              <w:t xml:space="preserve">7.5</w:t>
            </w:r>
          </w:p>
        </w:tc>
        <w:tc>
          <w:tcPr>
            <w:tcW w:type="dxa" w:w="7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000000"/>
                <w:sz w:val="19"/>
                <w:szCs w:val="19"/>
              </w:rPr>
              <w:t xml:space="preserve">Air-gap deployment — offline mode, Docker Compose self-hosted stack, Helm chart</w:t>
            </w:r>
          </w:p>
        </w:tc>
        <w:tc>
          <w:tcPr>
            <w:tcW w:type="dxa" w:w="900"/>
            <w:tcBorders>
              <w:top w:val="single" w:color="CCCCCC" w:sz="1"/>
              <w:left w:val="single" w:color="CCCCCC" w:sz="1"/>
              <w:bottom w:val="single" w:color="CCCCCC" w:sz="1"/>
              <w:right w:val="single" w:color="CCCCCC" w:sz="1"/>
            </w:tcBorders>
            <w:shd w:fill="EEEDFE" w:val="clear"/>
            <w:tcMar>
              <w:top w:type="dxa" w:w="80"/>
              <w:left w:type="dxa" w:w="80"/>
              <w:bottom w:type="dxa" w:w="80"/>
              <w:right w:type="dxa" w:w="80"/>
            </w:tcMar>
          </w:tcPr>
          <w:p>
            <w:pPr>
              <w:jc w:val="center"/>
            </w:pPr>
            <w:r>
              <w:rPr>
                <w:rFonts w:ascii="Arial" w:cs="Arial" w:eastAsia="Arial" w:hAnsi="Arial"/>
                <w:color w:val="3C3489"/>
                <w:sz w:val="15"/>
                <w:szCs w:val="15"/>
              </w:rPr>
              <w:t xml:space="preserve">advanced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bCs/>
                <w:color w:val="3C3489"/>
                <w:sz w:val="17"/>
                <w:szCs w:val="17"/>
              </w:rPr>
              <w:t xml:space="preserve">7.6</w:t>
            </w:r>
          </w:p>
        </w:tc>
        <w:tc>
          <w:tcPr>
            <w:tcW w:type="dxa" w:w="77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color w:val="000000"/>
                <w:sz w:val="19"/>
                <w:szCs w:val="19"/>
              </w:rPr>
              <w:t xml:space="preserve">OWASP API Security Top 10 — each category as a code-level checklist</w:t>
            </w:r>
          </w:p>
        </w:tc>
        <w:tc>
          <w:tcPr>
            <w:tcW w:type="dxa" w:w="900"/>
            <w:tcBorders>
              <w:top w:val="single" w:color="CCCCCC" w:sz="1"/>
              <w:left w:val="single" w:color="CCCCCC" w:sz="1"/>
              <w:bottom w:val="single" w:color="CCCCCC" w:sz="1"/>
              <w:right w:val="single" w:color="CCCCCC" w:sz="1"/>
            </w:tcBorders>
            <w:shd w:fill="EEEDFE" w:val="clear"/>
            <w:tcMar>
              <w:top w:type="dxa" w:w="80"/>
              <w:left w:type="dxa" w:w="80"/>
              <w:bottom w:type="dxa" w:w="80"/>
              <w:right w:type="dxa" w:w="80"/>
            </w:tcMar>
          </w:tcPr>
          <w:p>
            <w:pPr>
              <w:jc w:val="center"/>
            </w:pPr>
            <w:r>
              <w:rPr>
                <w:rFonts w:ascii="Arial" w:cs="Arial" w:eastAsia="Arial" w:hAnsi="Arial"/>
                <w:color w:val="3C3489"/>
                <w:sz w:val="15"/>
                <w:szCs w:val="15"/>
              </w:rPr>
              <w:t xml:space="preserve">advanced</w:t>
            </w:r>
          </w:p>
        </w:tc>
      </w:tr>
      <w:tr>
        <w:tc>
          <w:tcPr>
            <w:tcW w:type="dxa" w:w="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80"/>
            </w:tcMar>
          </w:tcPr>
          <w:p>
            <w:pPr>
              <w:jc w:val="center"/>
            </w:pPr>
            <w:r>
              <w:rPr>
                <w:rFonts w:ascii="Arial" w:cs="Arial" w:eastAsia="Arial" w:hAnsi="Arial"/>
                <w:b/>
                <w:bCs/>
                <w:color w:val="3C3489"/>
                <w:sz w:val="17"/>
                <w:szCs w:val="17"/>
              </w:rPr>
              <w:t xml:space="preserve">7.7</w:t>
            </w:r>
          </w:p>
        </w:tc>
        <w:tc>
          <w:tcPr>
            <w:tcW w:type="dxa" w:w="7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000000"/>
                <w:sz w:val="19"/>
                <w:szCs w:val="19"/>
              </w:rPr>
              <w:t xml:space="preserve">STRIDE threat modelling — applied to the 8 SpanForge service boundaries</w:t>
            </w:r>
          </w:p>
        </w:tc>
        <w:tc>
          <w:tcPr>
            <w:tcW w:type="dxa" w:w="900"/>
            <w:tcBorders>
              <w:top w:val="single" w:color="CCCCCC" w:sz="1"/>
              <w:left w:val="single" w:color="CCCCCC" w:sz="1"/>
              <w:bottom w:val="single" w:color="CCCCCC" w:sz="1"/>
              <w:right w:val="single" w:color="CCCCCC" w:sz="1"/>
            </w:tcBorders>
            <w:shd w:fill="EEEDFE" w:val="clear"/>
            <w:tcMar>
              <w:top w:type="dxa" w:w="80"/>
              <w:left w:type="dxa" w:w="80"/>
              <w:bottom w:type="dxa" w:w="80"/>
              <w:right w:type="dxa" w:w="80"/>
            </w:tcMar>
          </w:tcPr>
          <w:p>
            <w:pPr>
              <w:jc w:val="center"/>
            </w:pPr>
            <w:r>
              <w:rPr>
                <w:rFonts w:ascii="Arial" w:cs="Arial" w:eastAsia="Arial" w:hAnsi="Arial"/>
                <w:color w:val="3C3489"/>
                <w:sz w:val="15"/>
                <w:szCs w:val="15"/>
              </w:rPr>
              <w:t xml:space="preserve">advanced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bCs/>
                <w:color w:val="3C3489"/>
                <w:sz w:val="17"/>
                <w:szCs w:val="17"/>
              </w:rPr>
              <w:t xml:space="preserve">7.8</w:t>
            </w:r>
          </w:p>
        </w:tc>
        <w:tc>
          <w:tcPr>
            <w:tcW w:type="dxa" w:w="77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color w:val="000000"/>
                <w:sz w:val="19"/>
                <w:szCs w:val="19"/>
              </w:rPr>
              <w:t xml:space="preserve">Supply chain security — CycloneDX SBOM, Sigstore/cosign, SLSA provenance</w:t>
            </w:r>
          </w:p>
        </w:tc>
        <w:tc>
          <w:tcPr>
            <w:tcW w:type="dxa" w:w="900"/>
            <w:tcBorders>
              <w:top w:val="single" w:color="CCCCCC" w:sz="1"/>
              <w:left w:val="single" w:color="CCCCCC" w:sz="1"/>
              <w:bottom w:val="single" w:color="CCCCCC" w:sz="1"/>
              <w:right w:val="single" w:color="CCCCCC" w:sz="1"/>
            </w:tcBorders>
            <w:shd w:fill="EEEDFE" w:val="clear"/>
            <w:tcMar>
              <w:top w:type="dxa" w:w="80"/>
              <w:left w:type="dxa" w:w="80"/>
              <w:bottom w:type="dxa" w:w="80"/>
              <w:right w:type="dxa" w:w="80"/>
            </w:tcMar>
          </w:tcPr>
          <w:p>
            <w:pPr>
              <w:jc w:val="center"/>
            </w:pPr>
            <w:r>
              <w:rPr>
                <w:rFonts w:ascii="Arial" w:cs="Arial" w:eastAsia="Arial" w:hAnsi="Arial"/>
                <w:color w:val="3C3489"/>
                <w:sz w:val="15"/>
                <w:szCs w:val="15"/>
              </w:rPr>
              <w:t xml:space="preserve">advanced</w:t>
            </w:r>
          </w:p>
        </w:tc>
      </w:tr>
    </w:tbl>
    <w:p>
      <w:pPr>
        <w:spacing w:after="60" w:before="60"/>
      </w:pPr>
      <w:r>
        <w:t xml:space="preserve"/>
      </w:r>
    </w:p>
    <w:p>
      <w:pPr>
        <w:pStyle w:val="Heading2"/>
        <w:spacing w:after="80" w:before="200"/>
      </w:pPr>
      <w:r>
        <w:rPr>
          <w:rFonts w:ascii="Arial" w:cs="Arial" w:eastAsia="Arial" w:hAnsi="Arial"/>
          <w:b/>
          <w:bCs/>
          <w:color w:val="2E75B6"/>
          <w:sz w:val="24"/>
          <w:szCs w:val="24"/>
        </w:rPr>
        <w:t xml:space="preserve">Chapter details</w:t>
      </w:r>
    </w:p>
    <w:p>
      <w:pPr>
        <w:shd w:fill="EEEDFE" w:val="clear"/>
        <w:spacing w:after="0" w:before="120"/>
        <w:ind w:left="0"/>
      </w:pPr>
      <w:r>
        <w:rPr>
          <w:rFonts w:ascii="Arial" w:cs="Arial" w:eastAsia="Arial" w:hAnsi="Arial"/>
          <w:b/>
          <w:bCs/>
          <w:color w:val="3C3489"/>
          <w:sz w:val="20"/>
          <w:szCs w:val="20"/>
        </w:rPr>
        <w:t xml:space="preserve">  7.1  </w:t>
      </w:r>
      <w:r>
        <w:rPr>
          <w:rFonts w:ascii="Arial" w:cs="Arial" w:eastAsia="Arial" w:hAnsi="Arial"/>
          <w:b/>
          <w:bCs/>
          <w:color w:val="3C3489"/>
          <w:sz w:val="20"/>
          <w:szCs w:val="20"/>
        </w:rPr>
        <w:t xml:space="preserve">Multi-tenancy — project isolation, HMAC chain scoping, cross-project query guards</w:t>
      </w:r>
    </w:p>
    <w:p>
      <w:pPr>
        <w:pStyle w:val="ListParagraph"/>
        <w:numPr>
          <w:ilvl w:val="0"/>
          <w:numId w:val="2"/>
        </w:numPr>
        <w:spacing w:after="30" w:before="30"/>
      </w:pPr>
      <w:r>
        <w:rPr>
          <w:rFonts w:ascii="Arial" w:cs="Arial" w:eastAsia="Arial" w:hAnsi="Arial"/>
          <w:color w:val="000000"/>
          <w:sz w:val="19"/>
          <w:szCs w:val="19"/>
        </w:rPr>
        <w:t xml:space="preserve">(org_id, project_id) composite key as the isolation boundary</w:t>
      </w:r>
    </w:p>
    <w:p>
      <w:pPr>
        <w:pStyle w:val="ListParagraph"/>
        <w:numPr>
          <w:ilvl w:val="0"/>
          <w:numId w:val="2"/>
        </w:numPr>
        <w:spacing w:after="30" w:before="30"/>
      </w:pPr>
      <w:r>
        <w:rPr>
          <w:rFonts w:ascii="Arial" w:cs="Arial" w:eastAsia="Arial" w:hAnsi="Arial"/>
          <w:color w:val="000000"/>
          <w:sz w:val="19"/>
          <w:szCs w:val="19"/>
        </w:rPr>
        <w:t xml:space="preserve">Per-project org_secret — cross-chain collusion is cryptographically impossible</w:t>
      </w:r>
    </w:p>
    <w:p>
      <w:pPr>
        <w:pStyle w:val="ListParagraph"/>
        <w:numPr>
          <w:ilvl w:val="0"/>
          <w:numId w:val="2"/>
        </w:numPr>
        <w:spacing w:after="30" w:before="30"/>
      </w:pPr>
      <w:r>
        <w:rPr>
          <w:rFonts w:ascii="Arial" w:cs="Arial" w:eastAsia="Arial" w:hAnsi="Arial"/>
          <w:color w:val="000000"/>
          <w:sz w:val="19"/>
          <w:szCs w:val="19"/>
        </w:rPr>
        <w:t xml:space="preserve">cross_project_read scope — explicit authorisation required for cross-project queries</w:t>
      </w:r>
    </w:p>
    <w:p>
      <w:pPr>
        <w:spacing w:after="60" w:before="60"/>
      </w:pPr>
      <w:r>
        <w:t xml:space="preserve"/>
      </w:r>
    </w:p>
    <w:p>
      <w:pPr>
        <w:shd w:fill="EEEDFE" w:val="clear"/>
        <w:spacing w:after="0" w:before="120"/>
        <w:ind w:left="0"/>
      </w:pPr>
      <w:r>
        <w:rPr>
          <w:rFonts w:ascii="Arial" w:cs="Arial" w:eastAsia="Arial" w:hAnsi="Arial"/>
          <w:b/>
          <w:bCs/>
          <w:color w:val="3C3489"/>
          <w:sz w:val="20"/>
          <w:szCs w:val="20"/>
        </w:rPr>
        <w:t xml:space="preserve">  7.2  </w:t>
      </w:r>
      <w:r>
        <w:rPr>
          <w:rFonts w:ascii="Arial" w:cs="Arial" w:eastAsia="Arial" w:hAnsi="Arial"/>
          <w:b/>
          <w:bCs/>
          <w:color w:val="3C3489"/>
          <w:sz w:val="20"/>
          <w:szCs w:val="20"/>
        </w:rPr>
        <w:t xml:space="preserve">Data residency — EU, US, APAC, India routing and enforcement at the SDK layer</w:t>
      </w:r>
    </w:p>
    <w:p>
      <w:pPr>
        <w:pStyle w:val="ListParagraph"/>
        <w:numPr>
          <w:ilvl w:val="0"/>
          <w:numId w:val="2"/>
        </w:numPr>
        <w:spacing w:after="30" w:before="30"/>
      </w:pPr>
      <w:r>
        <w:rPr>
          <w:rFonts w:ascii="Arial" w:cs="Arial" w:eastAsia="Arial" w:hAnsi="Arial"/>
          <w:color w:val="000000"/>
          <w:sz w:val="19"/>
          <w:szCs w:val="19"/>
        </w:rPr>
        <w:t xml:space="preserve">data_residency enum: eu | us | ap | in | global</w:t>
      </w:r>
    </w:p>
    <w:p>
      <w:pPr>
        <w:pStyle w:val="ListParagraph"/>
        <w:numPr>
          <w:ilvl w:val="0"/>
          <w:numId w:val="2"/>
        </w:numPr>
        <w:spacing w:after="30" w:before="30"/>
      </w:pPr>
      <w:r>
        <w:rPr>
          <w:rFonts w:ascii="Arial" w:cs="Arial" w:eastAsia="Arial" w:hAnsi="Arial"/>
          <w:color w:val="000000"/>
          <w:sz w:val="19"/>
          <w:szCs w:val="19"/>
        </w:rPr>
        <w:t xml:space="preserve">SDK-layer enforcement — data_residency is checked before every write, not just at config time</w:t>
      </w:r>
    </w:p>
    <w:p>
      <w:pPr>
        <w:pStyle w:val="ListParagraph"/>
        <w:numPr>
          <w:ilvl w:val="0"/>
          <w:numId w:val="2"/>
        </w:numPr>
        <w:spacing w:after="30" w:before="30"/>
      </w:pPr>
      <w:r>
        <w:rPr>
          <w:rFonts w:ascii="Arial" w:cs="Arial" w:eastAsia="Arial" w:hAnsi="Arial"/>
          <w:color w:val="000000"/>
          <w:sz w:val="19"/>
          <w:szCs w:val="19"/>
        </w:rPr>
        <w:t xml:space="preserve">DPDP Act data localisation requirements for IN-scoped projects</w:t>
      </w:r>
    </w:p>
    <w:p>
      <w:pPr>
        <w:spacing w:after="60" w:before="60"/>
      </w:pPr>
      <w:r>
        <w:t xml:space="preserve"/>
      </w:r>
    </w:p>
    <w:p>
      <w:pPr>
        <w:shd w:fill="EEEDFE" w:val="clear"/>
        <w:spacing w:after="0" w:before="120"/>
        <w:ind w:left="0"/>
      </w:pPr>
      <w:r>
        <w:rPr>
          <w:rFonts w:ascii="Arial" w:cs="Arial" w:eastAsia="Arial" w:hAnsi="Arial"/>
          <w:b/>
          <w:bCs/>
          <w:color w:val="3C3489"/>
          <w:sz w:val="20"/>
          <w:szCs w:val="20"/>
        </w:rPr>
        <w:t xml:space="preserve">  7.3  </w:t>
      </w:r>
      <w:r>
        <w:rPr>
          <w:rFonts w:ascii="Arial" w:cs="Arial" w:eastAsia="Arial" w:hAnsi="Arial"/>
          <w:b/>
          <w:bCs/>
          <w:color w:val="3C3489"/>
          <w:sz w:val="20"/>
          <w:szCs w:val="20"/>
        </w:rPr>
        <w:t xml:space="preserve">Encryption at rest — AES-256-GCM, envelope encryption, and cloud KMS integration</w:t>
      </w:r>
    </w:p>
    <w:p>
      <w:pPr>
        <w:pStyle w:val="ListParagraph"/>
        <w:numPr>
          <w:ilvl w:val="0"/>
          <w:numId w:val="2"/>
        </w:numPr>
        <w:spacing w:after="30" w:before="30"/>
      </w:pPr>
      <w:r>
        <w:rPr>
          <w:rFonts w:ascii="Arial" w:cs="Arial" w:eastAsia="Arial" w:hAnsi="Arial"/>
          <w:color w:val="000000"/>
          <w:sz w:val="19"/>
          <w:szCs w:val="19"/>
        </w:rPr>
        <w:t xml:space="preserve">AES-256-GCM — authenticated encryption, nonce management, and tag verification</w:t>
      </w:r>
    </w:p>
    <w:p>
      <w:pPr>
        <w:pStyle w:val="ListParagraph"/>
        <w:numPr>
          <w:ilvl w:val="0"/>
          <w:numId w:val="2"/>
        </w:numPr>
        <w:spacing w:after="30" w:before="30"/>
      </w:pPr>
      <w:r>
        <w:rPr>
          <w:rFonts w:ascii="Arial" w:cs="Arial" w:eastAsia="Arial" w:hAnsi="Arial"/>
          <w:color w:val="000000"/>
          <w:sz w:val="19"/>
          <w:szCs w:val="19"/>
        </w:rPr>
        <w:t xml:space="preserve">Envelope encryption: DEK encrypted with PMK stored in AWS KMS / Azure Key Vault / GCP KMS</w:t>
      </w:r>
    </w:p>
    <w:p>
      <w:pPr>
        <w:pStyle w:val="ListParagraph"/>
        <w:numPr>
          <w:ilvl w:val="0"/>
          <w:numId w:val="2"/>
        </w:numPr>
        <w:spacing w:after="30" w:before="30"/>
      </w:pPr>
      <w:r>
        <w:rPr>
          <w:rFonts w:ascii="Arial" w:cs="Arial" w:eastAsia="Arial" w:hAnsi="Arial"/>
          <w:color w:val="000000"/>
          <w:sz w:val="19"/>
          <w:szCs w:val="19"/>
        </w:rPr>
        <w:t xml:space="preserve">Key rotation without re-encrypting all data — the DEK/PMK separation pattern</w:t>
      </w:r>
    </w:p>
    <w:p>
      <w:pPr>
        <w:spacing w:after="60" w:before="60"/>
      </w:pPr>
      <w:r>
        <w:t xml:space="preserve"/>
      </w:r>
    </w:p>
    <w:p>
      <w:pPr>
        <w:shd w:fill="EEEDFE" w:val="clear"/>
        <w:spacing w:after="0" w:before="120"/>
        <w:ind w:left="0"/>
      </w:pPr>
      <w:r>
        <w:rPr>
          <w:rFonts w:ascii="Arial" w:cs="Arial" w:eastAsia="Arial" w:hAnsi="Arial"/>
          <w:b/>
          <w:bCs/>
          <w:color w:val="3C3489"/>
          <w:sz w:val="20"/>
          <w:szCs w:val="20"/>
        </w:rPr>
        <w:t xml:space="preserve">  7.4  </w:t>
      </w:r>
      <w:r>
        <w:rPr>
          <w:rFonts w:ascii="Arial" w:cs="Arial" w:eastAsia="Arial" w:hAnsi="Arial"/>
          <w:b/>
          <w:bCs/>
          <w:color w:val="3C3489"/>
          <w:sz w:val="20"/>
          <w:szCs w:val="20"/>
        </w:rPr>
        <w:t xml:space="preserve">mTLS and FIPS 140-2 mode — certificate rotation and algorithm restriction</w:t>
      </w:r>
    </w:p>
    <w:p>
      <w:pPr>
        <w:pStyle w:val="ListParagraph"/>
        <w:numPr>
          <w:ilvl w:val="0"/>
          <w:numId w:val="2"/>
        </w:numPr>
        <w:spacing w:after="30" w:before="30"/>
      </w:pPr>
      <w:r>
        <w:rPr>
          <w:rFonts w:ascii="Arial" w:cs="Arial" w:eastAsia="Arial" w:hAnsi="Arial"/>
          <w:color w:val="000000"/>
          <w:sz w:val="19"/>
          <w:szCs w:val="19"/>
        </w:rPr>
        <w:t xml:space="preserve">mTLS configuration: tls_cert_path, tls_key_path, tls_ca_path</w:t>
      </w:r>
    </w:p>
    <w:p>
      <w:pPr>
        <w:pStyle w:val="ListParagraph"/>
        <w:numPr>
          <w:ilvl w:val="0"/>
          <w:numId w:val="2"/>
        </w:numPr>
        <w:spacing w:after="30" w:before="30"/>
      </w:pPr>
      <w:r>
        <w:rPr>
          <w:rFonts w:ascii="Arial" w:cs="Arial" w:eastAsia="Arial" w:hAnsi="Arial"/>
          <w:color w:val="000000"/>
          <w:sz w:val="19"/>
          <w:szCs w:val="19"/>
        </w:rPr>
        <w:t xml:space="preserve">PKCS#12 certificate reload without downtime</w:t>
      </w:r>
    </w:p>
    <w:p>
      <w:pPr>
        <w:pStyle w:val="ListParagraph"/>
        <w:numPr>
          <w:ilvl w:val="0"/>
          <w:numId w:val="2"/>
        </w:numPr>
        <w:spacing w:after="30" w:before="30"/>
      </w:pPr>
      <w:r>
        <w:rPr>
          <w:rFonts w:ascii="Arial" w:cs="Arial" w:eastAsia="Arial" w:hAnsi="Arial"/>
          <w:color w:val="000000"/>
          <w:sz w:val="19"/>
          <w:szCs w:val="19"/>
        </w:rPr>
        <w:t xml:space="preserve">FIPS 140-2 mode — algorithm restriction at startup and what it disables</w:t>
      </w:r>
    </w:p>
    <w:p>
      <w:pPr>
        <w:spacing w:after="60" w:before="60"/>
      </w:pPr>
      <w:r>
        <w:t xml:space="preserve"/>
      </w:r>
    </w:p>
    <w:p>
      <w:pPr>
        <w:shd w:fill="EEEDFE" w:val="clear"/>
        <w:spacing w:after="0" w:before="120"/>
        <w:ind w:left="0"/>
      </w:pPr>
      <w:r>
        <w:rPr>
          <w:rFonts w:ascii="Arial" w:cs="Arial" w:eastAsia="Arial" w:hAnsi="Arial"/>
          <w:b/>
          <w:bCs/>
          <w:color w:val="3C3489"/>
          <w:sz w:val="20"/>
          <w:szCs w:val="20"/>
        </w:rPr>
        <w:t xml:space="preserve">  7.5  </w:t>
      </w:r>
      <w:r>
        <w:rPr>
          <w:rFonts w:ascii="Arial" w:cs="Arial" w:eastAsia="Arial" w:hAnsi="Arial"/>
          <w:b/>
          <w:bCs/>
          <w:color w:val="3C3489"/>
          <w:sz w:val="20"/>
          <w:szCs w:val="20"/>
        </w:rPr>
        <w:t xml:space="preserve">Air-gap deployment — offline mode, Docker Compose self-hosted stack, Helm chart</w:t>
      </w:r>
    </w:p>
    <w:p>
      <w:pPr>
        <w:pStyle w:val="ListParagraph"/>
        <w:numPr>
          <w:ilvl w:val="0"/>
          <w:numId w:val="2"/>
        </w:numPr>
        <w:spacing w:after="30" w:before="30"/>
      </w:pPr>
      <w:r>
        <w:rPr>
          <w:rFonts w:ascii="Arial" w:cs="Arial" w:eastAsia="Arial" w:hAnsi="Arial"/>
          <w:color w:val="000000"/>
          <w:sz w:val="19"/>
          <w:szCs w:val="19"/>
        </w:rPr>
        <w:t xml:space="preserve">offline=true — what this prevents and what still works locally</w:t>
      </w:r>
    </w:p>
    <w:p>
      <w:pPr>
        <w:pStyle w:val="ListParagraph"/>
        <w:numPr>
          <w:ilvl w:val="0"/>
          <w:numId w:val="2"/>
        </w:numPr>
        <w:spacing w:after="30" w:before="30"/>
      </w:pPr>
      <w:r>
        <w:rPr>
          <w:rFonts w:ascii="Arial" w:cs="Arial" w:eastAsia="Arial" w:hAnsi="Arial"/>
          <w:color w:val="000000"/>
          <w:sz w:val="19"/>
          <w:szCs w:val="19"/>
        </w:rPr>
        <w:t xml:space="preserve">Docker Compose self-hosted stack — internal networking, health checks, service dependencies</w:t>
      </w:r>
    </w:p>
    <w:p>
      <w:pPr>
        <w:pStyle w:val="ListParagraph"/>
        <w:numPr>
          <w:ilvl w:val="0"/>
          <w:numId w:val="2"/>
        </w:numPr>
        <w:spacing w:after="30" w:before="30"/>
      </w:pPr>
      <w:r>
        <w:rPr>
          <w:rFonts w:ascii="Arial" w:cs="Arial" w:eastAsia="Arial" w:hAnsi="Arial"/>
          <w:color w:val="000000"/>
          <w:sz w:val="19"/>
          <w:szCs w:val="19"/>
        </w:rPr>
        <w:t xml:space="preserve">Helm chart structure — Secret template, HPA, PodDisruptionBudget, NetworkPolicy</w:t>
      </w:r>
    </w:p>
    <w:p>
      <w:pPr>
        <w:spacing w:after="60" w:before="60"/>
      </w:pPr>
      <w:r>
        <w:t xml:space="preserve"/>
      </w:r>
    </w:p>
    <w:p>
      <w:pPr>
        <w:shd w:fill="EEEDFE" w:val="clear"/>
        <w:spacing w:after="0" w:before="120"/>
        <w:ind w:left="0"/>
      </w:pPr>
      <w:r>
        <w:rPr>
          <w:rFonts w:ascii="Arial" w:cs="Arial" w:eastAsia="Arial" w:hAnsi="Arial"/>
          <w:b/>
          <w:bCs/>
          <w:color w:val="3C3489"/>
          <w:sz w:val="20"/>
          <w:szCs w:val="20"/>
        </w:rPr>
        <w:t xml:space="preserve">  7.6  </w:t>
      </w:r>
      <w:r>
        <w:rPr>
          <w:rFonts w:ascii="Arial" w:cs="Arial" w:eastAsia="Arial" w:hAnsi="Arial"/>
          <w:b/>
          <w:bCs/>
          <w:color w:val="3C3489"/>
          <w:sz w:val="20"/>
          <w:szCs w:val="20"/>
        </w:rPr>
        <w:t xml:space="preserve">OWASP API Security Top 10 — each category as a code-level checklist</w:t>
      </w:r>
    </w:p>
    <w:p>
      <w:pPr>
        <w:pStyle w:val="ListParagraph"/>
        <w:numPr>
          <w:ilvl w:val="0"/>
          <w:numId w:val="2"/>
        </w:numPr>
        <w:spacing w:after="30" w:before="30"/>
      </w:pPr>
      <w:r>
        <w:rPr>
          <w:rFonts w:ascii="Arial" w:cs="Arial" w:eastAsia="Arial" w:hAnsi="Arial"/>
          <w:color w:val="000000"/>
          <w:sz w:val="19"/>
          <w:szCs w:val="19"/>
        </w:rPr>
        <w:t xml:space="preserve">Broken Object Level Auth → row-level filtering at the SDK layer</w:t>
      </w:r>
    </w:p>
    <w:p>
      <w:pPr>
        <w:pStyle w:val="ListParagraph"/>
        <w:numPr>
          <w:ilvl w:val="0"/>
          <w:numId w:val="2"/>
        </w:numPr>
        <w:spacing w:after="30" w:before="30"/>
      </w:pPr>
      <w:r>
        <w:rPr>
          <w:rFonts w:ascii="Arial" w:cs="Arial" w:eastAsia="Arial" w:hAnsi="Arial"/>
          <w:color w:val="000000"/>
          <w:sz w:val="19"/>
          <w:szCs w:val="19"/>
        </w:rPr>
        <w:t xml:space="preserve">Broken Auth → constant-time comparison, brute-force lockout, token revocation lists</w:t>
      </w:r>
    </w:p>
    <w:p>
      <w:pPr>
        <w:pStyle w:val="ListParagraph"/>
        <w:numPr>
          <w:ilvl w:val="0"/>
          <w:numId w:val="2"/>
        </w:numPr>
        <w:spacing w:after="30" w:before="30"/>
      </w:pPr>
      <w:r>
        <w:rPr>
          <w:rFonts w:ascii="Arial" w:cs="Arial" w:eastAsia="Arial" w:hAnsi="Arial"/>
          <w:color w:val="000000"/>
          <w:sz w:val="19"/>
          <w:szCs w:val="19"/>
        </w:rPr>
        <w:t xml:space="preserve">Excessive Data Exposure → SecretStr, content hashing, never raw text in audit records</w:t>
      </w:r>
    </w:p>
    <w:p>
      <w:pPr>
        <w:spacing w:after="60" w:before="60"/>
      </w:pPr>
      <w:r>
        <w:t xml:space="preserve"/>
      </w:r>
    </w:p>
    <w:p>
      <w:pPr>
        <w:shd w:fill="EEEDFE" w:val="clear"/>
        <w:spacing w:after="0" w:before="120"/>
        <w:ind w:left="0"/>
      </w:pPr>
      <w:r>
        <w:rPr>
          <w:rFonts w:ascii="Arial" w:cs="Arial" w:eastAsia="Arial" w:hAnsi="Arial"/>
          <w:b/>
          <w:bCs/>
          <w:color w:val="3C3489"/>
          <w:sz w:val="20"/>
          <w:szCs w:val="20"/>
        </w:rPr>
        <w:t xml:space="preserve">  7.7  </w:t>
      </w:r>
      <w:r>
        <w:rPr>
          <w:rFonts w:ascii="Arial" w:cs="Arial" w:eastAsia="Arial" w:hAnsi="Arial"/>
          <w:b/>
          <w:bCs/>
          <w:color w:val="3C3489"/>
          <w:sz w:val="20"/>
          <w:szCs w:val="20"/>
        </w:rPr>
        <w:t xml:space="preserve">STRIDE threat modelling — applied to the 8 SpanForge service boundaries</w:t>
      </w:r>
    </w:p>
    <w:p>
      <w:pPr>
        <w:pStyle w:val="ListParagraph"/>
        <w:numPr>
          <w:ilvl w:val="0"/>
          <w:numId w:val="2"/>
        </w:numPr>
        <w:spacing w:after="30" w:before="30"/>
      </w:pPr>
      <w:r>
        <w:rPr>
          <w:rFonts w:ascii="Arial" w:cs="Arial" w:eastAsia="Arial" w:hAnsi="Arial"/>
          <w:color w:val="000000"/>
          <w:sz w:val="19"/>
          <w:szCs w:val="19"/>
        </w:rPr>
        <w:t xml:space="preserve">Spoofing → API key format validation, IP allowlists, JWT jti revocation</w:t>
      </w:r>
    </w:p>
    <w:p>
      <w:pPr>
        <w:pStyle w:val="ListParagraph"/>
        <w:numPr>
          <w:ilvl w:val="0"/>
          <w:numId w:val="2"/>
        </w:numPr>
        <w:spacing w:after="30" w:before="30"/>
      </w:pPr>
      <w:r>
        <w:rPr>
          <w:rFonts w:ascii="Arial" w:cs="Arial" w:eastAsia="Arial" w:hAnsi="Arial"/>
          <w:color w:val="000000"/>
          <w:sz w:val="19"/>
          <w:szCs w:val="19"/>
        </w:rPr>
        <w:t xml:space="preserve">Tampering → HMAC chain, WORM storage, fsync semantics</w:t>
      </w:r>
    </w:p>
    <w:p>
      <w:pPr>
        <w:pStyle w:val="ListParagraph"/>
        <w:numPr>
          <w:ilvl w:val="0"/>
          <w:numId w:val="2"/>
        </w:numPr>
        <w:spacing w:after="30" w:before="30"/>
      </w:pPr>
      <w:r>
        <w:rPr>
          <w:rFonts w:ascii="Arial" w:cs="Arial" w:eastAsia="Arial" w:hAnsi="Arial"/>
          <w:color w:val="000000"/>
          <w:sz w:val="19"/>
          <w:szCs w:val="19"/>
        </w:rPr>
        <w:t xml:space="preserve">Repudiation → Actor context, session activity log, non-repudiable audit chain</w:t>
      </w:r>
    </w:p>
    <w:p>
      <w:pPr>
        <w:spacing w:after="60" w:before="60"/>
      </w:pPr>
      <w:r>
        <w:t xml:space="preserve"/>
      </w:r>
    </w:p>
    <w:p>
      <w:pPr>
        <w:shd w:fill="EEEDFE" w:val="clear"/>
        <w:spacing w:after="0" w:before="120"/>
        <w:ind w:left="0"/>
      </w:pPr>
      <w:r>
        <w:rPr>
          <w:rFonts w:ascii="Arial" w:cs="Arial" w:eastAsia="Arial" w:hAnsi="Arial"/>
          <w:b/>
          <w:bCs/>
          <w:color w:val="3C3489"/>
          <w:sz w:val="20"/>
          <w:szCs w:val="20"/>
        </w:rPr>
        <w:t xml:space="preserve">  7.8  </w:t>
      </w:r>
      <w:r>
        <w:rPr>
          <w:rFonts w:ascii="Arial" w:cs="Arial" w:eastAsia="Arial" w:hAnsi="Arial"/>
          <w:b/>
          <w:bCs/>
          <w:color w:val="3C3489"/>
          <w:sz w:val="20"/>
          <w:szCs w:val="20"/>
        </w:rPr>
        <w:t xml:space="preserve">Supply chain security — CycloneDX SBOM, Sigstore/cosign, SLSA provenance</w:t>
      </w:r>
    </w:p>
    <w:p>
      <w:pPr>
        <w:pStyle w:val="ListParagraph"/>
        <w:numPr>
          <w:ilvl w:val="0"/>
          <w:numId w:val="2"/>
        </w:numPr>
        <w:spacing w:after="30" w:before="30"/>
      </w:pPr>
      <w:r>
        <w:rPr>
          <w:rFonts w:ascii="Arial" w:cs="Arial" w:eastAsia="Arial" w:hAnsi="Arial"/>
          <w:color w:val="000000"/>
          <w:sz w:val="19"/>
          <w:szCs w:val="19"/>
        </w:rPr>
        <w:t xml:space="preserve">CycloneDX 1.5 SBOM — what to include and how to attach it to a release</w:t>
      </w:r>
    </w:p>
    <w:p>
      <w:pPr>
        <w:pStyle w:val="ListParagraph"/>
        <w:numPr>
          <w:ilvl w:val="0"/>
          <w:numId w:val="2"/>
        </w:numPr>
        <w:spacing w:after="30" w:before="30"/>
      </w:pPr>
      <w:r>
        <w:rPr>
          <w:rFonts w:ascii="Arial" w:cs="Arial" w:eastAsia="Arial" w:hAnsi="Arial"/>
          <w:color w:val="000000"/>
          <w:sz w:val="19"/>
          <w:szCs w:val="19"/>
        </w:rPr>
        <w:t xml:space="preserve">Sigstore keyless signing — cosign sign-blob, Rekor transparency log, and verification</w:t>
      </w:r>
    </w:p>
    <w:p>
      <w:pPr>
        <w:pStyle w:val="ListParagraph"/>
        <w:numPr>
          <w:ilvl w:val="0"/>
          <w:numId w:val="2"/>
        </w:numPr>
        <w:spacing w:after="30" w:before="30"/>
      </w:pPr>
      <w:r>
        <w:rPr>
          <w:rFonts w:ascii="Arial" w:cs="Arial" w:eastAsia="Arial" w:hAnsi="Arial"/>
          <w:color w:val="000000"/>
          <w:sz w:val="19"/>
          <w:szCs w:val="19"/>
        </w:rPr>
        <w:t xml:space="preserve">VEX statements — documenting not_affected CVEs with justification in the SBOM</w:t>
      </w:r>
    </w:p>
    <w:p>
      <w:pPr>
        <w:spacing w:after="60" w:before="60"/>
      </w:pPr>
      <w:r>
        <w:t xml:space="preserve"/>
      </w:r>
    </w:p>
    <w:p>
      <w:pPr>
        <w:pBdr>
          <w:bottom w:val="single" w:color="2E75B6" w:sz="4"/>
        </w:pBdr>
        <w:spacing w:after="140" w:before="140"/>
      </w:pPr>
      <w:r>
        <w:t xml:space="preserve"/>
      </w:r>
    </w:p>
    <w:p>
      <w:r>
        <w:br w:type="pag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5800"/>
        <w:gridCol w:w="1200"/>
        <w:gridCol w:w="1200"/>
      </w:tblGrid>
      <w:tr>
        <w:tc>
          <w:tcPr>
            <w:tcW w:type="dxa" w:w="1200"/>
            <w:tcBorders>
              <w:top w:val="single" w:color="085041" w:sz="6"/>
              <w:left w:val="single" w:color="085041" w:sz="6"/>
              <w:bottom w:val="single" w:color="085041" w:sz="6"/>
              <w:right w:val="single" w:color="CCCCCC" w:sz="1"/>
            </w:tcBorders>
            <w:shd w:fill="E1F5EE" w:val="clear"/>
            <w:tcMar>
              <w:top w:type="dxa" w:w="120"/>
              <w:left w:type="dxa" w:w="140"/>
              <w:bottom w:type="dxa" w:w="120"/>
              <w:right w:type="dxa" w:w="140"/>
            </w:tcMar>
            <w:vAlign w:val="center"/>
          </w:tcPr>
          <w:p>
            <w:pPr>
              <w:jc w:val="center"/>
            </w:pPr>
            <w:r>
              <w:rPr>
                <w:rFonts w:ascii="Arial" w:cs="Arial" w:eastAsia="Arial" w:hAnsi="Arial"/>
                <w:b/>
                <w:bCs/>
                <w:color w:val="085041"/>
                <w:sz w:val="20"/>
                <w:szCs w:val="20"/>
              </w:rPr>
              <w:t xml:space="preserve">Part 8</w:t>
            </w:r>
          </w:p>
          <w:p>
            <w:pPr>
              <w:spacing w:before="20"/>
              <w:jc w:val="center"/>
            </w:pPr>
            <w:r>
              <w:rPr>
                <w:rFonts w:ascii="Arial" w:cs="Arial" w:eastAsia="Arial" w:hAnsi="Arial"/>
                <w:color w:val="085041"/>
                <w:sz w:val="15"/>
                <w:szCs w:val="15"/>
              </w:rPr>
              <w:t xml:space="preserve">testing</w:t>
            </w:r>
          </w:p>
        </w:tc>
        <w:tc>
          <w:tcPr>
            <w:tcW w:type="dxa" w:w="5800"/>
            <w:tcBorders>
              <w:top w:val="single" w:color="085041" w:sz="6"/>
              <w:left w:val="single" w:color="CCCCCC" w:sz="1"/>
              <w:bottom w:val="single" w:color="085041" w:sz="6"/>
              <w:right w:val="single" w:color="CCCCCC" w:sz="1"/>
            </w:tcBorders>
            <w:shd w:fill="FFFFFF" w:val="clear"/>
            <w:tcMar>
              <w:top w:type="dxa" w:w="120"/>
              <w:left w:type="dxa" w:w="180"/>
              <w:bottom w:type="dxa" w:w="120"/>
              <w:right w:type="dxa" w:w="140"/>
            </w:tcMar>
          </w:tcPr>
          <w:p>
            <w:r>
              <w:rPr>
                <w:rFonts w:ascii="Arial" w:cs="Arial" w:eastAsia="Arial" w:hAnsi="Arial"/>
                <w:b/>
                <w:bCs/>
                <w:color w:val="1F4E79"/>
                <w:sz w:val="24"/>
                <w:szCs w:val="24"/>
              </w:rPr>
              <w:t xml:space="preserve">Testing, DX, and shipping production SDKs</w:t>
            </w:r>
          </w:p>
        </w:tc>
        <w:tc>
          <w:tcPr>
            <w:tcW w:type="dxa" w:w="1200"/>
            <w:tcBorders>
              <w:top w:val="single" w:color="085041" w:sz="6"/>
              <w:left w:val="single" w:color="CCCCCC" w:sz="1"/>
              <w:bottom w:val="single" w:color="085041" w:sz="6"/>
              <w:right w:val="single" w:color="CCCCCC" w:sz="1"/>
            </w:tcBorders>
            <w:shd w:fill="F2F2F2" w:val="clear"/>
            <w:tcMar>
              <w:top w:type="dxa" w:w="120"/>
              <w:left w:type="dxa" w:w="120"/>
              <w:bottom w:type="dxa" w:w="120"/>
              <w:right w:type="dxa" w:w="120"/>
            </w:tcMar>
          </w:tcPr>
          <w:p>
            <w:pPr>
              <w:jc w:val="center"/>
            </w:pPr>
            <w:r>
              <w:rPr>
                <w:rFonts w:ascii="Arial" w:cs="Arial" w:eastAsia="Arial" w:hAnsi="Arial"/>
                <w:b/>
                <w:bCs/>
                <w:color w:val="2E75B6"/>
                <w:sz w:val="26"/>
                <w:szCs w:val="26"/>
              </w:rPr>
              <w:t xml:space="preserve">7</w:t>
            </w:r>
          </w:p>
          <w:p>
            <w:pPr>
              <w:spacing w:before="20"/>
              <w:jc w:val="center"/>
            </w:pPr>
            <w:r>
              <w:rPr>
                <w:rFonts w:ascii="Arial" w:cs="Arial" w:eastAsia="Arial" w:hAnsi="Arial"/>
                <w:color w:val="404040"/>
                <w:sz w:val="15"/>
                <w:szCs w:val="15"/>
              </w:rPr>
              <w:t xml:space="preserve">chapters</w:t>
            </w:r>
          </w:p>
        </w:tc>
        <w:tc>
          <w:tcPr>
            <w:tcW w:type="dxa" w:w="1200"/>
            <w:tcBorders>
              <w:top w:val="single" w:color="085041" w:sz="6"/>
              <w:left w:val="single" w:color="CCCCCC" w:sz="1"/>
              <w:bottom w:val="single" w:color="085041" w:sz="6"/>
              <w:right w:val="single" w:color="085041" w:sz="6"/>
            </w:tcBorders>
            <w:shd w:fill="F2F2F2" w:val="clear"/>
            <w:tcMar>
              <w:top w:type="dxa" w:w="120"/>
              <w:left w:type="dxa" w:w="120"/>
              <w:bottom w:type="dxa" w:w="120"/>
              <w:right w:type="dxa" w:w="120"/>
            </w:tcMar>
          </w:tcPr>
          <w:p>
            <w:pPr>
              <w:jc w:val="center"/>
            </w:pPr>
            <w:r>
              <w:rPr>
                <w:rFonts w:ascii="Arial" w:cs="Arial" w:eastAsia="Arial" w:hAnsi="Arial"/>
                <w:b/>
                <w:bCs/>
                <w:color w:val="404040"/>
                <w:sz w:val="20"/>
                <w:szCs w:val="20"/>
              </w:rPr>
              <w:t xml:space="preserve">~12 hrs</w:t>
            </w:r>
          </w:p>
          <w:p>
            <w:pPr>
              <w:spacing w:before="20"/>
              <w:jc w:val="center"/>
            </w:pPr>
            <w:r>
              <w:rPr>
                <w:rFonts w:ascii="Arial" w:cs="Arial" w:eastAsia="Arial" w:hAnsi="Arial"/>
                <w:color w:val="404040"/>
                <w:sz w:val="15"/>
                <w:szCs w:val="15"/>
              </w:rPr>
              <w:t xml:space="preserve">est. time</w:t>
            </w:r>
          </w:p>
        </w:tc>
      </w:tr>
    </w:tbl>
    <w:p>
      <w:pPr>
        <w:spacing w:after="60" w:before="60"/>
      </w:pPr>
      <w:r>
        <w:t xml:space="preserve"/>
      </w:r>
    </w:p>
    <w:p>
      <w:pPr>
        <w:spacing w:after="60" w:before="60"/>
      </w:pPr>
      <w:r>
        <w:rPr>
          <w:rFonts w:ascii="Arial" w:cs="Arial" w:eastAsia="Arial" w:hAnsi="Arial"/>
          <w:b w:val="false"/>
          <w:bCs w:val="false"/>
          <w:color w:val="404040"/>
          <w:sz w:val="20"/>
          <w:szCs w:val="20"/>
        </w:rPr>
        <w:t xml:space="preserve">The test suite and developer experience layer of SpanForge are as carefully designed as the production code. This part covers the testing patterns, toolchain configuration, and DX investments that make the SDK usable and verifiable by teams other than the one that built it.</w:t>
      </w:r>
    </w:p>
    <w:p>
      <w:pPr>
        <w:spacing w:after="6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800"/>
        <w:gridCol w:w="7700"/>
        <w:gridCol w:w="900"/>
      </w:tblGrid>
      <w:tr>
        <w:tc>
          <w:tcPr>
            <w:tcW w:type="dxa" w:w="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80"/>
            </w:tcMar>
          </w:tcPr>
          <w:p>
            <w:pPr>
              <w:jc w:val="center"/>
            </w:pPr>
            <w:r>
              <w:rPr>
                <w:rFonts w:ascii="Arial" w:cs="Arial" w:eastAsia="Arial" w:hAnsi="Arial"/>
                <w:b/>
                <w:bCs/>
                <w:color w:val="085041"/>
                <w:sz w:val="17"/>
                <w:szCs w:val="17"/>
              </w:rPr>
              <w:t xml:space="preserve">8.1</w:t>
            </w:r>
          </w:p>
        </w:tc>
        <w:tc>
          <w:tcPr>
            <w:tcW w:type="dxa" w:w="7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000000"/>
                <w:sz w:val="19"/>
                <w:szCs w:val="19"/>
              </w:rPr>
              <w:t xml:space="preserve">Property-based testing with Hypothesis — strategies, settings, and invariant design</w:t>
            </w:r>
          </w:p>
        </w:tc>
        <w:tc>
          <w:tcPr>
            <w:tcW w:type="dxa" w:w="900"/>
            <w:tcBorders>
              <w:top w:val="single" w:color="CCCCCC" w:sz="1"/>
              <w:left w:val="single" w:color="CCCCCC" w:sz="1"/>
              <w:bottom w:val="single" w:color="CCCCCC" w:sz="1"/>
              <w:right w:val="single" w:color="CCCCCC" w:sz="1"/>
            </w:tcBorders>
            <w:shd w:fill="E1F5EE" w:val="clear"/>
            <w:tcMar>
              <w:top w:type="dxa" w:w="80"/>
              <w:left w:type="dxa" w:w="80"/>
              <w:bottom w:type="dxa" w:w="80"/>
              <w:right w:type="dxa" w:w="80"/>
            </w:tcMar>
          </w:tcPr>
          <w:p>
            <w:pPr>
              <w:jc w:val="center"/>
            </w:pPr>
            <w:r>
              <w:rPr>
                <w:rFonts w:ascii="Arial" w:cs="Arial" w:eastAsia="Arial" w:hAnsi="Arial"/>
                <w:color w:val="085041"/>
                <w:sz w:val="15"/>
                <w:szCs w:val="15"/>
              </w:rPr>
              <w:t xml:space="preserve">testing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bCs/>
                <w:color w:val="085041"/>
                <w:sz w:val="17"/>
                <w:szCs w:val="17"/>
              </w:rPr>
              <w:t xml:space="preserve">8.2</w:t>
            </w:r>
          </w:p>
        </w:tc>
        <w:tc>
          <w:tcPr>
            <w:tcW w:type="dxa" w:w="77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color w:val="000000"/>
                <w:sz w:val="19"/>
                <w:szCs w:val="19"/>
              </w:rPr>
              <w:t xml:space="preserve">The conformance suite — portable JSON fixtures, clause IDs, and third-party verification</w:t>
            </w:r>
          </w:p>
        </w:tc>
        <w:tc>
          <w:tcPr>
            <w:tcW w:type="dxa" w:w="900"/>
            <w:tcBorders>
              <w:top w:val="single" w:color="CCCCCC" w:sz="1"/>
              <w:left w:val="single" w:color="CCCCCC" w:sz="1"/>
              <w:bottom w:val="single" w:color="CCCCCC" w:sz="1"/>
              <w:right w:val="single" w:color="CCCCCC" w:sz="1"/>
            </w:tcBorders>
            <w:shd w:fill="E1F5EE" w:val="clear"/>
            <w:tcMar>
              <w:top w:type="dxa" w:w="80"/>
              <w:left w:type="dxa" w:w="80"/>
              <w:bottom w:type="dxa" w:w="80"/>
              <w:right w:type="dxa" w:w="80"/>
            </w:tcMar>
          </w:tcPr>
          <w:p>
            <w:pPr>
              <w:jc w:val="center"/>
            </w:pPr>
            <w:r>
              <w:rPr>
                <w:rFonts w:ascii="Arial" w:cs="Arial" w:eastAsia="Arial" w:hAnsi="Arial"/>
                <w:color w:val="085041"/>
                <w:sz w:val="15"/>
                <w:szCs w:val="15"/>
              </w:rPr>
              <w:t xml:space="preserve">testing</w:t>
            </w:r>
          </w:p>
        </w:tc>
      </w:tr>
      <w:tr>
        <w:tc>
          <w:tcPr>
            <w:tcW w:type="dxa" w:w="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80"/>
            </w:tcMar>
          </w:tcPr>
          <w:p>
            <w:pPr>
              <w:jc w:val="center"/>
            </w:pPr>
            <w:r>
              <w:rPr>
                <w:rFonts w:ascii="Arial" w:cs="Arial" w:eastAsia="Arial" w:hAnsi="Arial"/>
                <w:b/>
                <w:bCs/>
                <w:color w:val="085041"/>
                <w:sz w:val="17"/>
                <w:szCs w:val="17"/>
              </w:rPr>
              <w:t xml:space="preserve">8.3</w:t>
            </w:r>
          </w:p>
        </w:tc>
        <w:tc>
          <w:tcPr>
            <w:tcW w:type="dxa" w:w="7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000000"/>
                <w:sz w:val="19"/>
                <w:szCs w:val="19"/>
              </w:rPr>
              <w:t xml:space="preserve">The mock layer — mock_all_services(), call recording, and test isolation</w:t>
            </w:r>
          </w:p>
        </w:tc>
        <w:tc>
          <w:tcPr>
            <w:tcW w:type="dxa" w:w="900"/>
            <w:tcBorders>
              <w:top w:val="single" w:color="CCCCCC" w:sz="1"/>
              <w:left w:val="single" w:color="CCCCCC" w:sz="1"/>
              <w:bottom w:val="single" w:color="CCCCCC" w:sz="1"/>
              <w:right w:val="single" w:color="CCCCCC" w:sz="1"/>
            </w:tcBorders>
            <w:shd w:fill="E1F5EE" w:val="clear"/>
            <w:tcMar>
              <w:top w:type="dxa" w:w="80"/>
              <w:left w:type="dxa" w:w="80"/>
              <w:bottom w:type="dxa" w:w="80"/>
              <w:right w:type="dxa" w:w="80"/>
            </w:tcMar>
          </w:tcPr>
          <w:p>
            <w:pPr>
              <w:jc w:val="center"/>
            </w:pPr>
            <w:r>
              <w:rPr>
                <w:rFonts w:ascii="Arial" w:cs="Arial" w:eastAsia="Arial" w:hAnsi="Arial"/>
                <w:color w:val="085041"/>
                <w:sz w:val="15"/>
                <w:szCs w:val="15"/>
              </w:rPr>
              <w:t xml:space="preserve">testing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bCs/>
                <w:color w:val="085041"/>
                <w:sz w:val="17"/>
                <w:szCs w:val="17"/>
              </w:rPr>
              <w:t xml:space="preserve">8.4</w:t>
            </w:r>
          </w:p>
        </w:tc>
        <w:tc>
          <w:tcPr>
            <w:tcW w:type="dxa" w:w="77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color w:val="000000"/>
                <w:sz w:val="19"/>
                <w:szCs w:val="19"/>
              </w:rPr>
              <w:t xml:space="preserve">Sandbox mode and the doctor CLI — zero-network local development</w:t>
            </w:r>
          </w:p>
        </w:tc>
        <w:tc>
          <w:tcPr>
            <w:tcW w:type="dxa" w:w="900"/>
            <w:tcBorders>
              <w:top w:val="single" w:color="CCCCCC" w:sz="1"/>
              <w:left w:val="single" w:color="CCCCCC" w:sz="1"/>
              <w:bottom w:val="single" w:color="CCCCCC" w:sz="1"/>
              <w:right w:val="single" w:color="CCCCCC" w:sz="1"/>
            </w:tcBorders>
            <w:shd w:fill="E1F5EE" w:val="clear"/>
            <w:tcMar>
              <w:top w:type="dxa" w:w="80"/>
              <w:left w:type="dxa" w:w="80"/>
              <w:bottom w:type="dxa" w:w="80"/>
              <w:right w:type="dxa" w:w="80"/>
            </w:tcMar>
          </w:tcPr>
          <w:p>
            <w:pPr>
              <w:jc w:val="center"/>
            </w:pPr>
            <w:r>
              <w:rPr>
                <w:rFonts w:ascii="Arial" w:cs="Arial" w:eastAsia="Arial" w:hAnsi="Arial"/>
                <w:color w:val="085041"/>
                <w:sz w:val="15"/>
                <w:szCs w:val="15"/>
              </w:rPr>
              <w:t xml:space="preserve">testing</w:t>
            </w:r>
          </w:p>
        </w:tc>
      </w:tr>
      <w:tr>
        <w:tc>
          <w:tcPr>
            <w:tcW w:type="dxa" w:w="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80"/>
            </w:tcMar>
          </w:tcPr>
          <w:p>
            <w:pPr>
              <w:jc w:val="center"/>
            </w:pPr>
            <w:r>
              <w:rPr>
                <w:rFonts w:ascii="Arial" w:cs="Arial" w:eastAsia="Arial" w:hAnsi="Arial"/>
                <w:b/>
                <w:bCs/>
                <w:color w:val="085041"/>
                <w:sz w:val="17"/>
                <w:szCs w:val="17"/>
              </w:rPr>
              <w:t xml:space="preserve">8.5</w:t>
            </w:r>
          </w:p>
        </w:tc>
        <w:tc>
          <w:tcPr>
            <w:tcW w:type="dxa" w:w="7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000000"/>
                <w:sz w:val="19"/>
                <w:szCs w:val="19"/>
              </w:rPr>
              <w:t xml:space="preserve">Type stubs (.pyi) — writing stubs that make mypy strict and IDEs happy</w:t>
            </w:r>
          </w:p>
        </w:tc>
        <w:tc>
          <w:tcPr>
            <w:tcW w:type="dxa" w:w="900"/>
            <w:tcBorders>
              <w:top w:val="single" w:color="CCCCCC" w:sz="1"/>
              <w:left w:val="single" w:color="CCCCCC" w:sz="1"/>
              <w:bottom w:val="single" w:color="CCCCCC" w:sz="1"/>
              <w:right w:val="single" w:color="CCCCCC" w:sz="1"/>
            </w:tcBorders>
            <w:shd w:fill="E1F5EE" w:val="clear"/>
            <w:tcMar>
              <w:top w:type="dxa" w:w="80"/>
              <w:left w:type="dxa" w:w="80"/>
              <w:bottom w:type="dxa" w:w="80"/>
              <w:right w:type="dxa" w:w="80"/>
            </w:tcMar>
          </w:tcPr>
          <w:p>
            <w:pPr>
              <w:jc w:val="center"/>
            </w:pPr>
            <w:r>
              <w:rPr>
                <w:rFonts w:ascii="Arial" w:cs="Arial" w:eastAsia="Arial" w:hAnsi="Arial"/>
                <w:color w:val="085041"/>
                <w:sz w:val="15"/>
                <w:szCs w:val="15"/>
              </w:rPr>
              <w:t xml:space="preserve">testing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b/>
                <w:bCs/>
                <w:color w:val="085041"/>
                <w:sz w:val="17"/>
                <w:szCs w:val="17"/>
              </w:rPr>
              <w:t xml:space="preserve">8.6</w:t>
            </w:r>
          </w:p>
        </w:tc>
        <w:tc>
          <w:tcPr>
            <w:tcW w:type="dxa" w:w="770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20"/>
            </w:tcMar>
          </w:tcPr>
          <w:p>
            <w:r>
              <w:rPr>
                <w:rFonts w:ascii="Arial" w:cs="Arial" w:eastAsia="Arial" w:hAnsi="Arial"/>
                <w:color w:val="000000"/>
                <w:sz w:val="19"/>
                <w:szCs w:val="19"/>
              </w:rPr>
              <w:t xml:space="preserve">Toolchain setup — ruff, mypy strict, bandit, pip-audit, pre-commit, hatchling</w:t>
            </w:r>
          </w:p>
        </w:tc>
        <w:tc>
          <w:tcPr>
            <w:tcW w:type="dxa" w:w="900"/>
            <w:tcBorders>
              <w:top w:val="single" w:color="CCCCCC" w:sz="1"/>
              <w:left w:val="single" w:color="CCCCCC" w:sz="1"/>
              <w:bottom w:val="single" w:color="CCCCCC" w:sz="1"/>
              <w:right w:val="single" w:color="CCCCCC" w:sz="1"/>
            </w:tcBorders>
            <w:shd w:fill="E1F5EE" w:val="clear"/>
            <w:tcMar>
              <w:top w:type="dxa" w:w="80"/>
              <w:left w:type="dxa" w:w="80"/>
              <w:bottom w:type="dxa" w:w="80"/>
              <w:right w:type="dxa" w:w="80"/>
            </w:tcMar>
          </w:tcPr>
          <w:p>
            <w:pPr>
              <w:jc w:val="center"/>
            </w:pPr>
            <w:r>
              <w:rPr>
                <w:rFonts w:ascii="Arial" w:cs="Arial" w:eastAsia="Arial" w:hAnsi="Arial"/>
                <w:color w:val="085041"/>
                <w:sz w:val="15"/>
                <w:szCs w:val="15"/>
              </w:rPr>
              <w:t xml:space="preserve">testing</w:t>
            </w:r>
          </w:p>
        </w:tc>
      </w:tr>
      <w:tr>
        <w:tc>
          <w:tcPr>
            <w:tcW w:type="dxa" w:w="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80"/>
            </w:tcMar>
          </w:tcPr>
          <w:p>
            <w:pPr>
              <w:jc w:val="center"/>
            </w:pPr>
            <w:r>
              <w:rPr>
                <w:rFonts w:ascii="Arial" w:cs="Arial" w:eastAsia="Arial" w:hAnsi="Arial"/>
                <w:b/>
                <w:bCs/>
                <w:color w:val="085041"/>
                <w:sz w:val="17"/>
                <w:szCs w:val="17"/>
              </w:rPr>
              <w:t xml:space="preserve">8.7</w:t>
            </w:r>
          </w:p>
        </w:tc>
        <w:tc>
          <w:tcPr>
            <w:tcW w:type="dxa" w:w="7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000000"/>
                <w:sz w:val="19"/>
                <w:szCs w:val="19"/>
              </w:rPr>
              <w:t xml:space="preserve">Writing SDK examples that actually teach — the production_multi_agent.py pattern</w:t>
            </w:r>
          </w:p>
        </w:tc>
        <w:tc>
          <w:tcPr>
            <w:tcW w:type="dxa" w:w="900"/>
            <w:tcBorders>
              <w:top w:val="single" w:color="CCCCCC" w:sz="1"/>
              <w:left w:val="single" w:color="CCCCCC" w:sz="1"/>
              <w:bottom w:val="single" w:color="CCCCCC" w:sz="1"/>
              <w:right w:val="single" w:color="CCCCCC" w:sz="1"/>
            </w:tcBorders>
            <w:shd w:fill="E1F5EE" w:val="clear"/>
            <w:tcMar>
              <w:top w:type="dxa" w:w="80"/>
              <w:left w:type="dxa" w:w="80"/>
              <w:bottom w:type="dxa" w:w="80"/>
              <w:right w:type="dxa" w:w="80"/>
            </w:tcMar>
          </w:tcPr>
          <w:p>
            <w:pPr>
              <w:jc w:val="center"/>
            </w:pPr>
            <w:r>
              <w:rPr>
                <w:rFonts w:ascii="Arial" w:cs="Arial" w:eastAsia="Arial" w:hAnsi="Arial"/>
                <w:color w:val="085041"/>
                <w:sz w:val="15"/>
                <w:szCs w:val="15"/>
              </w:rPr>
              <w:t xml:space="preserve">testing</w:t>
            </w:r>
          </w:p>
        </w:tc>
      </w:tr>
    </w:tbl>
    <w:p>
      <w:pPr>
        <w:spacing w:after="60" w:before="60"/>
      </w:pPr>
      <w:r>
        <w:t xml:space="preserve"/>
      </w:r>
    </w:p>
    <w:p>
      <w:pPr>
        <w:pStyle w:val="Heading2"/>
        <w:spacing w:after="80" w:before="200"/>
      </w:pPr>
      <w:r>
        <w:rPr>
          <w:rFonts w:ascii="Arial" w:cs="Arial" w:eastAsia="Arial" w:hAnsi="Arial"/>
          <w:b/>
          <w:bCs/>
          <w:color w:val="2E75B6"/>
          <w:sz w:val="24"/>
          <w:szCs w:val="24"/>
        </w:rPr>
        <w:t xml:space="preserve">Chapter details</w:t>
      </w:r>
    </w:p>
    <w:p>
      <w:pPr>
        <w:shd w:fill="E1F5EE" w:val="clear"/>
        <w:spacing w:after="0" w:before="120"/>
        <w:ind w:left="0"/>
      </w:pPr>
      <w:r>
        <w:rPr>
          <w:rFonts w:ascii="Arial" w:cs="Arial" w:eastAsia="Arial" w:hAnsi="Arial"/>
          <w:b/>
          <w:bCs/>
          <w:color w:val="085041"/>
          <w:sz w:val="20"/>
          <w:szCs w:val="20"/>
        </w:rPr>
        <w:t xml:space="preserve">  8.1  </w:t>
      </w:r>
      <w:r>
        <w:rPr>
          <w:rFonts w:ascii="Arial" w:cs="Arial" w:eastAsia="Arial" w:hAnsi="Arial"/>
          <w:b/>
          <w:bCs/>
          <w:color w:val="085041"/>
          <w:sz w:val="20"/>
          <w:szCs w:val="20"/>
        </w:rPr>
        <w:t xml:space="preserve">Property-based testing with Hypothesis — strategies, settings, and invariant design</w:t>
      </w:r>
    </w:p>
    <w:p>
      <w:pPr>
        <w:pStyle w:val="ListParagraph"/>
        <w:numPr>
          <w:ilvl w:val="0"/>
          <w:numId w:val="2"/>
        </w:numPr>
        <w:spacing w:after="30" w:before="30"/>
      </w:pPr>
      <w:r>
        <w:rPr>
          <w:rFonts w:ascii="Arial" w:cs="Arial" w:eastAsia="Arial" w:hAnsi="Arial"/>
          <w:color w:val="000000"/>
          <w:sz w:val="19"/>
          <w:szCs w:val="19"/>
        </w:rPr>
        <w:t xml:space="preserve">@given, @settings, and @example — the three decorators you need to know</w:t>
      </w:r>
    </w:p>
    <w:p>
      <w:pPr>
        <w:pStyle w:val="ListParagraph"/>
        <w:numPr>
          <w:ilvl w:val="0"/>
          <w:numId w:val="2"/>
        </w:numPr>
        <w:spacing w:after="30" w:before="30"/>
      </w:pPr>
      <w:r>
        <w:rPr>
          <w:rFonts w:ascii="Arial" w:cs="Arial" w:eastAsia="Arial" w:hAnsi="Arial"/>
          <w:color w:val="000000"/>
          <w:sz w:val="19"/>
          <w:szCs w:val="19"/>
        </w:rPr>
        <w:t xml:space="preserve">Designing strategies: constrained not random — why st.text() alone is wrong for most cases</w:t>
      </w:r>
    </w:p>
    <w:p>
      <w:pPr>
        <w:pStyle w:val="ListParagraph"/>
        <w:numPr>
          <w:ilvl w:val="0"/>
          <w:numId w:val="2"/>
        </w:numPr>
        <w:spacing w:after="30" w:before="30"/>
      </w:pPr>
      <w:r>
        <w:rPr>
          <w:rFonts w:ascii="Arial" w:cs="Arial" w:eastAsia="Arial" w:hAnsi="Arial"/>
          <w:color w:val="000000"/>
          <w:sz w:val="19"/>
          <w:szCs w:val="19"/>
        </w:rPr>
        <w:t xml:space="preserve">The ULID monotonicity property test — finding threading bugs Hypothesis catches and unit tests miss</w:t>
      </w:r>
    </w:p>
    <w:p>
      <w:pPr>
        <w:spacing w:after="60" w:before="60"/>
      </w:pPr>
      <w:r>
        <w:t xml:space="preserve"/>
      </w:r>
    </w:p>
    <w:p>
      <w:pPr>
        <w:shd w:fill="E1F5EE" w:val="clear"/>
        <w:spacing w:after="0" w:before="120"/>
        <w:ind w:left="0"/>
      </w:pPr>
      <w:r>
        <w:rPr>
          <w:rFonts w:ascii="Arial" w:cs="Arial" w:eastAsia="Arial" w:hAnsi="Arial"/>
          <w:b/>
          <w:bCs/>
          <w:color w:val="085041"/>
          <w:sz w:val="20"/>
          <w:szCs w:val="20"/>
        </w:rPr>
        <w:t xml:space="preserve">  8.2  </w:t>
      </w:r>
      <w:r>
        <w:rPr>
          <w:rFonts w:ascii="Arial" w:cs="Arial" w:eastAsia="Arial" w:hAnsi="Arial"/>
          <w:b/>
          <w:bCs/>
          <w:color w:val="085041"/>
          <w:sz w:val="20"/>
          <w:szCs w:val="20"/>
        </w:rPr>
        <w:t xml:space="preserve">The conformance suite — portable JSON fixtures, clause IDs, and third-party verification</w:t>
      </w:r>
    </w:p>
    <w:p>
      <w:pPr>
        <w:pStyle w:val="ListParagraph"/>
        <w:numPr>
          <w:ilvl w:val="0"/>
          <w:numId w:val="2"/>
        </w:numPr>
        <w:spacing w:after="30" w:before="30"/>
      </w:pPr>
      <w:r>
        <w:rPr>
          <w:rFonts w:ascii="Arial" w:cs="Arial" w:eastAsia="Arial" w:hAnsi="Arial"/>
          <w:color w:val="000000"/>
          <w:sz w:val="19"/>
          <w:szCs w:val="19"/>
        </w:rPr>
        <w:t xml:space="preserve">17 conformance cases — C001–C017 and what each proves</w:t>
      </w:r>
    </w:p>
    <w:p>
      <w:pPr>
        <w:pStyle w:val="ListParagraph"/>
        <w:numPr>
          <w:ilvl w:val="0"/>
          <w:numId w:val="2"/>
        </w:numPr>
        <w:spacing w:after="30" w:before="30"/>
      </w:pPr>
      <w:r>
        <w:rPr>
          <w:rFonts w:ascii="Arial" w:cs="Arial" w:eastAsia="Arial" w:hAnsi="Arial"/>
          <w:color w:val="000000"/>
          <w:sz w:val="19"/>
          <w:szCs w:val="19"/>
        </w:rPr>
        <w:t xml:space="preserve">Fixture JSON structure: clause_id, input, expected_output, description</w:t>
      </w:r>
    </w:p>
    <w:p>
      <w:pPr>
        <w:pStyle w:val="ListParagraph"/>
        <w:numPr>
          <w:ilvl w:val="0"/>
          <w:numId w:val="2"/>
        </w:numPr>
        <w:spacing w:after="30" w:before="30"/>
      </w:pPr>
      <w:r>
        <w:rPr>
          <w:rFonts w:ascii="Arial" w:cs="Arial" w:eastAsia="Arial" w:hAnsi="Arial"/>
          <w:color w:val="000000"/>
          <w:sz w:val="19"/>
          <w:szCs w:val="19"/>
        </w:rPr>
        <w:t xml:space="preserve">How a third-party implementation uses the fixtures to prove RFC-0001 compliance</w:t>
      </w:r>
    </w:p>
    <w:p>
      <w:pPr>
        <w:spacing w:after="60" w:before="60"/>
      </w:pPr>
      <w:r>
        <w:t xml:space="preserve"/>
      </w:r>
    </w:p>
    <w:p>
      <w:pPr>
        <w:shd w:fill="E1F5EE" w:val="clear"/>
        <w:spacing w:after="0" w:before="120"/>
        <w:ind w:left="0"/>
      </w:pPr>
      <w:r>
        <w:rPr>
          <w:rFonts w:ascii="Arial" w:cs="Arial" w:eastAsia="Arial" w:hAnsi="Arial"/>
          <w:b/>
          <w:bCs/>
          <w:color w:val="085041"/>
          <w:sz w:val="20"/>
          <w:szCs w:val="20"/>
        </w:rPr>
        <w:t xml:space="preserve">  8.3  </w:t>
      </w:r>
      <w:r>
        <w:rPr>
          <w:rFonts w:ascii="Arial" w:cs="Arial" w:eastAsia="Arial" w:hAnsi="Arial"/>
          <w:b/>
          <w:bCs/>
          <w:color w:val="085041"/>
          <w:sz w:val="20"/>
          <w:szCs w:val="20"/>
        </w:rPr>
        <w:t xml:space="preserve">The mock layer — mock_all_services(), call recording, and test isolation</w:t>
      </w:r>
    </w:p>
    <w:p>
      <w:pPr>
        <w:pStyle w:val="ListParagraph"/>
        <w:numPr>
          <w:ilvl w:val="0"/>
          <w:numId w:val="2"/>
        </w:numPr>
        <w:spacing w:after="30" w:before="30"/>
      </w:pPr>
      <w:r>
        <w:rPr>
          <w:rFonts w:ascii="Arial" w:cs="Arial" w:eastAsia="Arial" w:hAnsi="Arial"/>
          <w:color w:val="000000"/>
          <w:sz w:val="19"/>
          <w:szCs w:val="19"/>
        </w:rPr>
        <w:t xml:space="preserve">mock_all_services() as a context manager — patching all 11 sf-* singletons in one line</w:t>
      </w:r>
    </w:p>
    <w:p>
      <w:pPr>
        <w:pStyle w:val="ListParagraph"/>
        <w:numPr>
          <w:ilvl w:val="0"/>
          <w:numId w:val="2"/>
        </w:numPr>
        <w:spacing w:after="30" w:before="30"/>
      </w:pPr>
      <w:r>
        <w:rPr>
          <w:rFonts w:ascii="Arial" w:cs="Arial" w:eastAsia="Arial" w:hAnsi="Arial"/>
          <w:color w:val="000000"/>
          <w:sz w:val="19"/>
          <w:szCs w:val="19"/>
        </w:rPr>
        <w:t xml:space="preserve">Call recording — asserting that sf_audit.append() was called with the right schema key</w:t>
      </w:r>
    </w:p>
    <w:p>
      <w:pPr>
        <w:pStyle w:val="ListParagraph"/>
        <w:numPr>
          <w:ilvl w:val="0"/>
          <w:numId w:val="2"/>
        </w:numPr>
        <w:spacing w:after="30" w:before="30"/>
      </w:pPr>
      <w:r>
        <w:rPr>
          <w:rFonts w:ascii="Arial" w:cs="Arial" w:eastAsia="Arial" w:hAnsi="Arial"/>
          <w:color w:val="000000"/>
          <w:sz w:val="19"/>
          <w:szCs w:val="19"/>
        </w:rPr>
        <w:t xml:space="preserve">Why MockSFIdentity must match SFIdentityClient — the mock is the contract</w:t>
      </w:r>
    </w:p>
    <w:p>
      <w:pPr>
        <w:spacing w:after="60" w:before="60"/>
      </w:pPr>
      <w:r>
        <w:t xml:space="preserve"/>
      </w:r>
    </w:p>
    <w:p>
      <w:pPr>
        <w:shd w:fill="E1F5EE" w:val="clear"/>
        <w:spacing w:after="0" w:before="120"/>
        <w:ind w:left="0"/>
      </w:pPr>
      <w:r>
        <w:rPr>
          <w:rFonts w:ascii="Arial" w:cs="Arial" w:eastAsia="Arial" w:hAnsi="Arial"/>
          <w:b/>
          <w:bCs/>
          <w:color w:val="085041"/>
          <w:sz w:val="20"/>
          <w:szCs w:val="20"/>
        </w:rPr>
        <w:t xml:space="preserve">  8.4  </w:t>
      </w:r>
      <w:r>
        <w:rPr>
          <w:rFonts w:ascii="Arial" w:cs="Arial" w:eastAsia="Arial" w:hAnsi="Arial"/>
          <w:b/>
          <w:bCs/>
          <w:color w:val="085041"/>
          <w:sz w:val="20"/>
          <w:szCs w:val="20"/>
        </w:rPr>
        <w:t xml:space="preserve">Sandbox mode and the doctor CLI — zero-network local development</w:t>
      </w:r>
    </w:p>
    <w:p>
      <w:pPr>
        <w:pStyle w:val="ListParagraph"/>
        <w:numPr>
          <w:ilvl w:val="0"/>
          <w:numId w:val="2"/>
        </w:numPr>
        <w:spacing w:after="30" w:before="30"/>
      </w:pPr>
      <w:r>
        <w:rPr>
          <w:rFonts w:ascii="Arial" w:cs="Arial" w:eastAsia="Arial" w:hAnsi="Arial"/>
          <w:color w:val="000000"/>
          <w:sz w:val="19"/>
          <w:szCs w:val="19"/>
        </w:rPr>
        <w:t xml:space="preserve">SF_SANDBOX=true — all service calls routed to in-memory local implementations</w:t>
      </w:r>
    </w:p>
    <w:p>
      <w:pPr>
        <w:pStyle w:val="ListParagraph"/>
        <w:numPr>
          <w:ilvl w:val="0"/>
          <w:numId w:val="2"/>
        </w:numPr>
        <w:spacing w:after="30" w:before="30"/>
      </w:pPr>
      <w:r>
        <w:rPr>
          <w:rFonts w:ascii="Arial" w:cs="Arial" w:eastAsia="Arial" w:hAnsi="Arial"/>
          <w:color w:val="000000"/>
          <w:sz w:val="19"/>
          <w:szCs w:val="19"/>
        </w:rPr>
        <w:t xml:space="preserve">spanforge doctor — config valid, services reachable, key not expired, patterns loaded</w:t>
      </w:r>
    </w:p>
    <w:p>
      <w:pPr>
        <w:pStyle w:val="ListParagraph"/>
        <w:numPr>
          <w:ilvl w:val="0"/>
          <w:numId w:val="2"/>
        </w:numPr>
        <w:spacing w:after="30" w:before="30"/>
      </w:pPr>
      <w:r>
        <w:rPr>
          <w:rFonts w:ascii="Arial" w:cs="Arial" w:eastAsia="Arial" w:hAnsi="Arial"/>
          <w:color w:val="000000"/>
          <w:sz w:val="19"/>
          <w:szCs w:val="19"/>
        </w:rPr>
        <w:t xml:space="preserve">The spanforge doctor output format — coloured pass/fail for each check</w:t>
      </w:r>
    </w:p>
    <w:p>
      <w:pPr>
        <w:spacing w:after="60" w:before="60"/>
      </w:pPr>
      <w:r>
        <w:t xml:space="preserve"/>
      </w:r>
    </w:p>
    <w:p>
      <w:pPr>
        <w:shd w:fill="E1F5EE" w:val="clear"/>
        <w:spacing w:after="0" w:before="120"/>
        <w:ind w:left="0"/>
      </w:pPr>
      <w:r>
        <w:rPr>
          <w:rFonts w:ascii="Arial" w:cs="Arial" w:eastAsia="Arial" w:hAnsi="Arial"/>
          <w:b/>
          <w:bCs/>
          <w:color w:val="085041"/>
          <w:sz w:val="20"/>
          <w:szCs w:val="20"/>
        </w:rPr>
        <w:t xml:space="preserve">  8.5  </w:t>
      </w:r>
      <w:r>
        <w:rPr>
          <w:rFonts w:ascii="Arial" w:cs="Arial" w:eastAsia="Arial" w:hAnsi="Arial"/>
          <w:b/>
          <w:bCs/>
          <w:color w:val="085041"/>
          <w:sz w:val="20"/>
          <w:szCs w:val="20"/>
        </w:rPr>
        <w:t xml:space="preserve">Type stubs (.pyi) — writing stubs that make mypy strict and IDEs happy</w:t>
      </w:r>
    </w:p>
    <w:p>
      <w:pPr>
        <w:pStyle w:val="ListParagraph"/>
        <w:numPr>
          <w:ilvl w:val="0"/>
          <w:numId w:val="2"/>
        </w:numPr>
        <w:spacing w:after="30" w:before="30"/>
      </w:pPr>
      <w:r>
        <w:rPr>
          <w:rFonts w:ascii="Arial" w:cs="Arial" w:eastAsia="Arial" w:hAnsi="Arial"/>
          <w:color w:val="000000"/>
          <w:sz w:val="19"/>
          <w:szCs w:val="19"/>
        </w:rPr>
        <w:t xml:space="preserve">When to write .pyi stubs vs. inline annotations — the tradeoffs</w:t>
      </w:r>
    </w:p>
    <w:p>
      <w:pPr>
        <w:pStyle w:val="ListParagraph"/>
        <w:numPr>
          <w:ilvl w:val="0"/>
          <w:numId w:val="2"/>
        </w:numPr>
        <w:spacing w:after="30" w:before="30"/>
      </w:pPr>
      <w:r>
        <w:rPr>
          <w:rFonts w:ascii="Arial" w:cs="Arial" w:eastAsia="Arial" w:hAnsi="Arial"/>
          <w:color w:val="000000"/>
          <w:sz w:val="19"/>
          <w:szCs w:val="19"/>
        </w:rPr>
        <w:t xml:space="preserve">Stub coverage for all 11 SDK clients — what mypy strict mode actually requires</w:t>
      </w:r>
    </w:p>
    <w:p>
      <w:pPr>
        <w:pStyle w:val="ListParagraph"/>
        <w:numPr>
          <w:ilvl w:val="0"/>
          <w:numId w:val="2"/>
        </w:numPr>
        <w:spacing w:after="30" w:before="30"/>
      </w:pPr>
      <w:r>
        <w:rPr>
          <w:rFonts w:ascii="Arial" w:cs="Arial" w:eastAsia="Arial" w:hAnsi="Arial"/>
          <w:color w:val="000000"/>
          <w:sz w:val="19"/>
          <w:szCs w:val="19"/>
        </w:rPr>
        <w:t xml:space="preserve">Common stub mistakes: missing overloads, wrong return types for context managers</w:t>
      </w:r>
    </w:p>
    <w:p>
      <w:pPr>
        <w:spacing w:after="60" w:before="60"/>
      </w:pPr>
      <w:r>
        <w:t xml:space="preserve"/>
      </w:r>
    </w:p>
    <w:p>
      <w:pPr>
        <w:shd w:fill="E1F5EE" w:val="clear"/>
        <w:spacing w:after="0" w:before="120"/>
        <w:ind w:left="0"/>
      </w:pPr>
      <w:r>
        <w:rPr>
          <w:rFonts w:ascii="Arial" w:cs="Arial" w:eastAsia="Arial" w:hAnsi="Arial"/>
          <w:b/>
          <w:bCs/>
          <w:color w:val="085041"/>
          <w:sz w:val="20"/>
          <w:szCs w:val="20"/>
        </w:rPr>
        <w:t xml:space="preserve">  8.6  </w:t>
      </w:r>
      <w:r>
        <w:rPr>
          <w:rFonts w:ascii="Arial" w:cs="Arial" w:eastAsia="Arial" w:hAnsi="Arial"/>
          <w:b/>
          <w:bCs/>
          <w:color w:val="085041"/>
          <w:sz w:val="20"/>
          <w:szCs w:val="20"/>
        </w:rPr>
        <w:t xml:space="preserve">Toolchain setup — ruff, mypy strict, bandit, pip-audit, pre-commit, hatchling</w:t>
      </w:r>
    </w:p>
    <w:p>
      <w:pPr>
        <w:pStyle w:val="ListParagraph"/>
        <w:numPr>
          <w:ilvl w:val="0"/>
          <w:numId w:val="2"/>
        </w:numPr>
        <w:spacing w:after="30" w:before="30"/>
      </w:pPr>
      <w:r>
        <w:rPr>
          <w:rFonts w:ascii="Arial" w:cs="Arial" w:eastAsia="Arial" w:hAnsi="Arial"/>
          <w:color w:val="000000"/>
          <w:sz w:val="19"/>
          <w:szCs w:val="19"/>
        </w:rPr>
        <w:t xml:space="preserve">ruff rule selection: S (bandit), B (bugbear), PD (pydocstyle), PERF (perflint) — why each rule set matters</w:t>
      </w:r>
    </w:p>
    <w:p>
      <w:pPr>
        <w:pStyle w:val="ListParagraph"/>
        <w:numPr>
          <w:ilvl w:val="0"/>
          <w:numId w:val="2"/>
        </w:numPr>
        <w:spacing w:after="30" w:before="30"/>
      </w:pPr>
      <w:r>
        <w:rPr>
          <w:rFonts w:ascii="Arial" w:cs="Arial" w:eastAsia="Arial" w:hAnsi="Arial"/>
          <w:color w:val="000000"/>
          <w:sz w:val="19"/>
          <w:szCs w:val="19"/>
        </w:rPr>
        <w:t xml:space="preserve">mypy strict=true — every flag it enables and what each one catches</w:t>
      </w:r>
    </w:p>
    <w:p>
      <w:pPr>
        <w:pStyle w:val="ListParagraph"/>
        <w:numPr>
          <w:ilvl w:val="0"/>
          <w:numId w:val="2"/>
        </w:numPr>
        <w:spacing w:after="30" w:before="30"/>
      </w:pPr>
      <w:r>
        <w:rPr>
          <w:rFonts w:ascii="Arial" w:cs="Arial" w:eastAsia="Arial" w:hAnsi="Arial"/>
          <w:color w:val="000000"/>
          <w:sz w:val="19"/>
          <w:szCs w:val="19"/>
        </w:rPr>
        <w:t xml:space="preserve">filterwarnings = error in pytest — catching ResourceWarning and DeprecationWarning in CI</w:t>
      </w:r>
    </w:p>
    <w:p>
      <w:pPr>
        <w:spacing w:after="60" w:before="60"/>
      </w:pPr>
      <w:r>
        <w:t xml:space="preserve"/>
      </w:r>
    </w:p>
    <w:p>
      <w:pPr>
        <w:shd w:fill="E1F5EE" w:val="clear"/>
        <w:spacing w:after="0" w:before="120"/>
        <w:ind w:left="0"/>
      </w:pPr>
      <w:r>
        <w:rPr>
          <w:rFonts w:ascii="Arial" w:cs="Arial" w:eastAsia="Arial" w:hAnsi="Arial"/>
          <w:b/>
          <w:bCs/>
          <w:color w:val="085041"/>
          <w:sz w:val="20"/>
          <w:szCs w:val="20"/>
        </w:rPr>
        <w:t xml:space="preserve">  8.7  </w:t>
      </w:r>
      <w:r>
        <w:rPr>
          <w:rFonts w:ascii="Arial" w:cs="Arial" w:eastAsia="Arial" w:hAnsi="Arial"/>
          <w:b/>
          <w:bCs/>
          <w:color w:val="085041"/>
          <w:sz w:val="20"/>
          <w:szCs w:val="20"/>
        </w:rPr>
        <w:t xml:space="preserve">Writing SDK examples that actually teach — the production_multi_agent.py pattern</w:t>
      </w:r>
    </w:p>
    <w:p>
      <w:pPr>
        <w:pStyle w:val="ListParagraph"/>
        <w:numPr>
          <w:ilvl w:val="0"/>
          <w:numId w:val="2"/>
        </w:numPr>
        <w:spacing w:after="30" w:before="30"/>
      </w:pPr>
      <w:r>
        <w:rPr>
          <w:rFonts w:ascii="Arial" w:cs="Arial" w:eastAsia="Arial" w:hAnsi="Arial"/>
          <w:color w:val="000000"/>
          <w:sz w:val="19"/>
          <w:szCs w:val="19"/>
        </w:rPr>
        <w:t xml:space="preserve">What makes an example instructive vs. a toy — the production_multi_agent.py criteria</w:t>
      </w:r>
    </w:p>
    <w:p>
      <w:pPr>
        <w:pStyle w:val="ListParagraph"/>
        <w:numPr>
          <w:ilvl w:val="0"/>
          <w:numId w:val="2"/>
        </w:numPr>
        <w:spacing w:after="30" w:before="30"/>
      </w:pPr>
      <w:r>
        <w:rPr>
          <w:rFonts w:ascii="Arial" w:cs="Arial" w:eastAsia="Arial" w:hAnsi="Arial"/>
          <w:color w:val="000000"/>
          <w:sz w:val="19"/>
          <w:szCs w:val="19"/>
        </w:rPr>
        <w:t xml:space="preserve">Showing orchestrator → sub-agent trace hierarchy in a single file</w:t>
      </w:r>
    </w:p>
    <w:p>
      <w:pPr>
        <w:pStyle w:val="ListParagraph"/>
        <w:numPr>
          <w:ilvl w:val="0"/>
          <w:numId w:val="2"/>
        </w:numPr>
        <w:spacing w:after="30" w:before="30"/>
      </w:pPr>
      <w:r>
        <w:rPr>
          <w:rFonts w:ascii="Arial" w:cs="Arial" w:eastAsia="Arial" w:hAnsi="Arial"/>
          <w:color w:val="000000"/>
          <w:sz w:val="19"/>
          <w:szCs w:val="19"/>
        </w:rPr>
        <w:t xml:space="preserve">secrets.token_bytes(32) + base64 in examples — teaching correct key generation by default</w:t>
      </w:r>
    </w:p>
    <w:p>
      <w:pPr>
        <w:spacing w:after="60" w:before="60"/>
      </w:pPr>
      <w:r>
        <w:t xml:space="preserve"/>
      </w:r>
    </w:p>
    <w:p>
      <w:r>
        <w:br w:type="page"/>
      </w:r>
    </w:p>
    <w:p>
      <w:pPr>
        <w:pStyle w:val="Heading1"/>
        <w:spacing w:after="100" w:before="300"/>
      </w:pPr>
      <w:r>
        <w:rPr>
          <w:rFonts w:ascii="Arial" w:cs="Arial" w:eastAsia="Arial" w:hAnsi="Arial"/>
          <w:b/>
          <w:bCs/>
          <w:color w:val="1F4E79"/>
          <w:sz w:val="32"/>
          <w:szCs w:val="32"/>
        </w:rPr>
        <w:t xml:space="preserve">Quick reference — all 47 chapters</w:t>
      </w:r>
    </w:p>
    <w:p>
      <w:pPr>
        <w:spacing w:after="60" w:before="60"/>
      </w:pPr>
      <w:r>
        <w:rPr>
          <w:rFonts w:ascii="Arial" w:cs="Arial" w:eastAsia="Arial" w:hAnsi="Arial"/>
          <w:b w:val="false"/>
          <w:bCs w:val="false"/>
          <w:color w:val="000000"/>
          <w:sz w:val="20"/>
          <w:szCs w:val="20"/>
        </w:rPr>
        <w:t xml:space="preserve">A single-page reference of all chapters across all 8 parts.</w:t>
      </w:r>
    </w:p>
    <w:p>
      <w:pPr>
        <w:spacing w:after="60" w:before="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800"/>
        <w:gridCol w:w="6800"/>
        <w:gridCol w:w="900"/>
        <w:gridCol w:w="90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80"/>
            </w:tcMar>
          </w:tcPr>
          <w:p>
            <w:r>
              <w:rPr>
                <w:rFonts w:ascii="Arial" w:cs="Arial" w:eastAsia="Arial" w:hAnsi="Arial"/>
                <w:b/>
                <w:bCs/>
                <w:color w:val="FFFFFF"/>
                <w:sz w:val="17"/>
                <w:szCs w:val="17"/>
              </w:rPr>
              <w:t xml:space="preserve">#</w:t>
            </w:r>
          </w:p>
        </w:tc>
        <w:tc>
          <w:tcPr>
            <w:tcW w:type="dxa" w:w="6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80"/>
            </w:tcMar>
          </w:tcPr>
          <w:p>
            <w:r>
              <w:rPr>
                <w:rFonts w:ascii="Arial" w:cs="Arial" w:eastAsia="Arial" w:hAnsi="Arial"/>
                <w:b/>
                <w:bCs/>
                <w:color w:val="FFFFFF"/>
                <w:sz w:val="17"/>
                <w:szCs w:val="17"/>
              </w:rPr>
              <w:t xml:space="preserve">Chapter title</w:t>
            </w:r>
          </w:p>
        </w:tc>
        <w:tc>
          <w:tcPr>
            <w:tcW w:type="dxa" w:w="9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17"/>
                <w:szCs w:val="17"/>
              </w:rPr>
              <w:t xml:space="preserve">Track</w:t>
            </w:r>
          </w:p>
        </w:tc>
        <w:tc>
          <w:tcPr>
            <w:tcW w:type="dxa" w:w="9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17"/>
                <w:szCs w:val="17"/>
              </w:rPr>
              <w:t xml:space="preserve">Part</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60"/>
            </w:tcMar>
          </w:tcPr>
          <w:p>
            <w:r>
              <w:rPr>
                <w:rFonts w:ascii="Arial" w:cs="Arial" w:eastAsia="Arial" w:hAnsi="Arial"/>
                <w:b/>
                <w:bCs/>
                <w:color w:val="0C447C"/>
                <w:sz w:val="16"/>
                <w:szCs w:val="16"/>
              </w:rPr>
              <w:t xml:space="preserve">1.1</w:t>
            </w:r>
          </w:p>
        </w:tc>
        <w:tc>
          <w:tcPr>
            <w:tcW w:type="dxa" w:w="6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color w:val="000000"/>
                <w:sz w:val="16"/>
                <w:szCs w:val="16"/>
              </w:rPr>
              <w:t xml:space="preserve">What is AI observability and why it matters</w:t>
            </w:r>
          </w:p>
        </w:tc>
        <w:tc>
          <w:tcPr>
            <w:tcW w:type="dxa" w:w="900"/>
            <w:tcBorders>
              <w:top w:val="single" w:color="CCCCCC" w:sz="1"/>
              <w:left w:val="single" w:color="CCCCCC" w:sz="1"/>
              <w:bottom w:val="single" w:color="CCCCCC" w:sz="1"/>
              <w:right w:val="single" w:color="CCCCCC" w:sz="1"/>
            </w:tcBorders>
            <w:shd w:fill="D6E4F0" w:val="clear"/>
            <w:tcMar>
              <w:top w:type="dxa" w:w="60"/>
              <w:left w:type="dxa" w:w="60"/>
              <w:bottom w:type="dxa" w:w="60"/>
              <w:right w:type="dxa" w:w="60"/>
            </w:tcMar>
          </w:tcPr>
          <w:p>
            <w:pPr>
              <w:jc w:val="center"/>
            </w:pPr>
            <w:r>
              <w:rPr>
                <w:rFonts w:ascii="Arial" w:cs="Arial" w:eastAsia="Arial" w:hAnsi="Arial"/>
                <w:color w:val="0C447C"/>
                <w:sz w:val="14"/>
                <w:szCs w:val="14"/>
              </w:rPr>
              <w:t xml:space="preserve">core</w:t>
            </w:r>
          </w:p>
        </w:tc>
        <w:tc>
          <w:tcPr>
            <w:tcW w:type="dxa" w:w="900"/>
            <w:tcBorders>
              <w:top w:val="single" w:color="CCCCCC" w:sz="1"/>
              <w:left w:val="single" w:color="CCCCCC" w:sz="1"/>
              <w:bottom w:val="single" w:color="CCCCCC" w:sz="1"/>
              <w:right w:val="single" w:color="CCCCCC" w:sz="1"/>
            </w:tcBorders>
            <w:shd w:fill="F2F2F2" w:val="clear"/>
            <w:tcMar>
              <w:top w:type="dxa" w:w="60"/>
              <w:left w:type="dxa" w:w="60"/>
              <w:bottom w:type="dxa" w:w="60"/>
              <w:right w:type="dxa" w:w="60"/>
            </w:tcMar>
          </w:tcPr>
          <w:p>
            <w:pPr>
              <w:jc w:val="center"/>
            </w:pPr>
            <w:r>
              <w:rPr>
                <w:rFonts w:ascii="Arial" w:cs="Arial" w:eastAsia="Arial" w:hAnsi="Arial"/>
                <w:color w:val="404040"/>
                <w:sz w:val="16"/>
                <w:szCs w:val="16"/>
              </w:rPr>
              <w:t xml:space="preserve">P1</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tcPr>
          <w:p>
            <w:r>
              <w:rPr>
                <w:rFonts w:ascii="Arial" w:cs="Arial" w:eastAsia="Arial" w:hAnsi="Arial"/>
                <w:b/>
                <w:bCs/>
                <w:color w:val="0C447C"/>
                <w:sz w:val="16"/>
                <w:szCs w:val="16"/>
              </w:rPr>
              <w:t xml:space="preserve">1.2</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000000"/>
                <w:sz w:val="16"/>
                <w:szCs w:val="16"/>
              </w:rPr>
              <w:t xml:space="preserve">The RFC-0001 event envelope — schema, fields, versioning</w:t>
            </w:r>
          </w:p>
        </w:tc>
        <w:tc>
          <w:tcPr>
            <w:tcW w:type="dxa" w:w="900"/>
            <w:tcBorders>
              <w:top w:val="single" w:color="CCCCCC" w:sz="1"/>
              <w:left w:val="single" w:color="CCCCCC" w:sz="1"/>
              <w:bottom w:val="single" w:color="CCCCCC" w:sz="1"/>
              <w:right w:val="single" w:color="CCCCCC" w:sz="1"/>
            </w:tcBorders>
            <w:shd w:fill="D6E4F0" w:val="clear"/>
            <w:tcMar>
              <w:top w:type="dxa" w:w="60"/>
              <w:left w:type="dxa" w:w="60"/>
              <w:bottom w:type="dxa" w:w="60"/>
              <w:right w:type="dxa" w:w="60"/>
            </w:tcMar>
          </w:tcPr>
          <w:p>
            <w:pPr>
              <w:jc w:val="center"/>
            </w:pPr>
            <w:r>
              <w:rPr>
                <w:rFonts w:ascii="Arial" w:cs="Arial" w:eastAsia="Arial" w:hAnsi="Arial"/>
                <w:color w:val="0C447C"/>
                <w:sz w:val="14"/>
                <w:szCs w:val="14"/>
              </w:rPr>
              <w:t xml:space="preserve">core</w:t>
            </w:r>
          </w:p>
        </w:tc>
        <w:tc>
          <w:tcPr>
            <w:tcW w:type="dxa" w:w="9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404040"/>
                <w:sz w:val="16"/>
                <w:szCs w:val="16"/>
              </w:rPr>
              <w:t xml:space="preserve">P1</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60"/>
            </w:tcMar>
          </w:tcPr>
          <w:p>
            <w:r>
              <w:rPr>
                <w:rFonts w:ascii="Arial" w:cs="Arial" w:eastAsia="Arial" w:hAnsi="Arial"/>
                <w:b/>
                <w:bCs/>
                <w:color w:val="0C447C"/>
                <w:sz w:val="16"/>
                <w:szCs w:val="16"/>
              </w:rPr>
              <w:t xml:space="preserve">1.3</w:t>
            </w:r>
          </w:p>
        </w:tc>
        <w:tc>
          <w:tcPr>
            <w:tcW w:type="dxa" w:w="6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color w:val="000000"/>
                <w:sz w:val="16"/>
                <w:szCs w:val="16"/>
              </w:rPr>
              <w:t xml:space="preserve">ULID — lexicographically sortable IDs without coordination</w:t>
            </w:r>
          </w:p>
        </w:tc>
        <w:tc>
          <w:tcPr>
            <w:tcW w:type="dxa" w:w="900"/>
            <w:tcBorders>
              <w:top w:val="single" w:color="CCCCCC" w:sz="1"/>
              <w:left w:val="single" w:color="CCCCCC" w:sz="1"/>
              <w:bottom w:val="single" w:color="CCCCCC" w:sz="1"/>
              <w:right w:val="single" w:color="CCCCCC" w:sz="1"/>
            </w:tcBorders>
            <w:shd w:fill="D6E4F0" w:val="clear"/>
            <w:tcMar>
              <w:top w:type="dxa" w:w="60"/>
              <w:left w:type="dxa" w:w="60"/>
              <w:bottom w:type="dxa" w:w="60"/>
              <w:right w:type="dxa" w:w="60"/>
            </w:tcMar>
          </w:tcPr>
          <w:p>
            <w:pPr>
              <w:jc w:val="center"/>
            </w:pPr>
            <w:r>
              <w:rPr>
                <w:rFonts w:ascii="Arial" w:cs="Arial" w:eastAsia="Arial" w:hAnsi="Arial"/>
                <w:color w:val="0C447C"/>
                <w:sz w:val="14"/>
                <w:szCs w:val="14"/>
              </w:rPr>
              <w:t xml:space="preserve">core</w:t>
            </w:r>
          </w:p>
        </w:tc>
        <w:tc>
          <w:tcPr>
            <w:tcW w:type="dxa" w:w="900"/>
            <w:tcBorders>
              <w:top w:val="single" w:color="CCCCCC" w:sz="1"/>
              <w:left w:val="single" w:color="CCCCCC" w:sz="1"/>
              <w:bottom w:val="single" w:color="CCCCCC" w:sz="1"/>
              <w:right w:val="single" w:color="CCCCCC" w:sz="1"/>
            </w:tcBorders>
            <w:shd w:fill="F2F2F2" w:val="clear"/>
            <w:tcMar>
              <w:top w:type="dxa" w:w="60"/>
              <w:left w:type="dxa" w:w="60"/>
              <w:bottom w:type="dxa" w:w="60"/>
              <w:right w:type="dxa" w:w="60"/>
            </w:tcMar>
          </w:tcPr>
          <w:p>
            <w:pPr>
              <w:jc w:val="center"/>
            </w:pPr>
            <w:r>
              <w:rPr>
                <w:rFonts w:ascii="Arial" w:cs="Arial" w:eastAsia="Arial" w:hAnsi="Arial"/>
                <w:color w:val="404040"/>
                <w:sz w:val="16"/>
                <w:szCs w:val="16"/>
              </w:rPr>
              <w:t xml:space="preserve">P1</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tcPr>
          <w:p>
            <w:r>
              <w:rPr>
                <w:rFonts w:ascii="Arial" w:cs="Arial" w:eastAsia="Arial" w:hAnsi="Arial"/>
                <w:b/>
                <w:bCs/>
                <w:color w:val="0C447C"/>
                <w:sz w:val="16"/>
                <w:szCs w:val="16"/>
              </w:rPr>
              <w:t xml:space="preserve">1.4</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000000"/>
                <w:sz w:val="16"/>
                <w:szCs w:val="16"/>
              </w:rPr>
              <w:t xml:space="preserve">The event type registry — 74 canonical types across 17 namespaces</w:t>
            </w:r>
          </w:p>
        </w:tc>
        <w:tc>
          <w:tcPr>
            <w:tcW w:type="dxa" w:w="900"/>
            <w:tcBorders>
              <w:top w:val="single" w:color="CCCCCC" w:sz="1"/>
              <w:left w:val="single" w:color="CCCCCC" w:sz="1"/>
              <w:bottom w:val="single" w:color="CCCCCC" w:sz="1"/>
              <w:right w:val="single" w:color="CCCCCC" w:sz="1"/>
            </w:tcBorders>
            <w:shd w:fill="D6E4F0" w:val="clear"/>
            <w:tcMar>
              <w:top w:type="dxa" w:w="60"/>
              <w:left w:type="dxa" w:w="60"/>
              <w:bottom w:type="dxa" w:w="60"/>
              <w:right w:type="dxa" w:w="60"/>
            </w:tcMar>
          </w:tcPr>
          <w:p>
            <w:pPr>
              <w:jc w:val="center"/>
            </w:pPr>
            <w:r>
              <w:rPr>
                <w:rFonts w:ascii="Arial" w:cs="Arial" w:eastAsia="Arial" w:hAnsi="Arial"/>
                <w:color w:val="0C447C"/>
                <w:sz w:val="14"/>
                <w:szCs w:val="14"/>
              </w:rPr>
              <w:t xml:space="preserve">core</w:t>
            </w:r>
          </w:p>
        </w:tc>
        <w:tc>
          <w:tcPr>
            <w:tcW w:type="dxa" w:w="9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404040"/>
                <w:sz w:val="16"/>
                <w:szCs w:val="16"/>
              </w:rPr>
              <w:t xml:space="preserve">P1</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60"/>
            </w:tcMar>
          </w:tcPr>
          <w:p>
            <w:r>
              <w:rPr>
                <w:rFonts w:ascii="Arial" w:cs="Arial" w:eastAsia="Arial" w:hAnsi="Arial"/>
                <w:b/>
                <w:bCs/>
                <w:color w:val="0C447C"/>
                <w:sz w:val="16"/>
                <w:szCs w:val="16"/>
              </w:rPr>
              <w:t xml:space="preserve">1.5</w:t>
            </w:r>
          </w:p>
        </w:tc>
        <w:tc>
          <w:tcPr>
            <w:tcW w:type="dxa" w:w="6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color w:val="000000"/>
                <w:sz w:val="16"/>
                <w:szCs w:val="16"/>
              </w:rPr>
              <w:t xml:space="preserve">Traces, spans, and the context propagation model</w:t>
            </w:r>
          </w:p>
        </w:tc>
        <w:tc>
          <w:tcPr>
            <w:tcW w:type="dxa" w:w="900"/>
            <w:tcBorders>
              <w:top w:val="single" w:color="CCCCCC" w:sz="1"/>
              <w:left w:val="single" w:color="CCCCCC" w:sz="1"/>
              <w:bottom w:val="single" w:color="CCCCCC" w:sz="1"/>
              <w:right w:val="single" w:color="CCCCCC" w:sz="1"/>
            </w:tcBorders>
            <w:shd w:fill="D6E4F0" w:val="clear"/>
            <w:tcMar>
              <w:top w:type="dxa" w:w="60"/>
              <w:left w:type="dxa" w:w="60"/>
              <w:bottom w:type="dxa" w:w="60"/>
              <w:right w:type="dxa" w:w="60"/>
            </w:tcMar>
          </w:tcPr>
          <w:p>
            <w:pPr>
              <w:jc w:val="center"/>
            </w:pPr>
            <w:r>
              <w:rPr>
                <w:rFonts w:ascii="Arial" w:cs="Arial" w:eastAsia="Arial" w:hAnsi="Arial"/>
                <w:color w:val="0C447C"/>
                <w:sz w:val="14"/>
                <w:szCs w:val="14"/>
              </w:rPr>
              <w:t xml:space="preserve">core</w:t>
            </w:r>
          </w:p>
        </w:tc>
        <w:tc>
          <w:tcPr>
            <w:tcW w:type="dxa" w:w="900"/>
            <w:tcBorders>
              <w:top w:val="single" w:color="CCCCCC" w:sz="1"/>
              <w:left w:val="single" w:color="CCCCCC" w:sz="1"/>
              <w:bottom w:val="single" w:color="CCCCCC" w:sz="1"/>
              <w:right w:val="single" w:color="CCCCCC" w:sz="1"/>
            </w:tcBorders>
            <w:shd w:fill="F2F2F2" w:val="clear"/>
            <w:tcMar>
              <w:top w:type="dxa" w:w="60"/>
              <w:left w:type="dxa" w:w="60"/>
              <w:bottom w:type="dxa" w:w="60"/>
              <w:right w:type="dxa" w:w="60"/>
            </w:tcMar>
          </w:tcPr>
          <w:p>
            <w:pPr>
              <w:jc w:val="center"/>
            </w:pPr>
            <w:r>
              <w:rPr>
                <w:rFonts w:ascii="Arial" w:cs="Arial" w:eastAsia="Arial" w:hAnsi="Arial"/>
                <w:color w:val="404040"/>
                <w:sz w:val="16"/>
                <w:szCs w:val="16"/>
              </w:rPr>
              <w:t xml:space="preserve">P1</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tcPr>
          <w:p>
            <w:r>
              <w:rPr>
                <w:rFonts w:ascii="Arial" w:cs="Arial" w:eastAsia="Arial" w:hAnsi="Arial"/>
                <w:b/>
                <w:bCs/>
                <w:color w:val="0C447C"/>
                <w:sz w:val="16"/>
                <w:szCs w:val="16"/>
              </w:rPr>
              <w:t xml:space="preserve">1.6</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000000"/>
                <w:sz w:val="16"/>
                <w:szCs w:val="16"/>
              </w:rPr>
              <w:t xml:space="preserve">The tracer, the @trace decorator, and span lifecycle hooks</w:t>
            </w:r>
          </w:p>
        </w:tc>
        <w:tc>
          <w:tcPr>
            <w:tcW w:type="dxa" w:w="900"/>
            <w:tcBorders>
              <w:top w:val="single" w:color="CCCCCC" w:sz="1"/>
              <w:left w:val="single" w:color="CCCCCC" w:sz="1"/>
              <w:bottom w:val="single" w:color="CCCCCC" w:sz="1"/>
              <w:right w:val="single" w:color="CCCCCC" w:sz="1"/>
            </w:tcBorders>
            <w:shd w:fill="D6E4F0" w:val="clear"/>
            <w:tcMar>
              <w:top w:type="dxa" w:w="60"/>
              <w:left w:type="dxa" w:w="60"/>
              <w:bottom w:type="dxa" w:w="60"/>
              <w:right w:type="dxa" w:w="60"/>
            </w:tcMar>
          </w:tcPr>
          <w:p>
            <w:pPr>
              <w:jc w:val="center"/>
            </w:pPr>
            <w:r>
              <w:rPr>
                <w:rFonts w:ascii="Arial" w:cs="Arial" w:eastAsia="Arial" w:hAnsi="Arial"/>
                <w:color w:val="0C447C"/>
                <w:sz w:val="14"/>
                <w:szCs w:val="14"/>
              </w:rPr>
              <w:t xml:space="preserve">core</w:t>
            </w:r>
          </w:p>
        </w:tc>
        <w:tc>
          <w:tcPr>
            <w:tcW w:type="dxa" w:w="9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404040"/>
                <w:sz w:val="16"/>
                <w:szCs w:val="16"/>
              </w:rPr>
              <w:t xml:space="preserve">P1</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60"/>
            </w:tcMar>
          </w:tcPr>
          <w:p>
            <w:r>
              <w:rPr>
                <w:rFonts w:ascii="Arial" w:cs="Arial" w:eastAsia="Arial" w:hAnsi="Arial"/>
                <w:b/>
                <w:bCs/>
                <w:color w:val="0C447C"/>
                <w:sz w:val="16"/>
                <w:szCs w:val="16"/>
              </w:rPr>
              <w:t xml:space="preserve">1.7</w:t>
            </w:r>
          </w:p>
        </w:tc>
        <w:tc>
          <w:tcPr>
            <w:tcW w:type="dxa" w:w="6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color w:val="000000"/>
                <w:sz w:val="16"/>
                <w:szCs w:val="16"/>
              </w:rPr>
              <w:t xml:space="preserve">The batch exporter — buffering, backpressure, and circuit breaking</w:t>
            </w:r>
          </w:p>
        </w:tc>
        <w:tc>
          <w:tcPr>
            <w:tcW w:type="dxa" w:w="900"/>
            <w:tcBorders>
              <w:top w:val="single" w:color="CCCCCC" w:sz="1"/>
              <w:left w:val="single" w:color="CCCCCC" w:sz="1"/>
              <w:bottom w:val="single" w:color="CCCCCC" w:sz="1"/>
              <w:right w:val="single" w:color="CCCCCC" w:sz="1"/>
            </w:tcBorders>
            <w:shd w:fill="D6E4F0" w:val="clear"/>
            <w:tcMar>
              <w:top w:type="dxa" w:w="60"/>
              <w:left w:type="dxa" w:w="60"/>
              <w:bottom w:type="dxa" w:w="60"/>
              <w:right w:type="dxa" w:w="60"/>
            </w:tcMar>
          </w:tcPr>
          <w:p>
            <w:pPr>
              <w:jc w:val="center"/>
            </w:pPr>
            <w:r>
              <w:rPr>
                <w:rFonts w:ascii="Arial" w:cs="Arial" w:eastAsia="Arial" w:hAnsi="Arial"/>
                <w:color w:val="0C447C"/>
                <w:sz w:val="14"/>
                <w:szCs w:val="14"/>
              </w:rPr>
              <w:t xml:space="preserve">core</w:t>
            </w:r>
          </w:p>
        </w:tc>
        <w:tc>
          <w:tcPr>
            <w:tcW w:type="dxa" w:w="900"/>
            <w:tcBorders>
              <w:top w:val="single" w:color="CCCCCC" w:sz="1"/>
              <w:left w:val="single" w:color="CCCCCC" w:sz="1"/>
              <w:bottom w:val="single" w:color="CCCCCC" w:sz="1"/>
              <w:right w:val="single" w:color="CCCCCC" w:sz="1"/>
            </w:tcBorders>
            <w:shd w:fill="F2F2F2" w:val="clear"/>
            <w:tcMar>
              <w:top w:type="dxa" w:w="60"/>
              <w:left w:type="dxa" w:w="60"/>
              <w:bottom w:type="dxa" w:w="60"/>
              <w:right w:type="dxa" w:w="60"/>
            </w:tcMar>
          </w:tcPr>
          <w:p>
            <w:pPr>
              <w:jc w:val="center"/>
            </w:pPr>
            <w:r>
              <w:rPr>
                <w:rFonts w:ascii="Arial" w:cs="Arial" w:eastAsia="Arial" w:hAnsi="Arial"/>
                <w:color w:val="404040"/>
                <w:sz w:val="16"/>
                <w:szCs w:val="16"/>
              </w:rPr>
              <w:t xml:space="preserve">P1</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tcPr>
          <w:p>
            <w:r>
              <w:rPr>
                <w:rFonts w:ascii="Arial" w:cs="Arial" w:eastAsia="Arial" w:hAnsi="Arial"/>
                <w:b/>
                <w:bCs/>
                <w:color w:val="0C447C"/>
                <w:sz w:val="16"/>
                <w:szCs w:val="16"/>
              </w:rPr>
              <w:t xml:space="preserve">1.8</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000000"/>
                <w:sz w:val="16"/>
                <w:szCs w:val="16"/>
              </w:rPr>
              <w:t xml:space="preserve">Sampling strategies — TraceIdRatio, ParentBased, AlwaysOn</w:t>
            </w:r>
          </w:p>
        </w:tc>
        <w:tc>
          <w:tcPr>
            <w:tcW w:type="dxa" w:w="900"/>
            <w:tcBorders>
              <w:top w:val="single" w:color="CCCCCC" w:sz="1"/>
              <w:left w:val="single" w:color="CCCCCC" w:sz="1"/>
              <w:bottom w:val="single" w:color="CCCCCC" w:sz="1"/>
              <w:right w:val="single" w:color="CCCCCC" w:sz="1"/>
            </w:tcBorders>
            <w:shd w:fill="D6E4F0" w:val="clear"/>
            <w:tcMar>
              <w:top w:type="dxa" w:w="60"/>
              <w:left w:type="dxa" w:w="60"/>
              <w:bottom w:type="dxa" w:w="60"/>
              <w:right w:type="dxa" w:w="60"/>
            </w:tcMar>
          </w:tcPr>
          <w:p>
            <w:pPr>
              <w:jc w:val="center"/>
            </w:pPr>
            <w:r>
              <w:rPr>
                <w:rFonts w:ascii="Arial" w:cs="Arial" w:eastAsia="Arial" w:hAnsi="Arial"/>
                <w:color w:val="0C447C"/>
                <w:sz w:val="14"/>
                <w:szCs w:val="14"/>
              </w:rPr>
              <w:t xml:space="preserve">core</w:t>
            </w:r>
          </w:p>
        </w:tc>
        <w:tc>
          <w:tcPr>
            <w:tcW w:type="dxa" w:w="9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404040"/>
                <w:sz w:val="16"/>
                <w:szCs w:val="16"/>
              </w:rPr>
              <w:t xml:space="preserve">P1</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60"/>
            </w:tcMar>
          </w:tcPr>
          <w:p>
            <w:r>
              <w:rPr>
                <w:rFonts w:ascii="Arial" w:cs="Arial" w:eastAsia="Arial" w:hAnsi="Arial"/>
                <w:b/>
                <w:bCs/>
                <w:color w:val="791F1F"/>
                <w:sz w:val="16"/>
                <w:szCs w:val="16"/>
              </w:rPr>
              <w:t xml:space="preserve">2.1</w:t>
            </w:r>
          </w:p>
        </w:tc>
        <w:tc>
          <w:tcPr>
            <w:tcW w:type="dxa" w:w="6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color w:val="000000"/>
                <w:sz w:val="16"/>
                <w:szCs w:val="16"/>
              </w:rPr>
              <w:t xml:space="preserve">HMAC-SHA256 signing — how and why every event is signed</w:t>
            </w:r>
          </w:p>
        </w:tc>
        <w:tc>
          <w:tcPr>
            <w:tcW w:type="dxa" w:w="900"/>
            <w:tcBorders>
              <w:top w:val="single" w:color="CCCCCC" w:sz="1"/>
              <w:left w:val="single" w:color="CCCCCC" w:sz="1"/>
              <w:bottom w:val="single" w:color="CCCCCC" w:sz="1"/>
              <w:right w:val="single" w:color="CCCCCC" w:sz="1"/>
            </w:tcBorders>
            <w:shd w:fill="FCEBEB" w:val="clear"/>
            <w:tcMar>
              <w:top w:type="dxa" w:w="60"/>
              <w:left w:type="dxa" w:w="60"/>
              <w:bottom w:type="dxa" w:w="60"/>
              <w:right w:type="dxa" w:w="60"/>
            </w:tcMar>
          </w:tcPr>
          <w:p>
            <w:pPr>
              <w:jc w:val="center"/>
            </w:pPr>
            <w:r>
              <w:rPr>
                <w:rFonts w:ascii="Arial" w:cs="Arial" w:eastAsia="Arial" w:hAnsi="Arial"/>
                <w:color w:val="791F1F"/>
                <w:sz w:val="14"/>
                <w:szCs w:val="14"/>
              </w:rPr>
              <w:t xml:space="preserve">security</w:t>
            </w:r>
          </w:p>
        </w:tc>
        <w:tc>
          <w:tcPr>
            <w:tcW w:type="dxa" w:w="900"/>
            <w:tcBorders>
              <w:top w:val="single" w:color="CCCCCC" w:sz="1"/>
              <w:left w:val="single" w:color="CCCCCC" w:sz="1"/>
              <w:bottom w:val="single" w:color="CCCCCC" w:sz="1"/>
              <w:right w:val="single" w:color="CCCCCC" w:sz="1"/>
            </w:tcBorders>
            <w:shd w:fill="F2F2F2" w:val="clear"/>
            <w:tcMar>
              <w:top w:type="dxa" w:w="60"/>
              <w:left w:type="dxa" w:w="60"/>
              <w:bottom w:type="dxa" w:w="60"/>
              <w:right w:type="dxa" w:w="60"/>
            </w:tcMar>
          </w:tcPr>
          <w:p>
            <w:pPr>
              <w:jc w:val="center"/>
            </w:pPr>
            <w:r>
              <w:rPr>
                <w:rFonts w:ascii="Arial" w:cs="Arial" w:eastAsia="Arial" w:hAnsi="Arial"/>
                <w:color w:val="404040"/>
                <w:sz w:val="16"/>
                <w:szCs w:val="16"/>
              </w:rPr>
              <w:t xml:space="preserve">P2</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tcPr>
          <w:p>
            <w:r>
              <w:rPr>
                <w:rFonts w:ascii="Arial" w:cs="Arial" w:eastAsia="Arial" w:hAnsi="Arial"/>
                <w:b/>
                <w:bCs/>
                <w:color w:val="791F1F"/>
                <w:sz w:val="16"/>
                <w:szCs w:val="16"/>
              </w:rPr>
              <w:t xml:space="preserve">2.2</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000000"/>
                <w:sz w:val="16"/>
                <w:szCs w:val="16"/>
              </w:rPr>
              <w:t xml:space="preserve">Tamper-evident audit chains — chain linkage, prev_id, and tombstones</w:t>
            </w:r>
          </w:p>
        </w:tc>
        <w:tc>
          <w:tcPr>
            <w:tcW w:type="dxa" w:w="900"/>
            <w:tcBorders>
              <w:top w:val="single" w:color="CCCCCC" w:sz="1"/>
              <w:left w:val="single" w:color="CCCCCC" w:sz="1"/>
              <w:bottom w:val="single" w:color="CCCCCC" w:sz="1"/>
              <w:right w:val="single" w:color="CCCCCC" w:sz="1"/>
            </w:tcBorders>
            <w:shd w:fill="FCEBEB" w:val="clear"/>
            <w:tcMar>
              <w:top w:type="dxa" w:w="60"/>
              <w:left w:type="dxa" w:w="60"/>
              <w:bottom w:type="dxa" w:w="60"/>
              <w:right w:type="dxa" w:w="60"/>
            </w:tcMar>
          </w:tcPr>
          <w:p>
            <w:pPr>
              <w:jc w:val="center"/>
            </w:pPr>
            <w:r>
              <w:rPr>
                <w:rFonts w:ascii="Arial" w:cs="Arial" w:eastAsia="Arial" w:hAnsi="Arial"/>
                <w:color w:val="791F1F"/>
                <w:sz w:val="14"/>
                <w:szCs w:val="14"/>
              </w:rPr>
              <w:t xml:space="preserve">security</w:t>
            </w:r>
          </w:p>
        </w:tc>
        <w:tc>
          <w:tcPr>
            <w:tcW w:type="dxa" w:w="9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404040"/>
                <w:sz w:val="16"/>
                <w:szCs w:val="16"/>
              </w:rPr>
              <w:t xml:space="preserve">P2</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60"/>
            </w:tcMar>
          </w:tcPr>
          <w:p>
            <w:r>
              <w:rPr>
                <w:rFonts w:ascii="Arial" w:cs="Arial" w:eastAsia="Arial" w:hAnsi="Arial"/>
                <w:b/>
                <w:bCs/>
                <w:color w:val="791F1F"/>
                <w:sz w:val="16"/>
                <w:szCs w:val="16"/>
              </w:rPr>
              <w:t xml:space="preserve">2.3</w:t>
            </w:r>
          </w:p>
        </w:tc>
        <w:tc>
          <w:tcPr>
            <w:tcW w:type="dxa" w:w="6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color w:val="000000"/>
                <w:sz w:val="16"/>
                <w:szCs w:val="16"/>
              </w:rPr>
              <w:t xml:space="preserve">Key rotation — rolling keys without breaking the chain</w:t>
            </w:r>
          </w:p>
        </w:tc>
        <w:tc>
          <w:tcPr>
            <w:tcW w:type="dxa" w:w="900"/>
            <w:tcBorders>
              <w:top w:val="single" w:color="CCCCCC" w:sz="1"/>
              <w:left w:val="single" w:color="CCCCCC" w:sz="1"/>
              <w:bottom w:val="single" w:color="CCCCCC" w:sz="1"/>
              <w:right w:val="single" w:color="CCCCCC" w:sz="1"/>
            </w:tcBorders>
            <w:shd w:fill="FCEBEB" w:val="clear"/>
            <w:tcMar>
              <w:top w:type="dxa" w:w="60"/>
              <w:left w:type="dxa" w:w="60"/>
              <w:bottom w:type="dxa" w:w="60"/>
              <w:right w:type="dxa" w:w="60"/>
            </w:tcMar>
          </w:tcPr>
          <w:p>
            <w:pPr>
              <w:jc w:val="center"/>
            </w:pPr>
            <w:r>
              <w:rPr>
                <w:rFonts w:ascii="Arial" w:cs="Arial" w:eastAsia="Arial" w:hAnsi="Arial"/>
                <w:color w:val="791F1F"/>
                <w:sz w:val="14"/>
                <w:szCs w:val="14"/>
              </w:rPr>
              <w:t xml:space="preserve">security</w:t>
            </w:r>
          </w:p>
        </w:tc>
        <w:tc>
          <w:tcPr>
            <w:tcW w:type="dxa" w:w="900"/>
            <w:tcBorders>
              <w:top w:val="single" w:color="CCCCCC" w:sz="1"/>
              <w:left w:val="single" w:color="CCCCCC" w:sz="1"/>
              <w:bottom w:val="single" w:color="CCCCCC" w:sz="1"/>
              <w:right w:val="single" w:color="CCCCCC" w:sz="1"/>
            </w:tcBorders>
            <w:shd w:fill="F2F2F2" w:val="clear"/>
            <w:tcMar>
              <w:top w:type="dxa" w:w="60"/>
              <w:left w:type="dxa" w:w="60"/>
              <w:bottom w:type="dxa" w:w="60"/>
              <w:right w:type="dxa" w:w="60"/>
            </w:tcMar>
          </w:tcPr>
          <w:p>
            <w:pPr>
              <w:jc w:val="center"/>
            </w:pPr>
            <w:r>
              <w:rPr>
                <w:rFonts w:ascii="Arial" w:cs="Arial" w:eastAsia="Arial" w:hAnsi="Arial"/>
                <w:color w:val="404040"/>
                <w:sz w:val="16"/>
                <w:szCs w:val="16"/>
              </w:rPr>
              <w:t xml:space="preserve">P2</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tcPr>
          <w:p>
            <w:r>
              <w:rPr>
                <w:rFonts w:ascii="Arial" w:cs="Arial" w:eastAsia="Arial" w:hAnsi="Arial"/>
                <w:b/>
                <w:bCs/>
                <w:color w:val="791F1F"/>
                <w:sz w:val="16"/>
                <w:szCs w:val="16"/>
              </w:rPr>
              <w:t xml:space="preserve">2.4</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000000"/>
                <w:sz w:val="16"/>
                <w:szCs w:val="16"/>
              </w:rPr>
              <w:t xml:space="preserve">GDPR tombstone erasure — right to erasure in an immutable log</w:t>
            </w:r>
          </w:p>
        </w:tc>
        <w:tc>
          <w:tcPr>
            <w:tcW w:type="dxa" w:w="900"/>
            <w:tcBorders>
              <w:top w:val="single" w:color="CCCCCC" w:sz="1"/>
              <w:left w:val="single" w:color="CCCCCC" w:sz="1"/>
              <w:bottom w:val="single" w:color="CCCCCC" w:sz="1"/>
              <w:right w:val="single" w:color="CCCCCC" w:sz="1"/>
            </w:tcBorders>
            <w:shd w:fill="FCEBEB" w:val="clear"/>
            <w:tcMar>
              <w:top w:type="dxa" w:w="60"/>
              <w:left w:type="dxa" w:w="60"/>
              <w:bottom w:type="dxa" w:w="60"/>
              <w:right w:type="dxa" w:w="60"/>
            </w:tcMar>
          </w:tcPr>
          <w:p>
            <w:pPr>
              <w:jc w:val="center"/>
            </w:pPr>
            <w:r>
              <w:rPr>
                <w:rFonts w:ascii="Arial" w:cs="Arial" w:eastAsia="Arial" w:hAnsi="Arial"/>
                <w:color w:val="791F1F"/>
                <w:sz w:val="14"/>
                <w:szCs w:val="14"/>
              </w:rPr>
              <w:t xml:space="preserve">security</w:t>
            </w:r>
          </w:p>
        </w:tc>
        <w:tc>
          <w:tcPr>
            <w:tcW w:type="dxa" w:w="9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404040"/>
                <w:sz w:val="16"/>
                <w:szCs w:val="16"/>
              </w:rPr>
              <w:t xml:space="preserve">P2</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60"/>
            </w:tcMar>
          </w:tcPr>
          <w:p>
            <w:r>
              <w:rPr>
                <w:rFonts w:ascii="Arial" w:cs="Arial" w:eastAsia="Arial" w:hAnsi="Arial"/>
                <w:b/>
                <w:bCs/>
                <w:color w:val="791F1F"/>
                <w:sz w:val="16"/>
                <w:szCs w:val="16"/>
              </w:rPr>
              <w:t xml:space="preserve">2.5</w:t>
            </w:r>
          </w:p>
        </w:tc>
        <w:tc>
          <w:tcPr>
            <w:tcW w:type="dxa" w:w="6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color w:val="000000"/>
                <w:sz w:val="16"/>
                <w:szCs w:val="16"/>
              </w:rPr>
              <w:t xml:space="preserve">API key lifecycle — format, scoping, rotation, and revocation</w:t>
            </w:r>
          </w:p>
        </w:tc>
        <w:tc>
          <w:tcPr>
            <w:tcW w:type="dxa" w:w="900"/>
            <w:tcBorders>
              <w:top w:val="single" w:color="CCCCCC" w:sz="1"/>
              <w:left w:val="single" w:color="CCCCCC" w:sz="1"/>
              <w:bottom w:val="single" w:color="CCCCCC" w:sz="1"/>
              <w:right w:val="single" w:color="CCCCCC" w:sz="1"/>
            </w:tcBorders>
            <w:shd w:fill="FCEBEB" w:val="clear"/>
            <w:tcMar>
              <w:top w:type="dxa" w:w="60"/>
              <w:left w:type="dxa" w:w="60"/>
              <w:bottom w:type="dxa" w:w="60"/>
              <w:right w:type="dxa" w:w="60"/>
            </w:tcMar>
          </w:tcPr>
          <w:p>
            <w:pPr>
              <w:jc w:val="center"/>
            </w:pPr>
            <w:r>
              <w:rPr>
                <w:rFonts w:ascii="Arial" w:cs="Arial" w:eastAsia="Arial" w:hAnsi="Arial"/>
                <w:color w:val="791F1F"/>
                <w:sz w:val="14"/>
                <w:szCs w:val="14"/>
              </w:rPr>
              <w:t xml:space="preserve">security</w:t>
            </w:r>
          </w:p>
        </w:tc>
        <w:tc>
          <w:tcPr>
            <w:tcW w:type="dxa" w:w="900"/>
            <w:tcBorders>
              <w:top w:val="single" w:color="CCCCCC" w:sz="1"/>
              <w:left w:val="single" w:color="CCCCCC" w:sz="1"/>
              <w:bottom w:val="single" w:color="CCCCCC" w:sz="1"/>
              <w:right w:val="single" w:color="CCCCCC" w:sz="1"/>
            </w:tcBorders>
            <w:shd w:fill="F2F2F2" w:val="clear"/>
            <w:tcMar>
              <w:top w:type="dxa" w:w="60"/>
              <w:left w:type="dxa" w:w="60"/>
              <w:bottom w:type="dxa" w:w="60"/>
              <w:right w:type="dxa" w:w="60"/>
            </w:tcMar>
          </w:tcPr>
          <w:p>
            <w:pPr>
              <w:jc w:val="center"/>
            </w:pPr>
            <w:r>
              <w:rPr>
                <w:rFonts w:ascii="Arial" w:cs="Arial" w:eastAsia="Arial" w:hAnsi="Arial"/>
                <w:color w:val="404040"/>
                <w:sz w:val="16"/>
                <w:szCs w:val="16"/>
              </w:rPr>
              <w:t xml:space="preserve">P2</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tcPr>
          <w:p>
            <w:r>
              <w:rPr>
                <w:rFonts w:ascii="Arial" w:cs="Arial" w:eastAsia="Arial" w:hAnsi="Arial"/>
                <w:b/>
                <w:bCs/>
                <w:color w:val="791F1F"/>
                <w:sz w:val="16"/>
                <w:szCs w:val="16"/>
              </w:rPr>
              <w:t xml:space="preserve">2.6</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000000"/>
                <w:sz w:val="16"/>
                <w:szCs w:val="16"/>
              </w:rPr>
              <w:t xml:space="preserve">JWT authentication — HS256 vs RS256, JWKS, and token introspection</w:t>
            </w:r>
          </w:p>
        </w:tc>
        <w:tc>
          <w:tcPr>
            <w:tcW w:type="dxa" w:w="900"/>
            <w:tcBorders>
              <w:top w:val="single" w:color="CCCCCC" w:sz="1"/>
              <w:left w:val="single" w:color="CCCCCC" w:sz="1"/>
              <w:bottom w:val="single" w:color="CCCCCC" w:sz="1"/>
              <w:right w:val="single" w:color="CCCCCC" w:sz="1"/>
            </w:tcBorders>
            <w:shd w:fill="FCEBEB" w:val="clear"/>
            <w:tcMar>
              <w:top w:type="dxa" w:w="60"/>
              <w:left w:type="dxa" w:w="60"/>
              <w:bottom w:type="dxa" w:w="60"/>
              <w:right w:type="dxa" w:w="60"/>
            </w:tcMar>
          </w:tcPr>
          <w:p>
            <w:pPr>
              <w:jc w:val="center"/>
            </w:pPr>
            <w:r>
              <w:rPr>
                <w:rFonts w:ascii="Arial" w:cs="Arial" w:eastAsia="Arial" w:hAnsi="Arial"/>
                <w:color w:val="791F1F"/>
                <w:sz w:val="14"/>
                <w:szCs w:val="14"/>
              </w:rPr>
              <w:t xml:space="preserve">security</w:t>
            </w:r>
          </w:p>
        </w:tc>
        <w:tc>
          <w:tcPr>
            <w:tcW w:type="dxa" w:w="9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404040"/>
                <w:sz w:val="16"/>
                <w:szCs w:val="16"/>
              </w:rPr>
              <w:t xml:space="preserve">P2</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60"/>
            </w:tcMar>
          </w:tcPr>
          <w:p>
            <w:r>
              <w:rPr>
                <w:rFonts w:ascii="Arial" w:cs="Arial" w:eastAsia="Arial" w:hAnsi="Arial"/>
                <w:b/>
                <w:bCs/>
                <w:color w:val="791F1F"/>
                <w:sz w:val="16"/>
                <w:szCs w:val="16"/>
              </w:rPr>
              <w:t xml:space="preserve">2.7</w:t>
            </w:r>
          </w:p>
        </w:tc>
        <w:tc>
          <w:tcPr>
            <w:tcW w:type="dxa" w:w="6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color w:val="000000"/>
                <w:sz w:val="16"/>
                <w:szCs w:val="16"/>
              </w:rPr>
              <w:t xml:space="preserve">TOTP / MFA — RFC 6238, backup codes, and brute-force lockout</w:t>
            </w:r>
          </w:p>
        </w:tc>
        <w:tc>
          <w:tcPr>
            <w:tcW w:type="dxa" w:w="900"/>
            <w:tcBorders>
              <w:top w:val="single" w:color="CCCCCC" w:sz="1"/>
              <w:left w:val="single" w:color="CCCCCC" w:sz="1"/>
              <w:bottom w:val="single" w:color="CCCCCC" w:sz="1"/>
              <w:right w:val="single" w:color="CCCCCC" w:sz="1"/>
            </w:tcBorders>
            <w:shd w:fill="FCEBEB" w:val="clear"/>
            <w:tcMar>
              <w:top w:type="dxa" w:w="60"/>
              <w:left w:type="dxa" w:w="60"/>
              <w:bottom w:type="dxa" w:w="60"/>
              <w:right w:type="dxa" w:w="60"/>
            </w:tcMar>
          </w:tcPr>
          <w:p>
            <w:pPr>
              <w:jc w:val="center"/>
            </w:pPr>
            <w:r>
              <w:rPr>
                <w:rFonts w:ascii="Arial" w:cs="Arial" w:eastAsia="Arial" w:hAnsi="Arial"/>
                <w:color w:val="791F1F"/>
                <w:sz w:val="14"/>
                <w:szCs w:val="14"/>
              </w:rPr>
              <w:t xml:space="preserve">security</w:t>
            </w:r>
          </w:p>
        </w:tc>
        <w:tc>
          <w:tcPr>
            <w:tcW w:type="dxa" w:w="900"/>
            <w:tcBorders>
              <w:top w:val="single" w:color="CCCCCC" w:sz="1"/>
              <w:left w:val="single" w:color="CCCCCC" w:sz="1"/>
              <w:bottom w:val="single" w:color="CCCCCC" w:sz="1"/>
              <w:right w:val="single" w:color="CCCCCC" w:sz="1"/>
            </w:tcBorders>
            <w:shd w:fill="F2F2F2" w:val="clear"/>
            <w:tcMar>
              <w:top w:type="dxa" w:w="60"/>
              <w:left w:type="dxa" w:w="60"/>
              <w:bottom w:type="dxa" w:w="60"/>
              <w:right w:type="dxa" w:w="60"/>
            </w:tcMar>
          </w:tcPr>
          <w:p>
            <w:pPr>
              <w:jc w:val="center"/>
            </w:pPr>
            <w:r>
              <w:rPr>
                <w:rFonts w:ascii="Arial" w:cs="Arial" w:eastAsia="Arial" w:hAnsi="Arial"/>
                <w:color w:val="404040"/>
                <w:sz w:val="16"/>
                <w:szCs w:val="16"/>
              </w:rPr>
              <w:t xml:space="preserve">P2</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tcPr>
          <w:p>
            <w:r>
              <w:rPr>
                <w:rFonts w:ascii="Arial" w:cs="Arial" w:eastAsia="Arial" w:hAnsi="Arial"/>
                <w:b/>
                <w:bCs/>
                <w:color w:val="791F1F"/>
                <w:sz w:val="16"/>
                <w:szCs w:val="16"/>
              </w:rPr>
              <w:t xml:space="preserve">2.8</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000000"/>
                <w:sz w:val="16"/>
                <w:szCs w:val="16"/>
              </w:rPr>
              <w:t xml:space="preserve">Secrets scanning — 20 patterns, Shannon entropy, SARIF output</w:t>
            </w:r>
          </w:p>
        </w:tc>
        <w:tc>
          <w:tcPr>
            <w:tcW w:type="dxa" w:w="900"/>
            <w:tcBorders>
              <w:top w:val="single" w:color="CCCCCC" w:sz="1"/>
              <w:left w:val="single" w:color="CCCCCC" w:sz="1"/>
              <w:bottom w:val="single" w:color="CCCCCC" w:sz="1"/>
              <w:right w:val="single" w:color="CCCCCC" w:sz="1"/>
            </w:tcBorders>
            <w:shd w:fill="FCEBEB" w:val="clear"/>
            <w:tcMar>
              <w:top w:type="dxa" w:w="60"/>
              <w:left w:type="dxa" w:w="60"/>
              <w:bottom w:type="dxa" w:w="60"/>
              <w:right w:type="dxa" w:w="60"/>
            </w:tcMar>
          </w:tcPr>
          <w:p>
            <w:pPr>
              <w:jc w:val="center"/>
            </w:pPr>
            <w:r>
              <w:rPr>
                <w:rFonts w:ascii="Arial" w:cs="Arial" w:eastAsia="Arial" w:hAnsi="Arial"/>
                <w:color w:val="791F1F"/>
                <w:sz w:val="14"/>
                <w:szCs w:val="14"/>
              </w:rPr>
              <w:t xml:space="preserve">security</w:t>
            </w:r>
          </w:p>
        </w:tc>
        <w:tc>
          <w:tcPr>
            <w:tcW w:type="dxa" w:w="9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404040"/>
                <w:sz w:val="16"/>
                <w:szCs w:val="16"/>
              </w:rPr>
              <w:t xml:space="preserve">P2</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60"/>
            </w:tcMar>
          </w:tcPr>
          <w:p>
            <w:r>
              <w:rPr>
                <w:rFonts w:ascii="Arial" w:cs="Arial" w:eastAsia="Arial" w:hAnsi="Arial"/>
                <w:b/>
                <w:bCs/>
                <w:color w:val="791F1F"/>
                <w:sz w:val="16"/>
                <w:szCs w:val="16"/>
              </w:rPr>
              <w:t xml:space="preserve">2.9</w:t>
            </w:r>
          </w:p>
        </w:tc>
        <w:tc>
          <w:tcPr>
            <w:tcW w:type="dxa" w:w="6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color w:val="000000"/>
                <w:sz w:val="16"/>
                <w:szCs w:val="16"/>
              </w:rPr>
              <w:t xml:space="preserve">Timing-safe comparisons and SecretStr — writing code that doesn't leak</w:t>
            </w:r>
          </w:p>
        </w:tc>
        <w:tc>
          <w:tcPr>
            <w:tcW w:type="dxa" w:w="900"/>
            <w:tcBorders>
              <w:top w:val="single" w:color="CCCCCC" w:sz="1"/>
              <w:left w:val="single" w:color="CCCCCC" w:sz="1"/>
              <w:bottom w:val="single" w:color="CCCCCC" w:sz="1"/>
              <w:right w:val="single" w:color="CCCCCC" w:sz="1"/>
            </w:tcBorders>
            <w:shd w:fill="FCEBEB" w:val="clear"/>
            <w:tcMar>
              <w:top w:type="dxa" w:w="60"/>
              <w:left w:type="dxa" w:w="60"/>
              <w:bottom w:type="dxa" w:w="60"/>
              <w:right w:type="dxa" w:w="60"/>
            </w:tcMar>
          </w:tcPr>
          <w:p>
            <w:pPr>
              <w:jc w:val="center"/>
            </w:pPr>
            <w:r>
              <w:rPr>
                <w:rFonts w:ascii="Arial" w:cs="Arial" w:eastAsia="Arial" w:hAnsi="Arial"/>
                <w:color w:val="791F1F"/>
                <w:sz w:val="14"/>
                <w:szCs w:val="14"/>
              </w:rPr>
              <w:t xml:space="preserve">security</w:t>
            </w:r>
          </w:p>
        </w:tc>
        <w:tc>
          <w:tcPr>
            <w:tcW w:type="dxa" w:w="900"/>
            <w:tcBorders>
              <w:top w:val="single" w:color="CCCCCC" w:sz="1"/>
              <w:left w:val="single" w:color="CCCCCC" w:sz="1"/>
              <w:bottom w:val="single" w:color="CCCCCC" w:sz="1"/>
              <w:right w:val="single" w:color="CCCCCC" w:sz="1"/>
            </w:tcBorders>
            <w:shd w:fill="F2F2F2" w:val="clear"/>
            <w:tcMar>
              <w:top w:type="dxa" w:w="60"/>
              <w:left w:type="dxa" w:w="60"/>
              <w:bottom w:type="dxa" w:w="60"/>
              <w:right w:type="dxa" w:w="60"/>
            </w:tcMar>
          </w:tcPr>
          <w:p>
            <w:pPr>
              <w:jc w:val="center"/>
            </w:pPr>
            <w:r>
              <w:rPr>
                <w:rFonts w:ascii="Arial" w:cs="Arial" w:eastAsia="Arial" w:hAnsi="Arial"/>
                <w:color w:val="404040"/>
                <w:sz w:val="16"/>
                <w:szCs w:val="16"/>
              </w:rPr>
              <w:t xml:space="preserve">P2</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tcPr>
          <w:p>
            <w:r>
              <w:rPr>
                <w:rFonts w:ascii="Arial" w:cs="Arial" w:eastAsia="Arial" w:hAnsi="Arial"/>
                <w:b/>
                <w:bCs/>
                <w:color w:val="791F1F"/>
                <w:sz w:val="16"/>
                <w:szCs w:val="16"/>
              </w:rPr>
              <w:t xml:space="preserve">2.10</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000000"/>
                <w:sz w:val="16"/>
                <w:szCs w:val="16"/>
              </w:rPr>
              <w:t xml:space="preserve">SSRF protection — why IP allowlists alone are not enough</w:t>
            </w:r>
          </w:p>
        </w:tc>
        <w:tc>
          <w:tcPr>
            <w:tcW w:type="dxa" w:w="900"/>
            <w:tcBorders>
              <w:top w:val="single" w:color="CCCCCC" w:sz="1"/>
              <w:left w:val="single" w:color="CCCCCC" w:sz="1"/>
              <w:bottom w:val="single" w:color="CCCCCC" w:sz="1"/>
              <w:right w:val="single" w:color="CCCCCC" w:sz="1"/>
            </w:tcBorders>
            <w:shd w:fill="FCEBEB" w:val="clear"/>
            <w:tcMar>
              <w:top w:type="dxa" w:w="60"/>
              <w:left w:type="dxa" w:w="60"/>
              <w:bottom w:type="dxa" w:w="60"/>
              <w:right w:type="dxa" w:w="60"/>
            </w:tcMar>
          </w:tcPr>
          <w:p>
            <w:pPr>
              <w:jc w:val="center"/>
            </w:pPr>
            <w:r>
              <w:rPr>
                <w:rFonts w:ascii="Arial" w:cs="Arial" w:eastAsia="Arial" w:hAnsi="Arial"/>
                <w:color w:val="791F1F"/>
                <w:sz w:val="14"/>
                <w:szCs w:val="14"/>
              </w:rPr>
              <w:t xml:space="preserve">security</w:t>
            </w:r>
          </w:p>
        </w:tc>
        <w:tc>
          <w:tcPr>
            <w:tcW w:type="dxa" w:w="9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404040"/>
                <w:sz w:val="16"/>
                <w:szCs w:val="16"/>
              </w:rPr>
              <w:t xml:space="preserve">P2</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60"/>
            </w:tcMar>
          </w:tcPr>
          <w:p>
            <w:r>
              <w:rPr>
                <w:rFonts w:ascii="Arial" w:cs="Arial" w:eastAsia="Arial" w:hAnsi="Arial"/>
                <w:b/>
                <w:bCs/>
                <w:color w:val="27500A"/>
                <w:sz w:val="16"/>
                <w:szCs w:val="16"/>
              </w:rPr>
              <w:t xml:space="preserve">3.1</w:t>
            </w:r>
          </w:p>
        </w:tc>
        <w:tc>
          <w:tcPr>
            <w:tcW w:type="dxa" w:w="6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color w:val="000000"/>
                <w:sz w:val="16"/>
                <w:szCs w:val="16"/>
              </w:rPr>
              <w:t xml:space="preserve">PII detection — regex vs. Presidio NLP vs. hybrid approaches</w:t>
            </w:r>
          </w:p>
        </w:tc>
        <w:tc>
          <w:tcPr>
            <w:tcW w:type="dxa" w:w="900"/>
            <w:tcBorders>
              <w:top w:val="single" w:color="CCCCCC" w:sz="1"/>
              <w:left w:val="single" w:color="CCCCCC" w:sz="1"/>
              <w:bottom w:val="single" w:color="CCCCCC" w:sz="1"/>
              <w:right w:val="single" w:color="CCCCCC" w:sz="1"/>
            </w:tcBorders>
            <w:shd w:fill="EAF3DE" w:val="clear"/>
            <w:tcMar>
              <w:top w:type="dxa" w:w="60"/>
              <w:left w:type="dxa" w:w="60"/>
              <w:bottom w:type="dxa" w:w="60"/>
              <w:right w:type="dxa" w:w="60"/>
            </w:tcMar>
          </w:tcPr>
          <w:p>
            <w:pPr>
              <w:jc w:val="center"/>
            </w:pPr>
            <w:r>
              <w:rPr>
                <w:rFonts w:ascii="Arial" w:cs="Arial" w:eastAsia="Arial" w:hAnsi="Arial"/>
                <w:color w:val="27500A"/>
                <w:sz w:val="14"/>
                <w:szCs w:val="14"/>
              </w:rPr>
              <w:t xml:space="preserve">compliance</w:t>
            </w:r>
          </w:p>
        </w:tc>
        <w:tc>
          <w:tcPr>
            <w:tcW w:type="dxa" w:w="900"/>
            <w:tcBorders>
              <w:top w:val="single" w:color="CCCCCC" w:sz="1"/>
              <w:left w:val="single" w:color="CCCCCC" w:sz="1"/>
              <w:bottom w:val="single" w:color="CCCCCC" w:sz="1"/>
              <w:right w:val="single" w:color="CCCCCC" w:sz="1"/>
            </w:tcBorders>
            <w:shd w:fill="F2F2F2" w:val="clear"/>
            <w:tcMar>
              <w:top w:type="dxa" w:w="60"/>
              <w:left w:type="dxa" w:w="60"/>
              <w:bottom w:type="dxa" w:w="60"/>
              <w:right w:type="dxa" w:w="60"/>
            </w:tcMar>
          </w:tcPr>
          <w:p>
            <w:pPr>
              <w:jc w:val="center"/>
            </w:pPr>
            <w:r>
              <w:rPr>
                <w:rFonts w:ascii="Arial" w:cs="Arial" w:eastAsia="Arial" w:hAnsi="Arial"/>
                <w:color w:val="404040"/>
                <w:sz w:val="16"/>
                <w:szCs w:val="16"/>
              </w:rPr>
              <w:t xml:space="preserve">P3</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tcPr>
          <w:p>
            <w:r>
              <w:rPr>
                <w:rFonts w:ascii="Arial" w:cs="Arial" w:eastAsia="Arial" w:hAnsi="Arial"/>
                <w:b/>
                <w:bCs/>
                <w:color w:val="27500A"/>
                <w:sz w:val="16"/>
                <w:szCs w:val="16"/>
              </w:rPr>
              <w:t xml:space="preserve">3.2</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000000"/>
                <w:sz w:val="16"/>
                <w:szCs w:val="16"/>
              </w:rPr>
              <w:t xml:space="preserve">Sensitivity levels — from public to critical, and the 5-tier model</w:t>
            </w:r>
          </w:p>
        </w:tc>
        <w:tc>
          <w:tcPr>
            <w:tcW w:type="dxa" w:w="900"/>
            <w:tcBorders>
              <w:top w:val="single" w:color="CCCCCC" w:sz="1"/>
              <w:left w:val="single" w:color="CCCCCC" w:sz="1"/>
              <w:bottom w:val="single" w:color="CCCCCC" w:sz="1"/>
              <w:right w:val="single" w:color="CCCCCC" w:sz="1"/>
            </w:tcBorders>
            <w:shd w:fill="EAF3DE" w:val="clear"/>
            <w:tcMar>
              <w:top w:type="dxa" w:w="60"/>
              <w:left w:type="dxa" w:w="60"/>
              <w:bottom w:type="dxa" w:w="60"/>
              <w:right w:type="dxa" w:w="60"/>
            </w:tcMar>
          </w:tcPr>
          <w:p>
            <w:pPr>
              <w:jc w:val="center"/>
            </w:pPr>
            <w:r>
              <w:rPr>
                <w:rFonts w:ascii="Arial" w:cs="Arial" w:eastAsia="Arial" w:hAnsi="Arial"/>
                <w:color w:val="27500A"/>
                <w:sz w:val="14"/>
                <w:szCs w:val="14"/>
              </w:rPr>
              <w:t xml:space="preserve">compliance</w:t>
            </w:r>
          </w:p>
        </w:tc>
        <w:tc>
          <w:tcPr>
            <w:tcW w:type="dxa" w:w="9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404040"/>
                <w:sz w:val="16"/>
                <w:szCs w:val="16"/>
              </w:rPr>
              <w:t xml:space="preserve">P3</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60"/>
            </w:tcMar>
          </w:tcPr>
          <w:p>
            <w:r>
              <w:rPr>
                <w:rFonts w:ascii="Arial" w:cs="Arial" w:eastAsia="Arial" w:hAnsi="Arial"/>
                <w:b/>
                <w:bCs/>
                <w:color w:val="27500A"/>
                <w:sz w:val="16"/>
                <w:szCs w:val="16"/>
              </w:rPr>
              <w:t xml:space="preserve">3.3</w:t>
            </w:r>
          </w:p>
        </w:tc>
        <w:tc>
          <w:tcPr>
            <w:tcW w:type="dxa" w:w="6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color w:val="000000"/>
                <w:sz w:val="16"/>
                <w:szCs w:val="16"/>
              </w:rPr>
              <w:t xml:space="preserve">Redaction policies — flag, redact, block, and the audit trail they create</w:t>
            </w:r>
          </w:p>
        </w:tc>
        <w:tc>
          <w:tcPr>
            <w:tcW w:type="dxa" w:w="900"/>
            <w:tcBorders>
              <w:top w:val="single" w:color="CCCCCC" w:sz="1"/>
              <w:left w:val="single" w:color="CCCCCC" w:sz="1"/>
              <w:bottom w:val="single" w:color="CCCCCC" w:sz="1"/>
              <w:right w:val="single" w:color="CCCCCC" w:sz="1"/>
            </w:tcBorders>
            <w:shd w:fill="EAF3DE" w:val="clear"/>
            <w:tcMar>
              <w:top w:type="dxa" w:w="60"/>
              <w:left w:type="dxa" w:w="60"/>
              <w:bottom w:type="dxa" w:w="60"/>
              <w:right w:type="dxa" w:w="60"/>
            </w:tcMar>
          </w:tcPr>
          <w:p>
            <w:pPr>
              <w:jc w:val="center"/>
            </w:pPr>
            <w:r>
              <w:rPr>
                <w:rFonts w:ascii="Arial" w:cs="Arial" w:eastAsia="Arial" w:hAnsi="Arial"/>
                <w:color w:val="27500A"/>
                <w:sz w:val="14"/>
                <w:szCs w:val="14"/>
              </w:rPr>
              <w:t xml:space="preserve">compliance</w:t>
            </w:r>
          </w:p>
        </w:tc>
        <w:tc>
          <w:tcPr>
            <w:tcW w:type="dxa" w:w="900"/>
            <w:tcBorders>
              <w:top w:val="single" w:color="CCCCCC" w:sz="1"/>
              <w:left w:val="single" w:color="CCCCCC" w:sz="1"/>
              <w:bottom w:val="single" w:color="CCCCCC" w:sz="1"/>
              <w:right w:val="single" w:color="CCCCCC" w:sz="1"/>
            </w:tcBorders>
            <w:shd w:fill="F2F2F2" w:val="clear"/>
            <w:tcMar>
              <w:top w:type="dxa" w:w="60"/>
              <w:left w:type="dxa" w:w="60"/>
              <w:bottom w:type="dxa" w:w="60"/>
              <w:right w:type="dxa" w:w="60"/>
            </w:tcMar>
          </w:tcPr>
          <w:p>
            <w:pPr>
              <w:jc w:val="center"/>
            </w:pPr>
            <w:r>
              <w:rPr>
                <w:rFonts w:ascii="Arial" w:cs="Arial" w:eastAsia="Arial" w:hAnsi="Arial"/>
                <w:color w:val="404040"/>
                <w:sz w:val="16"/>
                <w:szCs w:val="16"/>
              </w:rPr>
              <w:t xml:space="preserve">P3</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tcPr>
          <w:p>
            <w:r>
              <w:rPr>
                <w:rFonts w:ascii="Arial" w:cs="Arial" w:eastAsia="Arial" w:hAnsi="Arial"/>
                <w:b/>
                <w:bCs/>
                <w:color w:val="27500A"/>
                <w:sz w:val="16"/>
                <w:szCs w:val="16"/>
              </w:rPr>
              <w:t xml:space="preserve">3.4</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000000"/>
                <w:sz w:val="16"/>
                <w:szCs w:val="16"/>
              </w:rPr>
              <w:t xml:space="preserve">Luhn, Verhoeff, and SSN validation — structured PII verification</w:t>
            </w:r>
          </w:p>
        </w:tc>
        <w:tc>
          <w:tcPr>
            <w:tcW w:type="dxa" w:w="900"/>
            <w:tcBorders>
              <w:top w:val="single" w:color="CCCCCC" w:sz="1"/>
              <w:left w:val="single" w:color="CCCCCC" w:sz="1"/>
              <w:bottom w:val="single" w:color="CCCCCC" w:sz="1"/>
              <w:right w:val="single" w:color="CCCCCC" w:sz="1"/>
            </w:tcBorders>
            <w:shd w:fill="EAF3DE" w:val="clear"/>
            <w:tcMar>
              <w:top w:type="dxa" w:w="60"/>
              <w:left w:type="dxa" w:w="60"/>
              <w:bottom w:type="dxa" w:w="60"/>
              <w:right w:type="dxa" w:w="60"/>
            </w:tcMar>
          </w:tcPr>
          <w:p>
            <w:pPr>
              <w:jc w:val="center"/>
            </w:pPr>
            <w:r>
              <w:rPr>
                <w:rFonts w:ascii="Arial" w:cs="Arial" w:eastAsia="Arial" w:hAnsi="Arial"/>
                <w:color w:val="27500A"/>
                <w:sz w:val="14"/>
                <w:szCs w:val="14"/>
              </w:rPr>
              <w:t xml:space="preserve">compliance</w:t>
            </w:r>
          </w:p>
        </w:tc>
        <w:tc>
          <w:tcPr>
            <w:tcW w:type="dxa" w:w="9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404040"/>
                <w:sz w:val="16"/>
                <w:szCs w:val="16"/>
              </w:rPr>
              <w:t xml:space="preserve">P3</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60"/>
            </w:tcMar>
          </w:tcPr>
          <w:p>
            <w:r>
              <w:rPr>
                <w:rFonts w:ascii="Arial" w:cs="Arial" w:eastAsia="Arial" w:hAnsi="Arial"/>
                <w:b/>
                <w:bCs/>
                <w:color w:val="27500A"/>
                <w:sz w:val="16"/>
                <w:szCs w:val="16"/>
              </w:rPr>
              <w:t xml:space="preserve">3.5</w:t>
            </w:r>
          </w:p>
        </w:tc>
        <w:tc>
          <w:tcPr>
            <w:tcW w:type="dxa" w:w="6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color w:val="000000"/>
                <w:sz w:val="16"/>
                <w:szCs w:val="16"/>
              </w:rPr>
              <w:t xml:space="preserve">GDPR Article 17, CCPA DSAR, HIPAA Safe Harbor — regulation-specific patterns</w:t>
            </w:r>
          </w:p>
        </w:tc>
        <w:tc>
          <w:tcPr>
            <w:tcW w:type="dxa" w:w="900"/>
            <w:tcBorders>
              <w:top w:val="single" w:color="CCCCCC" w:sz="1"/>
              <w:left w:val="single" w:color="CCCCCC" w:sz="1"/>
              <w:bottom w:val="single" w:color="CCCCCC" w:sz="1"/>
              <w:right w:val="single" w:color="CCCCCC" w:sz="1"/>
            </w:tcBorders>
            <w:shd w:fill="EAF3DE" w:val="clear"/>
            <w:tcMar>
              <w:top w:type="dxa" w:w="60"/>
              <w:left w:type="dxa" w:w="60"/>
              <w:bottom w:type="dxa" w:w="60"/>
              <w:right w:type="dxa" w:w="60"/>
            </w:tcMar>
          </w:tcPr>
          <w:p>
            <w:pPr>
              <w:jc w:val="center"/>
            </w:pPr>
            <w:r>
              <w:rPr>
                <w:rFonts w:ascii="Arial" w:cs="Arial" w:eastAsia="Arial" w:hAnsi="Arial"/>
                <w:color w:val="27500A"/>
                <w:sz w:val="14"/>
                <w:szCs w:val="14"/>
              </w:rPr>
              <w:t xml:space="preserve">compliance</w:t>
            </w:r>
          </w:p>
        </w:tc>
        <w:tc>
          <w:tcPr>
            <w:tcW w:type="dxa" w:w="900"/>
            <w:tcBorders>
              <w:top w:val="single" w:color="CCCCCC" w:sz="1"/>
              <w:left w:val="single" w:color="CCCCCC" w:sz="1"/>
              <w:bottom w:val="single" w:color="CCCCCC" w:sz="1"/>
              <w:right w:val="single" w:color="CCCCCC" w:sz="1"/>
            </w:tcBorders>
            <w:shd w:fill="F2F2F2" w:val="clear"/>
            <w:tcMar>
              <w:top w:type="dxa" w:w="60"/>
              <w:left w:type="dxa" w:w="60"/>
              <w:bottom w:type="dxa" w:w="60"/>
              <w:right w:type="dxa" w:w="60"/>
            </w:tcMar>
          </w:tcPr>
          <w:p>
            <w:pPr>
              <w:jc w:val="center"/>
            </w:pPr>
            <w:r>
              <w:rPr>
                <w:rFonts w:ascii="Arial" w:cs="Arial" w:eastAsia="Arial" w:hAnsi="Arial"/>
                <w:color w:val="404040"/>
                <w:sz w:val="16"/>
                <w:szCs w:val="16"/>
              </w:rPr>
              <w:t xml:space="preserve">P3</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tcPr>
          <w:p>
            <w:r>
              <w:rPr>
                <w:rFonts w:ascii="Arial" w:cs="Arial" w:eastAsia="Arial" w:hAnsi="Arial"/>
                <w:b/>
                <w:bCs/>
                <w:color w:val="27500A"/>
                <w:sz w:val="16"/>
                <w:szCs w:val="16"/>
              </w:rPr>
              <w:t xml:space="preserve">3.6</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000000"/>
                <w:sz w:val="16"/>
                <w:szCs w:val="16"/>
              </w:rPr>
              <w:t xml:space="preserve">India DPDP Act — patterns, consent enforcement, and data residency</w:t>
            </w:r>
          </w:p>
        </w:tc>
        <w:tc>
          <w:tcPr>
            <w:tcW w:type="dxa" w:w="900"/>
            <w:tcBorders>
              <w:top w:val="single" w:color="CCCCCC" w:sz="1"/>
              <w:left w:val="single" w:color="CCCCCC" w:sz="1"/>
              <w:bottom w:val="single" w:color="CCCCCC" w:sz="1"/>
              <w:right w:val="single" w:color="CCCCCC" w:sz="1"/>
            </w:tcBorders>
            <w:shd w:fill="EAF3DE" w:val="clear"/>
            <w:tcMar>
              <w:top w:type="dxa" w:w="60"/>
              <w:left w:type="dxa" w:w="60"/>
              <w:bottom w:type="dxa" w:w="60"/>
              <w:right w:type="dxa" w:w="60"/>
            </w:tcMar>
          </w:tcPr>
          <w:p>
            <w:pPr>
              <w:jc w:val="center"/>
            </w:pPr>
            <w:r>
              <w:rPr>
                <w:rFonts w:ascii="Arial" w:cs="Arial" w:eastAsia="Arial" w:hAnsi="Arial"/>
                <w:color w:val="27500A"/>
                <w:sz w:val="14"/>
                <w:szCs w:val="14"/>
              </w:rPr>
              <w:t xml:space="preserve">compliance</w:t>
            </w:r>
          </w:p>
        </w:tc>
        <w:tc>
          <w:tcPr>
            <w:tcW w:type="dxa" w:w="9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404040"/>
                <w:sz w:val="16"/>
                <w:szCs w:val="16"/>
              </w:rPr>
              <w:t xml:space="preserve">P3</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60"/>
            </w:tcMar>
          </w:tcPr>
          <w:p>
            <w:r>
              <w:rPr>
                <w:rFonts w:ascii="Arial" w:cs="Arial" w:eastAsia="Arial" w:hAnsi="Arial"/>
                <w:b/>
                <w:bCs/>
                <w:color w:val="27500A"/>
                <w:sz w:val="16"/>
                <w:szCs w:val="16"/>
              </w:rPr>
              <w:t xml:space="preserve">3.7</w:t>
            </w:r>
          </w:p>
        </w:tc>
        <w:tc>
          <w:tcPr>
            <w:tcW w:type="dxa" w:w="6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color w:val="000000"/>
                <w:sz w:val="16"/>
                <w:szCs w:val="16"/>
              </w:rPr>
              <w:t xml:space="preserve">Consent boundaries — granting, revoking, and emitting consent.violation events</w:t>
            </w:r>
          </w:p>
        </w:tc>
        <w:tc>
          <w:tcPr>
            <w:tcW w:type="dxa" w:w="900"/>
            <w:tcBorders>
              <w:top w:val="single" w:color="CCCCCC" w:sz="1"/>
              <w:left w:val="single" w:color="CCCCCC" w:sz="1"/>
              <w:bottom w:val="single" w:color="CCCCCC" w:sz="1"/>
              <w:right w:val="single" w:color="CCCCCC" w:sz="1"/>
            </w:tcBorders>
            <w:shd w:fill="EAF3DE" w:val="clear"/>
            <w:tcMar>
              <w:top w:type="dxa" w:w="60"/>
              <w:left w:type="dxa" w:w="60"/>
              <w:bottom w:type="dxa" w:w="60"/>
              <w:right w:type="dxa" w:w="60"/>
            </w:tcMar>
          </w:tcPr>
          <w:p>
            <w:pPr>
              <w:jc w:val="center"/>
            </w:pPr>
            <w:r>
              <w:rPr>
                <w:rFonts w:ascii="Arial" w:cs="Arial" w:eastAsia="Arial" w:hAnsi="Arial"/>
                <w:color w:val="27500A"/>
                <w:sz w:val="14"/>
                <w:szCs w:val="14"/>
              </w:rPr>
              <w:t xml:space="preserve">compliance</w:t>
            </w:r>
          </w:p>
        </w:tc>
        <w:tc>
          <w:tcPr>
            <w:tcW w:type="dxa" w:w="900"/>
            <w:tcBorders>
              <w:top w:val="single" w:color="CCCCCC" w:sz="1"/>
              <w:left w:val="single" w:color="CCCCCC" w:sz="1"/>
              <w:bottom w:val="single" w:color="CCCCCC" w:sz="1"/>
              <w:right w:val="single" w:color="CCCCCC" w:sz="1"/>
            </w:tcBorders>
            <w:shd w:fill="F2F2F2" w:val="clear"/>
            <w:tcMar>
              <w:top w:type="dxa" w:w="60"/>
              <w:left w:type="dxa" w:w="60"/>
              <w:bottom w:type="dxa" w:w="60"/>
              <w:right w:type="dxa" w:w="60"/>
            </w:tcMar>
          </w:tcPr>
          <w:p>
            <w:pPr>
              <w:jc w:val="center"/>
            </w:pPr>
            <w:r>
              <w:rPr>
                <w:rFonts w:ascii="Arial" w:cs="Arial" w:eastAsia="Arial" w:hAnsi="Arial"/>
                <w:color w:val="404040"/>
                <w:sz w:val="16"/>
                <w:szCs w:val="16"/>
              </w:rPr>
              <w:t xml:space="preserve">P3</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tcPr>
          <w:p>
            <w:r>
              <w:rPr>
                <w:rFonts w:ascii="Arial" w:cs="Arial" w:eastAsia="Arial" w:hAnsi="Arial"/>
                <w:b/>
                <w:bCs/>
                <w:color w:val="27500A"/>
                <w:sz w:val="16"/>
                <w:szCs w:val="16"/>
              </w:rPr>
              <w:t xml:space="preserve">3.8</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000000"/>
                <w:sz w:val="16"/>
                <w:szCs w:val="16"/>
              </w:rPr>
              <w:t xml:space="preserve">Differential privacy — Laplace noise on numeric quasi-identifiers</w:t>
            </w:r>
          </w:p>
        </w:tc>
        <w:tc>
          <w:tcPr>
            <w:tcW w:type="dxa" w:w="900"/>
            <w:tcBorders>
              <w:top w:val="single" w:color="CCCCCC" w:sz="1"/>
              <w:left w:val="single" w:color="CCCCCC" w:sz="1"/>
              <w:bottom w:val="single" w:color="CCCCCC" w:sz="1"/>
              <w:right w:val="single" w:color="CCCCCC" w:sz="1"/>
            </w:tcBorders>
            <w:shd w:fill="EAF3DE" w:val="clear"/>
            <w:tcMar>
              <w:top w:type="dxa" w:w="60"/>
              <w:left w:type="dxa" w:w="60"/>
              <w:bottom w:type="dxa" w:w="60"/>
              <w:right w:type="dxa" w:w="60"/>
            </w:tcMar>
          </w:tcPr>
          <w:p>
            <w:pPr>
              <w:jc w:val="center"/>
            </w:pPr>
            <w:r>
              <w:rPr>
                <w:rFonts w:ascii="Arial" w:cs="Arial" w:eastAsia="Arial" w:hAnsi="Arial"/>
                <w:color w:val="27500A"/>
                <w:sz w:val="14"/>
                <w:szCs w:val="14"/>
              </w:rPr>
              <w:t xml:space="preserve">compliance</w:t>
            </w:r>
          </w:p>
        </w:tc>
        <w:tc>
          <w:tcPr>
            <w:tcW w:type="dxa" w:w="9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404040"/>
                <w:sz w:val="16"/>
                <w:szCs w:val="16"/>
              </w:rPr>
              <w:t xml:space="preserve">P3</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60"/>
            </w:tcMar>
          </w:tcPr>
          <w:p>
            <w:r>
              <w:rPr>
                <w:rFonts w:ascii="Arial" w:cs="Arial" w:eastAsia="Arial" w:hAnsi="Arial"/>
                <w:b/>
                <w:bCs/>
                <w:color w:val="633806"/>
                <w:sz w:val="16"/>
                <w:szCs w:val="16"/>
              </w:rPr>
              <w:t xml:space="preserve">4.1</w:t>
            </w:r>
          </w:p>
        </w:tc>
        <w:tc>
          <w:tcPr>
            <w:tcW w:type="dxa" w:w="6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color w:val="000000"/>
                <w:sz w:val="16"/>
                <w:szCs w:val="16"/>
              </w:rPr>
              <w:t xml:space="preserve">OpenTelemetry alignment — OTel Semantic Conventions for GenAI v1.27+</w:t>
            </w:r>
          </w:p>
        </w:tc>
        <w:tc>
          <w:tcPr>
            <w:tcW w:type="dxa" w:w="900"/>
            <w:tcBorders>
              <w:top w:val="single" w:color="CCCCCC" w:sz="1"/>
              <w:left w:val="single" w:color="CCCCCC" w:sz="1"/>
              <w:bottom w:val="single" w:color="CCCCCC" w:sz="1"/>
              <w:right w:val="single" w:color="CCCCCC" w:sz="1"/>
            </w:tcBorders>
            <w:shd w:fill="FAEEDA" w:val="clear"/>
            <w:tcMar>
              <w:top w:type="dxa" w:w="60"/>
              <w:left w:type="dxa" w:w="60"/>
              <w:bottom w:type="dxa" w:w="60"/>
              <w:right w:type="dxa" w:w="60"/>
            </w:tcMar>
          </w:tcPr>
          <w:p>
            <w:pPr>
              <w:jc w:val="center"/>
            </w:pPr>
            <w:r>
              <w:rPr>
                <w:rFonts w:ascii="Arial" w:cs="Arial" w:eastAsia="Arial" w:hAnsi="Arial"/>
                <w:color w:val="633806"/>
                <w:sz w:val="14"/>
                <w:szCs w:val="14"/>
              </w:rPr>
              <w:t xml:space="preserve">ops</w:t>
            </w:r>
          </w:p>
        </w:tc>
        <w:tc>
          <w:tcPr>
            <w:tcW w:type="dxa" w:w="900"/>
            <w:tcBorders>
              <w:top w:val="single" w:color="CCCCCC" w:sz="1"/>
              <w:left w:val="single" w:color="CCCCCC" w:sz="1"/>
              <w:bottom w:val="single" w:color="CCCCCC" w:sz="1"/>
              <w:right w:val="single" w:color="CCCCCC" w:sz="1"/>
            </w:tcBorders>
            <w:shd w:fill="F2F2F2" w:val="clear"/>
            <w:tcMar>
              <w:top w:type="dxa" w:w="60"/>
              <w:left w:type="dxa" w:w="60"/>
              <w:bottom w:type="dxa" w:w="60"/>
              <w:right w:type="dxa" w:w="60"/>
            </w:tcMar>
          </w:tcPr>
          <w:p>
            <w:pPr>
              <w:jc w:val="center"/>
            </w:pPr>
            <w:r>
              <w:rPr>
                <w:rFonts w:ascii="Arial" w:cs="Arial" w:eastAsia="Arial" w:hAnsi="Arial"/>
                <w:color w:val="404040"/>
                <w:sz w:val="16"/>
                <w:szCs w:val="16"/>
              </w:rPr>
              <w:t xml:space="preserve">P4</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tcPr>
          <w:p>
            <w:r>
              <w:rPr>
                <w:rFonts w:ascii="Arial" w:cs="Arial" w:eastAsia="Arial" w:hAnsi="Arial"/>
                <w:b/>
                <w:bCs/>
                <w:color w:val="633806"/>
                <w:sz w:val="16"/>
                <w:szCs w:val="16"/>
              </w:rPr>
              <w:t xml:space="preserve">4.2</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000000"/>
                <w:sz w:val="16"/>
                <w:szCs w:val="16"/>
              </w:rPr>
              <w:t xml:space="preserve">W3C TraceContext and Baggage — propagating context across service boundaries</w:t>
            </w:r>
          </w:p>
        </w:tc>
        <w:tc>
          <w:tcPr>
            <w:tcW w:type="dxa" w:w="900"/>
            <w:tcBorders>
              <w:top w:val="single" w:color="CCCCCC" w:sz="1"/>
              <w:left w:val="single" w:color="CCCCCC" w:sz="1"/>
              <w:bottom w:val="single" w:color="CCCCCC" w:sz="1"/>
              <w:right w:val="single" w:color="CCCCCC" w:sz="1"/>
            </w:tcBorders>
            <w:shd w:fill="FAEEDA" w:val="clear"/>
            <w:tcMar>
              <w:top w:type="dxa" w:w="60"/>
              <w:left w:type="dxa" w:w="60"/>
              <w:bottom w:type="dxa" w:w="60"/>
              <w:right w:type="dxa" w:w="60"/>
            </w:tcMar>
          </w:tcPr>
          <w:p>
            <w:pPr>
              <w:jc w:val="center"/>
            </w:pPr>
            <w:r>
              <w:rPr>
                <w:rFonts w:ascii="Arial" w:cs="Arial" w:eastAsia="Arial" w:hAnsi="Arial"/>
                <w:color w:val="633806"/>
                <w:sz w:val="14"/>
                <w:szCs w:val="14"/>
              </w:rPr>
              <w:t xml:space="preserve">ops</w:t>
            </w:r>
          </w:p>
        </w:tc>
        <w:tc>
          <w:tcPr>
            <w:tcW w:type="dxa" w:w="9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404040"/>
                <w:sz w:val="16"/>
                <w:szCs w:val="16"/>
              </w:rPr>
              <w:t xml:space="preserve">P4</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60"/>
            </w:tcMar>
          </w:tcPr>
          <w:p>
            <w:r>
              <w:rPr>
                <w:rFonts w:ascii="Arial" w:cs="Arial" w:eastAsia="Arial" w:hAnsi="Arial"/>
                <w:b/>
                <w:bCs/>
                <w:color w:val="633806"/>
                <w:sz w:val="16"/>
                <w:szCs w:val="16"/>
              </w:rPr>
              <w:t xml:space="preserve">4.3</w:t>
            </w:r>
          </w:p>
        </w:tc>
        <w:tc>
          <w:tcPr>
            <w:tcW w:type="dxa" w:w="6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color w:val="000000"/>
                <w:sz w:val="16"/>
                <w:szCs w:val="16"/>
              </w:rPr>
              <w:t xml:space="preserve">Export backends — OTLP, Datadog, Grafana Loki, Splunk, Elastic</w:t>
            </w:r>
          </w:p>
        </w:tc>
        <w:tc>
          <w:tcPr>
            <w:tcW w:type="dxa" w:w="900"/>
            <w:tcBorders>
              <w:top w:val="single" w:color="CCCCCC" w:sz="1"/>
              <w:left w:val="single" w:color="CCCCCC" w:sz="1"/>
              <w:bottom w:val="single" w:color="CCCCCC" w:sz="1"/>
              <w:right w:val="single" w:color="CCCCCC" w:sz="1"/>
            </w:tcBorders>
            <w:shd w:fill="FAEEDA" w:val="clear"/>
            <w:tcMar>
              <w:top w:type="dxa" w:w="60"/>
              <w:left w:type="dxa" w:w="60"/>
              <w:bottom w:type="dxa" w:w="60"/>
              <w:right w:type="dxa" w:w="60"/>
            </w:tcMar>
          </w:tcPr>
          <w:p>
            <w:pPr>
              <w:jc w:val="center"/>
            </w:pPr>
            <w:r>
              <w:rPr>
                <w:rFonts w:ascii="Arial" w:cs="Arial" w:eastAsia="Arial" w:hAnsi="Arial"/>
                <w:color w:val="633806"/>
                <w:sz w:val="14"/>
                <w:szCs w:val="14"/>
              </w:rPr>
              <w:t xml:space="preserve">ops</w:t>
            </w:r>
          </w:p>
        </w:tc>
        <w:tc>
          <w:tcPr>
            <w:tcW w:type="dxa" w:w="900"/>
            <w:tcBorders>
              <w:top w:val="single" w:color="CCCCCC" w:sz="1"/>
              <w:left w:val="single" w:color="CCCCCC" w:sz="1"/>
              <w:bottom w:val="single" w:color="CCCCCC" w:sz="1"/>
              <w:right w:val="single" w:color="CCCCCC" w:sz="1"/>
            </w:tcBorders>
            <w:shd w:fill="F2F2F2" w:val="clear"/>
            <w:tcMar>
              <w:top w:type="dxa" w:w="60"/>
              <w:left w:type="dxa" w:w="60"/>
              <w:bottom w:type="dxa" w:w="60"/>
              <w:right w:type="dxa" w:w="60"/>
            </w:tcMar>
          </w:tcPr>
          <w:p>
            <w:pPr>
              <w:jc w:val="center"/>
            </w:pPr>
            <w:r>
              <w:rPr>
                <w:rFonts w:ascii="Arial" w:cs="Arial" w:eastAsia="Arial" w:hAnsi="Arial"/>
                <w:color w:val="404040"/>
                <w:sz w:val="16"/>
                <w:szCs w:val="16"/>
              </w:rPr>
              <w:t xml:space="preserve">P4</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tcPr>
          <w:p>
            <w:r>
              <w:rPr>
                <w:rFonts w:ascii="Arial" w:cs="Arial" w:eastAsia="Arial" w:hAnsi="Arial"/>
                <w:b/>
                <w:bCs/>
                <w:color w:val="633806"/>
                <w:sz w:val="16"/>
                <w:szCs w:val="16"/>
              </w:rPr>
              <w:t xml:space="preserve">4.4</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000000"/>
                <w:sz w:val="16"/>
                <w:szCs w:val="16"/>
              </w:rPr>
              <w:t xml:space="preserve">WORM append-only storage — S3 Object Lock, GCS, Azure Immutable Blob</w:t>
            </w:r>
          </w:p>
        </w:tc>
        <w:tc>
          <w:tcPr>
            <w:tcW w:type="dxa" w:w="900"/>
            <w:tcBorders>
              <w:top w:val="single" w:color="CCCCCC" w:sz="1"/>
              <w:left w:val="single" w:color="CCCCCC" w:sz="1"/>
              <w:bottom w:val="single" w:color="CCCCCC" w:sz="1"/>
              <w:right w:val="single" w:color="CCCCCC" w:sz="1"/>
            </w:tcBorders>
            <w:shd w:fill="FAEEDA" w:val="clear"/>
            <w:tcMar>
              <w:top w:type="dxa" w:w="60"/>
              <w:left w:type="dxa" w:w="60"/>
              <w:bottom w:type="dxa" w:w="60"/>
              <w:right w:type="dxa" w:w="60"/>
            </w:tcMar>
          </w:tcPr>
          <w:p>
            <w:pPr>
              <w:jc w:val="center"/>
            </w:pPr>
            <w:r>
              <w:rPr>
                <w:rFonts w:ascii="Arial" w:cs="Arial" w:eastAsia="Arial" w:hAnsi="Arial"/>
                <w:color w:val="633806"/>
                <w:sz w:val="14"/>
                <w:szCs w:val="14"/>
              </w:rPr>
              <w:t xml:space="preserve">ops</w:t>
            </w:r>
          </w:p>
        </w:tc>
        <w:tc>
          <w:tcPr>
            <w:tcW w:type="dxa" w:w="9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404040"/>
                <w:sz w:val="16"/>
                <w:szCs w:val="16"/>
              </w:rPr>
              <w:t xml:space="preserve">P4</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60"/>
            </w:tcMar>
          </w:tcPr>
          <w:p>
            <w:r>
              <w:rPr>
                <w:rFonts w:ascii="Arial" w:cs="Arial" w:eastAsia="Arial" w:hAnsi="Arial"/>
                <w:b/>
                <w:bCs/>
                <w:color w:val="633806"/>
                <w:sz w:val="16"/>
                <w:szCs w:val="16"/>
              </w:rPr>
              <w:t xml:space="preserve">4.5</w:t>
            </w:r>
          </w:p>
        </w:tc>
        <w:tc>
          <w:tcPr>
            <w:tcW w:type="dxa" w:w="6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color w:val="000000"/>
                <w:sz w:val="16"/>
                <w:szCs w:val="16"/>
              </w:rPr>
              <w:t xml:space="preserve">Cost tracking — per-model pricing, BudgetMonitor, and budget alerts</w:t>
            </w:r>
          </w:p>
        </w:tc>
        <w:tc>
          <w:tcPr>
            <w:tcW w:type="dxa" w:w="900"/>
            <w:tcBorders>
              <w:top w:val="single" w:color="CCCCCC" w:sz="1"/>
              <w:left w:val="single" w:color="CCCCCC" w:sz="1"/>
              <w:bottom w:val="single" w:color="CCCCCC" w:sz="1"/>
              <w:right w:val="single" w:color="CCCCCC" w:sz="1"/>
            </w:tcBorders>
            <w:shd w:fill="FAEEDA" w:val="clear"/>
            <w:tcMar>
              <w:top w:type="dxa" w:w="60"/>
              <w:left w:type="dxa" w:w="60"/>
              <w:bottom w:type="dxa" w:w="60"/>
              <w:right w:type="dxa" w:w="60"/>
            </w:tcMar>
          </w:tcPr>
          <w:p>
            <w:pPr>
              <w:jc w:val="center"/>
            </w:pPr>
            <w:r>
              <w:rPr>
                <w:rFonts w:ascii="Arial" w:cs="Arial" w:eastAsia="Arial" w:hAnsi="Arial"/>
                <w:color w:val="633806"/>
                <w:sz w:val="14"/>
                <w:szCs w:val="14"/>
              </w:rPr>
              <w:t xml:space="preserve">ops</w:t>
            </w:r>
          </w:p>
        </w:tc>
        <w:tc>
          <w:tcPr>
            <w:tcW w:type="dxa" w:w="900"/>
            <w:tcBorders>
              <w:top w:val="single" w:color="CCCCCC" w:sz="1"/>
              <w:left w:val="single" w:color="CCCCCC" w:sz="1"/>
              <w:bottom w:val="single" w:color="CCCCCC" w:sz="1"/>
              <w:right w:val="single" w:color="CCCCCC" w:sz="1"/>
            </w:tcBorders>
            <w:shd w:fill="F2F2F2" w:val="clear"/>
            <w:tcMar>
              <w:top w:type="dxa" w:w="60"/>
              <w:left w:type="dxa" w:w="60"/>
              <w:bottom w:type="dxa" w:w="60"/>
              <w:right w:type="dxa" w:w="60"/>
            </w:tcMar>
          </w:tcPr>
          <w:p>
            <w:pPr>
              <w:jc w:val="center"/>
            </w:pPr>
            <w:r>
              <w:rPr>
                <w:rFonts w:ascii="Arial" w:cs="Arial" w:eastAsia="Arial" w:hAnsi="Arial"/>
                <w:color w:val="404040"/>
                <w:sz w:val="16"/>
                <w:szCs w:val="16"/>
              </w:rPr>
              <w:t xml:space="preserve">P4</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tcPr>
          <w:p>
            <w:r>
              <w:rPr>
                <w:rFonts w:ascii="Arial" w:cs="Arial" w:eastAsia="Arial" w:hAnsi="Arial"/>
                <w:b/>
                <w:bCs/>
                <w:color w:val="633806"/>
                <w:sz w:val="16"/>
                <w:szCs w:val="16"/>
              </w:rPr>
              <w:t xml:space="preserve">4.6</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000000"/>
                <w:sz w:val="16"/>
                <w:szCs w:val="16"/>
              </w:rPr>
              <w:t xml:space="preserve">Drift detection — behavioural baselines, distribution stats, and alert thresholds</w:t>
            </w:r>
          </w:p>
        </w:tc>
        <w:tc>
          <w:tcPr>
            <w:tcW w:type="dxa" w:w="900"/>
            <w:tcBorders>
              <w:top w:val="single" w:color="CCCCCC" w:sz="1"/>
              <w:left w:val="single" w:color="CCCCCC" w:sz="1"/>
              <w:bottom w:val="single" w:color="CCCCCC" w:sz="1"/>
              <w:right w:val="single" w:color="CCCCCC" w:sz="1"/>
            </w:tcBorders>
            <w:shd w:fill="FAEEDA" w:val="clear"/>
            <w:tcMar>
              <w:top w:type="dxa" w:w="60"/>
              <w:left w:type="dxa" w:w="60"/>
              <w:bottom w:type="dxa" w:w="60"/>
              <w:right w:type="dxa" w:w="60"/>
            </w:tcMar>
          </w:tcPr>
          <w:p>
            <w:pPr>
              <w:jc w:val="center"/>
            </w:pPr>
            <w:r>
              <w:rPr>
                <w:rFonts w:ascii="Arial" w:cs="Arial" w:eastAsia="Arial" w:hAnsi="Arial"/>
                <w:color w:val="633806"/>
                <w:sz w:val="14"/>
                <w:szCs w:val="14"/>
              </w:rPr>
              <w:t xml:space="preserve">ops</w:t>
            </w:r>
          </w:p>
        </w:tc>
        <w:tc>
          <w:tcPr>
            <w:tcW w:type="dxa" w:w="9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404040"/>
                <w:sz w:val="16"/>
                <w:szCs w:val="16"/>
              </w:rPr>
              <w:t xml:space="preserve">P4</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60"/>
            </w:tcMar>
          </w:tcPr>
          <w:p>
            <w:r>
              <w:rPr>
                <w:rFonts w:ascii="Arial" w:cs="Arial" w:eastAsia="Arial" w:hAnsi="Arial"/>
                <w:b/>
                <w:bCs/>
                <w:color w:val="633806"/>
                <w:sz w:val="16"/>
                <w:szCs w:val="16"/>
              </w:rPr>
              <w:t xml:space="preserve">4.7</w:t>
            </w:r>
          </w:p>
        </w:tc>
        <w:tc>
          <w:tcPr>
            <w:tcW w:type="dxa" w:w="6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color w:val="000000"/>
                <w:sz w:val="16"/>
                <w:szCs w:val="16"/>
              </w:rPr>
              <w:t xml:space="preserve">Alert routing — topic-based publish, dedup, escalation, and on-call integration</w:t>
            </w:r>
          </w:p>
        </w:tc>
        <w:tc>
          <w:tcPr>
            <w:tcW w:type="dxa" w:w="900"/>
            <w:tcBorders>
              <w:top w:val="single" w:color="CCCCCC" w:sz="1"/>
              <w:left w:val="single" w:color="CCCCCC" w:sz="1"/>
              <w:bottom w:val="single" w:color="CCCCCC" w:sz="1"/>
              <w:right w:val="single" w:color="CCCCCC" w:sz="1"/>
            </w:tcBorders>
            <w:shd w:fill="FAEEDA" w:val="clear"/>
            <w:tcMar>
              <w:top w:type="dxa" w:w="60"/>
              <w:left w:type="dxa" w:w="60"/>
              <w:bottom w:type="dxa" w:w="60"/>
              <w:right w:type="dxa" w:w="60"/>
            </w:tcMar>
          </w:tcPr>
          <w:p>
            <w:pPr>
              <w:jc w:val="center"/>
            </w:pPr>
            <w:r>
              <w:rPr>
                <w:rFonts w:ascii="Arial" w:cs="Arial" w:eastAsia="Arial" w:hAnsi="Arial"/>
                <w:color w:val="633806"/>
                <w:sz w:val="14"/>
                <w:szCs w:val="14"/>
              </w:rPr>
              <w:t xml:space="preserve">ops</w:t>
            </w:r>
          </w:p>
        </w:tc>
        <w:tc>
          <w:tcPr>
            <w:tcW w:type="dxa" w:w="900"/>
            <w:tcBorders>
              <w:top w:val="single" w:color="CCCCCC" w:sz="1"/>
              <w:left w:val="single" w:color="CCCCCC" w:sz="1"/>
              <w:bottom w:val="single" w:color="CCCCCC" w:sz="1"/>
              <w:right w:val="single" w:color="CCCCCC" w:sz="1"/>
            </w:tcBorders>
            <w:shd w:fill="F2F2F2" w:val="clear"/>
            <w:tcMar>
              <w:top w:type="dxa" w:w="60"/>
              <w:left w:type="dxa" w:w="60"/>
              <w:bottom w:type="dxa" w:w="60"/>
              <w:right w:type="dxa" w:w="60"/>
            </w:tcMar>
          </w:tcPr>
          <w:p>
            <w:pPr>
              <w:jc w:val="center"/>
            </w:pPr>
            <w:r>
              <w:rPr>
                <w:rFonts w:ascii="Arial" w:cs="Arial" w:eastAsia="Arial" w:hAnsi="Arial"/>
                <w:color w:val="404040"/>
                <w:sz w:val="16"/>
                <w:szCs w:val="16"/>
              </w:rPr>
              <w:t xml:space="preserve">P4</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tcPr>
          <w:p>
            <w:r>
              <w:rPr>
                <w:rFonts w:ascii="Arial" w:cs="Arial" w:eastAsia="Arial" w:hAnsi="Arial"/>
                <w:b/>
                <w:bCs/>
                <w:color w:val="633806"/>
                <w:sz w:val="16"/>
                <w:szCs w:val="16"/>
              </w:rPr>
              <w:t xml:space="preserve">4.8</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000000"/>
                <w:sz w:val="16"/>
                <w:szCs w:val="16"/>
              </w:rPr>
              <w:t xml:space="preserve">Metrics extraction — latency percentiles, p95, and aggregation from traces</w:t>
            </w:r>
          </w:p>
        </w:tc>
        <w:tc>
          <w:tcPr>
            <w:tcW w:type="dxa" w:w="900"/>
            <w:tcBorders>
              <w:top w:val="single" w:color="CCCCCC" w:sz="1"/>
              <w:left w:val="single" w:color="CCCCCC" w:sz="1"/>
              <w:bottom w:val="single" w:color="CCCCCC" w:sz="1"/>
              <w:right w:val="single" w:color="CCCCCC" w:sz="1"/>
            </w:tcBorders>
            <w:shd w:fill="FAEEDA" w:val="clear"/>
            <w:tcMar>
              <w:top w:type="dxa" w:w="60"/>
              <w:left w:type="dxa" w:w="60"/>
              <w:bottom w:type="dxa" w:w="60"/>
              <w:right w:type="dxa" w:w="60"/>
            </w:tcMar>
          </w:tcPr>
          <w:p>
            <w:pPr>
              <w:jc w:val="center"/>
            </w:pPr>
            <w:r>
              <w:rPr>
                <w:rFonts w:ascii="Arial" w:cs="Arial" w:eastAsia="Arial" w:hAnsi="Arial"/>
                <w:color w:val="633806"/>
                <w:sz w:val="14"/>
                <w:szCs w:val="14"/>
              </w:rPr>
              <w:t xml:space="preserve">ops</w:t>
            </w:r>
          </w:p>
        </w:tc>
        <w:tc>
          <w:tcPr>
            <w:tcW w:type="dxa" w:w="9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404040"/>
                <w:sz w:val="16"/>
                <w:szCs w:val="16"/>
              </w:rPr>
              <w:t xml:space="preserve">P4</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60"/>
            </w:tcMar>
          </w:tcPr>
          <w:p>
            <w:r>
              <w:rPr>
                <w:rFonts w:ascii="Arial" w:cs="Arial" w:eastAsia="Arial" w:hAnsi="Arial"/>
                <w:b/>
                <w:bCs/>
                <w:color w:val="633806"/>
                <w:sz w:val="16"/>
                <w:szCs w:val="16"/>
              </w:rPr>
              <w:t xml:space="preserve">4.9</w:t>
            </w:r>
          </w:p>
        </w:tc>
        <w:tc>
          <w:tcPr>
            <w:tcW w:type="dxa" w:w="6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color w:val="000000"/>
                <w:sz w:val="16"/>
                <w:szCs w:val="16"/>
              </w:rPr>
              <w:t xml:space="preserve">The span processor pipeline — enrichment, redaction, and custom processors</w:t>
            </w:r>
          </w:p>
        </w:tc>
        <w:tc>
          <w:tcPr>
            <w:tcW w:type="dxa" w:w="900"/>
            <w:tcBorders>
              <w:top w:val="single" w:color="CCCCCC" w:sz="1"/>
              <w:left w:val="single" w:color="CCCCCC" w:sz="1"/>
              <w:bottom w:val="single" w:color="CCCCCC" w:sz="1"/>
              <w:right w:val="single" w:color="CCCCCC" w:sz="1"/>
            </w:tcBorders>
            <w:shd w:fill="FAEEDA" w:val="clear"/>
            <w:tcMar>
              <w:top w:type="dxa" w:w="60"/>
              <w:left w:type="dxa" w:w="60"/>
              <w:bottom w:type="dxa" w:w="60"/>
              <w:right w:type="dxa" w:w="60"/>
            </w:tcMar>
          </w:tcPr>
          <w:p>
            <w:pPr>
              <w:jc w:val="center"/>
            </w:pPr>
            <w:r>
              <w:rPr>
                <w:rFonts w:ascii="Arial" w:cs="Arial" w:eastAsia="Arial" w:hAnsi="Arial"/>
                <w:color w:val="633806"/>
                <w:sz w:val="14"/>
                <w:szCs w:val="14"/>
              </w:rPr>
              <w:t xml:space="preserve">ops</w:t>
            </w:r>
          </w:p>
        </w:tc>
        <w:tc>
          <w:tcPr>
            <w:tcW w:type="dxa" w:w="900"/>
            <w:tcBorders>
              <w:top w:val="single" w:color="CCCCCC" w:sz="1"/>
              <w:left w:val="single" w:color="CCCCCC" w:sz="1"/>
              <w:bottom w:val="single" w:color="CCCCCC" w:sz="1"/>
              <w:right w:val="single" w:color="CCCCCC" w:sz="1"/>
            </w:tcBorders>
            <w:shd w:fill="F2F2F2" w:val="clear"/>
            <w:tcMar>
              <w:top w:type="dxa" w:w="60"/>
              <w:left w:type="dxa" w:w="60"/>
              <w:bottom w:type="dxa" w:w="60"/>
              <w:right w:type="dxa" w:w="60"/>
            </w:tcMar>
          </w:tcPr>
          <w:p>
            <w:pPr>
              <w:jc w:val="center"/>
            </w:pPr>
            <w:r>
              <w:rPr>
                <w:rFonts w:ascii="Arial" w:cs="Arial" w:eastAsia="Arial" w:hAnsi="Arial"/>
                <w:color w:val="404040"/>
                <w:sz w:val="16"/>
                <w:szCs w:val="16"/>
              </w:rPr>
              <w:t xml:space="preserve">P4</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tcPr>
          <w:p>
            <w:r>
              <w:rPr>
                <w:rFonts w:ascii="Arial" w:cs="Arial" w:eastAsia="Arial" w:hAnsi="Arial"/>
                <w:b/>
                <w:bCs/>
                <w:color w:val="633806"/>
                <w:sz w:val="16"/>
                <w:szCs w:val="16"/>
              </w:rPr>
              <w:t xml:space="preserve">4.10</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000000"/>
                <w:sz w:val="16"/>
                <w:szCs w:val="16"/>
              </w:rPr>
              <w:t xml:space="preserve">Debug tooling — print_tree, visualize(), Gantt timelines, and the trace store</w:t>
            </w:r>
          </w:p>
        </w:tc>
        <w:tc>
          <w:tcPr>
            <w:tcW w:type="dxa" w:w="900"/>
            <w:tcBorders>
              <w:top w:val="single" w:color="CCCCCC" w:sz="1"/>
              <w:left w:val="single" w:color="CCCCCC" w:sz="1"/>
              <w:bottom w:val="single" w:color="CCCCCC" w:sz="1"/>
              <w:right w:val="single" w:color="CCCCCC" w:sz="1"/>
            </w:tcBorders>
            <w:shd w:fill="FAEEDA" w:val="clear"/>
            <w:tcMar>
              <w:top w:type="dxa" w:w="60"/>
              <w:left w:type="dxa" w:w="60"/>
              <w:bottom w:type="dxa" w:w="60"/>
              <w:right w:type="dxa" w:w="60"/>
            </w:tcMar>
          </w:tcPr>
          <w:p>
            <w:pPr>
              <w:jc w:val="center"/>
            </w:pPr>
            <w:r>
              <w:rPr>
                <w:rFonts w:ascii="Arial" w:cs="Arial" w:eastAsia="Arial" w:hAnsi="Arial"/>
                <w:color w:val="633806"/>
                <w:sz w:val="14"/>
                <w:szCs w:val="14"/>
              </w:rPr>
              <w:t xml:space="preserve">ops</w:t>
            </w:r>
          </w:p>
        </w:tc>
        <w:tc>
          <w:tcPr>
            <w:tcW w:type="dxa" w:w="9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404040"/>
                <w:sz w:val="16"/>
                <w:szCs w:val="16"/>
              </w:rPr>
              <w:t xml:space="preserve">P4</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60"/>
            </w:tcMar>
          </w:tcPr>
          <w:p>
            <w:r>
              <w:rPr>
                <w:rFonts w:ascii="Arial" w:cs="Arial" w:eastAsia="Arial" w:hAnsi="Arial"/>
                <w:b/>
                <w:bCs/>
                <w:color w:val="27500A"/>
                <w:sz w:val="16"/>
                <w:szCs w:val="16"/>
              </w:rPr>
              <w:t xml:space="preserve">5.1</w:t>
            </w:r>
          </w:p>
        </w:tc>
        <w:tc>
          <w:tcPr>
            <w:tcW w:type="dxa" w:w="6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color w:val="000000"/>
                <w:sz w:val="16"/>
                <w:szCs w:val="16"/>
              </w:rPr>
              <w:t xml:space="preserve">EU AI Act — Articles 9, 10, 12, 13, 14, 15 and what they require technically</w:t>
            </w:r>
          </w:p>
        </w:tc>
        <w:tc>
          <w:tcPr>
            <w:tcW w:type="dxa" w:w="900"/>
            <w:tcBorders>
              <w:top w:val="single" w:color="CCCCCC" w:sz="1"/>
              <w:left w:val="single" w:color="CCCCCC" w:sz="1"/>
              <w:bottom w:val="single" w:color="CCCCCC" w:sz="1"/>
              <w:right w:val="single" w:color="CCCCCC" w:sz="1"/>
            </w:tcBorders>
            <w:shd w:fill="EAF3DE" w:val="clear"/>
            <w:tcMar>
              <w:top w:type="dxa" w:w="60"/>
              <w:left w:type="dxa" w:w="60"/>
              <w:bottom w:type="dxa" w:w="60"/>
              <w:right w:type="dxa" w:w="60"/>
            </w:tcMar>
          </w:tcPr>
          <w:p>
            <w:pPr>
              <w:jc w:val="center"/>
            </w:pPr>
            <w:r>
              <w:rPr>
                <w:rFonts w:ascii="Arial" w:cs="Arial" w:eastAsia="Arial" w:hAnsi="Arial"/>
                <w:color w:val="27500A"/>
                <w:sz w:val="14"/>
                <w:szCs w:val="14"/>
              </w:rPr>
              <w:t xml:space="preserve">compliance</w:t>
            </w:r>
          </w:p>
        </w:tc>
        <w:tc>
          <w:tcPr>
            <w:tcW w:type="dxa" w:w="900"/>
            <w:tcBorders>
              <w:top w:val="single" w:color="CCCCCC" w:sz="1"/>
              <w:left w:val="single" w:color="CCCCCC" w:sz="1"/>
              <w:bottom w:val="single" w:color="CCCCCC" w:sz="1"/>
              <w:right w:val="single" w:color="CCCCCC" w:sz="1"/>
            </w:tcBorders>
            <w:shd w:fill="F2F2F2" w:val="clear"/>
            <w:tcMar>
              <w:top w:type="dxa" w:w="60"/>
              <w:left w:type="dxa" w:w="60"/>
              <w:bottom w:type="dxa" w:w="60"/>
              <w:right w:type="dxa" w:w="60"/>
            </w:tcMar>
          </w:tcPr>
          <w:p>
            <w:pPr>
              <w:jc w:val="center"/>
            </w:pPr>
            <w:r>
              <w:rPr>
                <w:rFonts w:ascii="Arial" w:cs="Arial" w:eastAsia="Arial" w:hAnsi="Arial"/>
                <w:color w:val="404040"/>
                <w:sz w:val="16"/>
                <w:szCs w:val="16"/>
              </w:rPr>
              <w:t xml:space="preserve">P5</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tcPr>
          <w:p>
            <w:r>
              <w:rPr>
                <w:rFonts w:ascii="Arial" w:cs="Arial" w:eastAsia="Arial" w:hAnsi="Arial"/>
                <w:b/>
                <w:bCs/>
                <w:color w:val="27500A"/>
                <w:sz w:val="16"/>
                <w:szCs w:val="16"/>
              </w:rPr>
              <w:t xml:space="preserve">5.2</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000000"/>
                <w:sz w:val="16"/>
                <w:szCs w:val="16"/>
              </w:rPr>
              <w:t xml:space="preserve">NIST AI RMF — GOVERN, MAP, MEASURE, MANAGE as engineering controls</w:t>
            </w:r>
          </w:p>
        </w:tc>
        <w:tc>
          <w:tcPr>
            <w:tcW w:type="dxa" w:w="900"/>
            <w:tcBorders>
              <w:top w:val="single" w:color="CCCCCC" w:sz="1"/>
              <w:left w:val="single" w:color="CCCCCC" w:sz="1"/>
              <w:bottom w:val="single" w:color="CCCCCC" w:sz="1"/>
              <w:right w:val="single" w:color="CCCCCC" w:sz="1"/>
            </w:tcBorders>
            <w:shd w:fill="EAF3DE" w:val="clear"/>
            <w:tcMar>
              <w:top w:type="dxa" w:w="60"/>
              <w:left w:type="dxa" w:w="60"/>
              <w:bottom w:type="dxa" w:w="60"/>
              <w:right w:type="dxa" w:w="60"/>
            </w:tcMar>
          </w:tcPr>
          <w:p>
            <w:pPr>
              <w:jc w:val="center"/>
            </w:pPr>
            <w:r>
              <w:rPr>
                <w:rFonts w:ascii="Arial" w:cs="Arial" w:eastAsia="Arial" w:hAnsi="Arial"/>
                <w:color w:val="27500A"/>
                <w:sz w:val="14"/>
                <w:szCs w:val="14"/>
              </w:rPr>
              <w:t xml:space="preserve">compliance</w:t>
            </w:r>
          </w:p>
        </w:tc>
        <w:tc>
          <w:tcPr>
            <w:tcW w:type="dxa" w:w="9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404040"/>
                <w:sz w:val="16"/>
                <w:szCs w:val="16"/>
              </w:rPr>
              <w:t xml:space="preserve">P5</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60"/>
            </w:tcMar>
          </w:tcPr>
          <w:p>
            <w:r>
              <w:rPr>
                <w:rFonts w:ascii="Arial" w:cs="Arial" w:eastAsia="Arial" w:hAnsi="Arial"/>
                <w:b/>
                <w:bCs/>
                <w:color w:val="27500A"/>
                <w:sz w:val="16"/>
                <w:szCs w:val="16"/>
              </w:rPr>
              <w:t xml:space="preserve">5.3</w:t>
            </w:r>
          </w:p>
        </w:tc>
        <w:tc>
          <w:tcPr>
            <w:tcW w:type="dxa" w:w="6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color w:val="000000"/>
                <w:sz w:val="16"/>
                <w:szCs w:val="16"/>
              </w:rPr>
              <w:t xml:space="preserve">ISO/IEC 42001 and ISO 27001 — AI management systems and Annex A.12.4</w:t>
            </w:r>
          </w:p>
        </w:tc>
        <w:tc>
          <w:tcPr>
            <w:tcW w:type="dxa" w:w="900"/>
            <w:tcBorders>
              <w:top w:val="single" w:color="CCCCCC" w:sz="1"/>
              <w:left w:val="single" w:color="CCCCCC" w:sz="1"/>
              <w:bottom w:val="single" w:color="CCCCCC" w:sz="1"/>
              <w:right w:val="single" w:color="CCCCCC" w:sz="1"/>
            </w:tcBorders>
            <w:shd w:fill="EAF3DE" w:val="clear"/>
            <w:tcMar>
              <w:top w:type="dxa" w:w="60"/>
              <w:left w:type="dxa" w:w="60"/>
              <w:bottom w:type="dxa" w:w="60"/>
              <w:right w:type="dxa" w:w="60"/>
            </w:tcMar>
          </w:tcPr>
          <w:p>
            <w:pPr>
              <w:jc w:val="center"/>
            </w:pPr>
            <w:r>
              <w:rPr>
                <w:rFonts w:ascii="Arial" w:cs="Arial" w:eastAsia="Arial" w:hAnsi="Arial"/>
                <w:color w:val="27500A"/>
                <w:sz w:val="14"/>
                <w:szCs w:val="14"/>
              </w:rPr>
              <w:t xml:space="preserve">compliance</w:t>
            </w:r>
          </w:p>
        </w:tc>
        <w:tc>
          <w:tcPr>
            <w:tcW w:type="dxa" w:w="900"/>
            <w:tcBorders>
              <w:top w:val="single" w:color="CCCCCC" w:sz="1"/>
              <w:left w:val="single" w:color="CCCCCC" w:sz="1"/>
              <w:bottom w:val="single" w:color="CCCCCC" w:sz="1"/>
              <w:right w:val="single" w:color="CCCCCC" w:sz="1"/>
            </w:tcBorders>
            <w:shd w:fill="F2F2F2" w:val="clear"/>
            <w:tcMar>
              <w:top w:type="dxa" w:w="60"/>
              <w:left w:type="dxa" w:w="60"/>
              <w:bottom w:type="dxa" w:w="60"/>
              <w:right w:type="dxa" w:w="60"/>
            </w:tcMar>
          </w:tcPr>
          <w:p>
            <w:pPr>
              <w:jc w:val="center"/>
            </w:pPr>
            <w:r>
              <w:rPr>
                <w:rFonts w:ascii="Arial" w:cs="Arial" w:eastAsia="Arial" w:hAnsi="Arial"/>
                <w:color w:val="404040"/>
                <w:sz w:val="16"/>
                <w:szCs w:val="16"/>
              </w:rPr>
              <w:t xml:space="preserve">P5</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tcPr>
          <w:p>
            <w:r>
              <w:rPr>
                <w:rFonts w:ascii="Arial" w:cs="Arial" w:eastAsia="Arial" w:hAnsi="Arial"/>
                <w:b/>
                <w:bCs/>
                <w:color w:val="27500A"/>
                <w:sz w:val="16"/>
                <w:szCs w:val="16"/>
              </w:rPr>
              <w:t xml:space="preserve">5.4</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000000"/>
                <w:sz w:val="16"/>
                <w:szCs w:val="16"/>
              </w:rPr>
              <w:t xml:space="preserve">SOC 2 Type II — CC6, CC7, CC9 and how audit logs satisfy them</w:t>
            </w:r>
          </w:p>
        </w:tc>
        <w:tc>
          <w:tcPr>
            <w:tcW w:type="dxa" w:w="900"/>
            <w:tcBorders>
              <w:top w:val="single" w:color="CCCCCC" w:sz="1"/>
              <w:left w:val="single" w:color="CCCCCC" w:sz="1"/>
              <w:bottom w:val="single" w:color="CCCCCC" w:sz="1"/>
              <w:right w:val="single" w:color="CCCCCC" w:sz="1"/>
            </w:tcBorders>
            <w:shd w:fill="EAF3DE" w:val="clear"/>
            <w:tcMar>
              <w:top w:type="dxa" w:w="60"/>
              <w:left w:type="dxa" w:w="60"/>
              <w:bottom w:type="dxa" w:w="60"/>
              <w:right w:type="dxa" w:w="60"/>
            </w:tcMar>
          </w:tcPr>
          <w:p>
            <w:pPr>
              <w:jc w:val="center"/>
            </w:pPr>
            <w:r>
              <w:rPr>
                <w:rFonts w:ascii="Arial" w:cs="Arial" w:eastAsia="Arial" w:hAnsi="Arial"/>
                <w:color w:val="27500A"/>
                <w:sz w:val="14"/>
                <w:szCs w:val="14"/>
              </w:rPr>
              <w:t xml:space="preserve">compliance</w:t>
            </w:r>
          </w:p>
        </w:tc>
        <w:tc>
          <w:tcPr>
            <w:tcW w:type="dxa" w:w="9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404040"/>
                <w:sz w:val="16"/>
                <w:szCs w:val="16"/>
              </w:rPr>
              <w:t xml:space="preserve">P5</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60"/>
            </w:tcMar>
          </w:tcPr>
          <w:p>
            <w:r>
              <w:rPr>
                <w:rFonts w:ascii="Arial" w:cs="Arial" w:eastAsia="Arial" w:hAnsi="Arial"/>
                <w:b/>
                <w:bCs/>
                <w:color w:val="27500A"/>
                <w:sz w:val="16"/>
                <w:szCs w:val="16"/>
              </w:rPr>
              <w:t xml:space="preserve">5.5</w:t>
            </w:r>
          </w:p>
        </w:tc>
        <w:tc>
          <w:tcPr>
            <w:tcW w:type="dxa" w:w="6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color w:val="000000"/>
                <w:sz w:val="16"/>
                <w:szCs w:val="16"/>
              </w:rPr>
              <w:t xml:space="preserve">The Compliance Evidence Chain — building a signed ZIP bundle auditors can verify</w:t>
            </w:r>
          </w:p>
        </w:tc>
        <w:tc>
          <w:tcPr>
            <w:tcW w:type="dxa" w:w="900"/>
            <w:tcBorders>
              <w:top w:val="single" w:color="CCCCCC" w:sz="1"/>
              <w:left w:val="single" w:color="CCCCCC" w:sz="1"/>
              <w:bottom w:val="single" w:color="CCCCCC" w:sz="1"/>
              <w:right w:val="single" w:color="CCCCCC" w:sz="1"/>
            </w:tcBorders>
            <w:shd w:fill="EAF3DE" w:val="clear"/>
            <w:tcMar>
              <w:top w:type="dxa" w:w="60"/>
              <w:left w:type="dxa" w:w="60"/>
              <w:bottom w:type="dxa" w:w="60"/>
              <w:right w:type="dxa" w:w="60"/>
            </w:tcMar>
          </w:tcPr>
          <w:p>
            <w:pPr>
              <w:jc w:val="center"/>
            </w:pPr>
            <w:r>
              <w:rPr>
                <w:rFonts w:ascii="Arial" w:cs="Arial" w:eastAsia="Arial" w:hAnsi="Arial"/>
                <w:color w:val="27500A"/>
                <w:sz w:val="14"/>
                <w:szCs w:val="14"/>
              </w:rPr>
              <w:t xml:space="preserve">compliance</w:t>
            </w:r>
          </w:p>
        </w:tc>
        <w:tc>
          <w:tcPr>
            <w:tcW w:type="dxa" w:w="900"/>
            <w:tcBorders>
              <w:top w:val="single" w:color="CCCCCC" w:sz="1"/>
              <w:left w:val="single" w:color="CCCCCC" w:sz="1"/>
              <w:bottom w:val="single" w:color="CCCCCC" w:sz="1"/>
              <w:right w:val="single" w:color="CCCCCC" w:sz="1"/>
            </w:tcBorders>
            <w:shd w:fill="F2F2F2" w:val="clear"/>
            <w:tcMar>
              <w:top w:type="dxa" w:w="60"/>
              <w:left w:type="dxa" w:w="60"/>
              <w:bottom w:type="dxa" w:w="60"/>
              <w:right w:type="dxa" w:w="60"/>
            </w:tcMar>
          </w:tcPr>
          <w:p>
            <w:pPr>
              <w:jc w:val="center"/>
            </w:pPr>
            <w:r>
              <w:rPr>
                <w:rFonts w:ascii="Arial" w:cs="Arial" w:eastAsia="Arial" w:hAnsi="Arial"/>
                <w:color w:val="404040"/>
                <w:sz w:val="16"/>
                <w:szCs w:val="16"/>
              </w:rPr>
              <w:t xml:space="preserve">P5</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tcPr>
          <w:p>
            <w:r>
              <w:rPr>
                <w:rFonts w:ascii="Arial" w:cs="Arial" w:eastAsia="Arial" w:hAnsi="Arial"/>
                <w:b/>
                <w:bCs/>
                <w:color w:val="27500A"/>
                <w:sz w:val="16"/>
                <w:szCs w:val="16"/>
              </w:rPr>
              <w:t xml:space="preserve">5.6</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000000"/>
                <w:sz w:val="16"/>
                <w:szCs w:val="16"/>
              </w:rPr>
              <w:t xml:space="preserve">HMAC-signed PDF attestations — what goes in them and how they are verified</w:t>
            </w:r>
          </w:p>
        </w:tc>
        <w:tc>
          <w:tcPr>
            <w:tcW w:type="dxa" w:w="900"/>
            <w:tcBorders>
              <w:top w:val="single" w:color="CCCCCC" w:sz="1"/>
              <w:left w:val="single" w:color="CCCCCC" w:sz="1"/>
              <w:bottom w:val="single" w:color="CCCCCC" w:sz="1"/>
              <w:right w:val="single" w:color="CCCCCC" w:sz="1"/>
            </w:tcBorders>
            <w:shd w:fill="EAF3DE" w:val="clear"/>
            <w:tcMar>
              <w:top w:type="dxa" w:w="60"/>
              <w:left w:type="dxa" w:w="60"/>
              <w:bottom w:type="dxa" w:w="60"/>
              <w:right w:type="dxa" w:w="60"/>
            </w:tcMar>
          </w:tcPr>
          <w:p>
            <w:pPr>
              <w:jc w:val="center"/>
            </w:pPr>
            <w:r>
              <w:rPr>
                <w:rFonts w:ascii="Arial" w:cs="Arial" w:eastAsia="Arial" w:hAnsi="Arial"/>
                <w:color w:val="27500A"/>
                <w:sz w:val="14"/>
                <w:szCs w:val="14"/>
              </w:rPr>
              <w:t xml:space="preserve">compliance</w:t>
            </w:r>
          </w:p>
        </w:tc>
        <w:tc>
          <w:tcPr>
            <w:tcW w:type="dxa" w:w="9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404040"/>
                <w:sz w:val="16"/>
                <w:szCs w:val="16"/>
              </w:rPr>
              <w:t xml:space="preserve">P5</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60"/>
            </w:tcMar>
          </w:tcPr>
          <w:p>
            <w:r>
              <w:rPr>
                <w:rFonts w:ascii="Arial" w:cs="Arial" w:eastAsia="Arial" w:hAnsi="Arial"/>
                <w:b/>
                <w:bCs/>
                <w:color w:val="27500A"/>
                <w:sz w:val="16"/>
                <w:szCs w:val="16"/>
              </w:rPr>
              <w:t xml:space="preserve">5.7</w:t>
            </w:r>
          </w:p>
        </w:tc>
        <w:tc>
          <w:tcPr>
            <w:tcW w:type="dxa" w:w="6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color w:val="000000"/>
                <w:sz w:val="16"/>
                <w:szCs w:val="16"/>
              </w:rPr>
              <w:t xml:space="preserve">RFC 3161 trusted timestamps — cryptographic proof of existence for legal proceedings</w:t>
            </w:r>
          </w:p>
        </w:tc>
        <w:tc>
          <w:tcPr>
            <w:tcW w:type="dxa" w:w="900"/>
            <w:tcBorders>
              <w:top w:val="single" w:color="CCCCCC" w:sz="1"/>
              <w:left w:val="single" w:color="CCCCCC" w:sz="1"/>
              <w:bottom w:val="single" w:color="CCCCCC" w:sz="1"/>
              <w:right w:val="single" w:color="CCCCCC" w:sz="1"/>
            </w:tcBorders>
            <w:shd w:fill="EAF3DE" w:val="clear"/>
            <w:tcMar>
              <w:top w:type="dxa" w:w="60"/>
              <w:left w:type="dxa" w:w="60"/>
              <w:bottom w:type="dxa" w:w="60"/>
              <w:right w:type="dxa" w:w="60"/>
            </w:tcMar>
          </w:tcPr>
          <w:p>
            <w:pPr>
              <w:jc w:val="center"/>
            </w:pPr>
            <w:r>
              <w:rPr>
                <w:rFonts w:ascii="Arial" w:cs="Arial" w:eastAsia="Arial" w:hAnsi="Arial"/>
                <w:color w:val="27500A"/>
                <w:sz w:val="14"/>
                <w:szCs w:val="14"/>
              </w:rPr>
              <w:t xml:space="preserve">compliance</w:t>
            </w:r>
          </w:p>
        </w:tc>
        <w:tc>
          <w:tcPr>
            <w:tcW w:type="dxa" w:w="900"/>
            <w:tcBorders>
              <w:top w:val="single" w:color="CCCCCC" w:sz="1"/>
              <w:left w:val="single" w:color="CCCCCC" w:sz="1"/>
              <w:bottom w:val="single" w:color="CCCCCC" w:sz="1"/>
              <w:right w:val="single" w:color="CCCCCC" w:sz="1"/>
            </w:tcBorders>
            <w:shd w:fill="F2F2F2" w:val="clear"/>
            <w:tcMar>
              <w:top w:type="dxa" w:w="60"/>
              <w:left w:type="dxa" w:w="60"/>
              <w:bottom w:type="dxa" w:w="60"/>
              <w:right w:type="dxa" w:w="60"/>
            </w:tcMar>
          </w:tcPr>
          <w:p>
            <w:pPr>
              <w:jc w:val="center"/>
            </w:pPr>
            <w:r>
              <w:rPr>
                <w:rFonts w:ascii="Arial" w:cs="Arial" w:eastAsia="Arial" w:hAnsi="Arial"/>
                <w:color w:val="404040"/>
                <w:sz w:val="16"/>
                <w:szCs w:val="16"/>
              </w:rPr>
              <w:t xml:space="preserve">P5</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tcPr>
          <w:p>
            <w:r>
              <w:rPr>
                <w:rFonts w:ascii="Arial" w:cs="Arial" w:eastAsia="Arial" w:hAnsi="Arial"/>
                <w:b/>
                <w:bCs/>
                <w:color w:val="27500A"/>
                <w:sz w:val="16"/>
                <w:szCs w:val="16"/>
              </w:rPr>
              <w:t xml:space="preserve">5.8</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000000"/>
                <w:sz w:val="16"/>
                <w:szCs w:val="16"/>
              </w:rPr>
              <w:t xml:space="preserve">GDPR Article 30 Records of Processing — auto-generating RoPA from audit metadata</w:t>
            </w:r>
          </w:p>
        </w:tc>
        <w:tc>
          <w:tcPr>
            <w:tcW w:type="dxa" w:w="900"/>
            <w:tcBorders>
              <w:top w:val="single" w:color="CCCCCC" w:sz="1"/>
              <w:left w:val="single" w:color="CCCCCC" w:sz="1"/>
              <w:bottom w:val="single" w:color="CCCCCC" w:sz="1"/>
              <w:right w:val="single" w:color="CCCCCC" w:sz="1"/>
            </w:tcBorders>
            <w:shd w:fill="EAF3DE" w:val="clear"/>
            <w:tcMar>
              <w:top w:type="dxa" w:w="60"/>
              <w:left w:type="dxa" w:w="60"/>
              <w:bottom w:type="dxa" w:w="60"/>
              <w:right w:type="dxa" w:w="60"/>
            </w:tcMar>
          </w:tcPr>
          <w:p>
            <w:pPr>
              <w:jc w:val="center"/>
            </w:pPr>
            <w:r>
              <w:rPr>
                <w:rFonts w:ascii="Arial" w:cs="Arial" w:eastAsia="Arial" w:hAnsi="Arial"/>
                <w:color w:val="27500A"/>
                <w:sz w:val="14"/>
                <w:szCs w:val="14"/>
              </w:rPr>
              <w:t xml:space="preserve">compliance</w:t>
            </w:r>
          </w:p>
        </w:tc>
        <w:tc>
          <w:tcPr>
            <w:tcW w:type="dxa" w:w="9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404040"/>
                <w:sz w:val="16"/>
                <w:szCs w:val="16"/>
              </w:rPr>
              <w:t xml:space="preserve">P5</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60"/>
            </w:tcMar>
          </w:tcPr>
          <w:p>
            <w:r>
              <w:rPr>
                <w:rFonts w:ascii="Arial" w:cs="Arial" w:eastAsia="Arial" w:hAnsi="Arial"/>
                <w:b/>
                <w:bCs/>
                <w:color w:val="27500A"/>
                <w:sz w:val="16"/>
                <w:szCs w:val="16"/>
              </w:rPr>
              <w:t xml:space="preserve">5.9</w:t>
            </w:r>
          </w:p>
        </w:tc>
        <w:tc>
          <w:tcPr>
            <w:tcW w:type="dxa" w:w="6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color w:val="000000"/>
                <w:sz w:val="16"/>
                <w:szCs w:val="16"/>
              </w:rPr>
              <w:t xml:space="preserve">The T.R.U.S.T. scorecard — Transparency, Reliability, UserTrust, Security, Traceability</w:t>
            </w:r>
          </w:p>
        </w:tc>
        <w:tc>
          <w:tcPr>
            <w:tcW w:type="dxa" w:w="900"/>
            <w:tcBorders>
              <w:top w:val="single" w:color="CCCCCC" w:sz="1"/>
              <w:left w:val="single" w:color="CCCCCC" w:sz="1"/>
              <w:bottom w:val="single" w:color="CCCCCC" w:sz="1"/>
              <w:right w:val="single" w:color="CCCCCC" w:sz="1"/>
            </w:tcBorders>
            <w:shd w:fill="EAF3DE" w:val="clear"/>
            <w:tcMar>
              <w:top w:type="dxa" w:w="60"/>
              <w:left w:type="dxa" w:w="60"/>
              <w:bottom w:type="dxa" w:w="60"/>
              <w:right w:type="dxa" w:w="60"/>
            </w:tcMar>
          </w:tcPr>
          <w:p>
            <w:pPr>
              <w:jc w:val="center"/>
            </w:pPr>
            <w:r>
              <w:rPr>
                <w:rFonts w:ascii="Arial" w:cs="Arial" w:eastAsia="Arial" w:hAnsi="Arial"/>
                <w:color w:val="27500A"/>
                <w:sz w:val="14"/>
                <w:szCs w:val="14"/>
              </w:rPr>
              <w:t xml:space="preserve">compliance</w:t>
            </w:r>
          </w:p>
        </w:tc>
        <w:tc>
          <w:tcPr>
            <w:tcW w:type="dxa" w:w="900"/>
            <w:tcBorders>
              <w:top w:val="single" w:color="CCCCCC" w:sz="1"/>
              <w:left w:val="single" w:color="CCCCCC" w:sz="1"/>
              <w:bottom w:val="single" w:color="CCCCCC" w:sz="1"/>
              <w:right w:val="single" w:color="CCCCCC" w:sz="1"/>
            </w:tcBorders>
            <w:shd w:fill="F2F2F2" w:val="clear"/>
            <w:tcMar>
              <w:top w:type="dxa" w:w="60"/>
              <w:left w:type="dxa" w:w="60"/>
              <w:bottom w:type="dxa" w:w="60"/>
              <w:right w:type="dxa" w:w="60"/>
            </w:tcMar>
          </w:tcPr>
          <w:p>
            <w:pPr>
              <w:jc w:val="center"/>
            </w:pPr>
            <w:r>
              <w:rPr>
                <w:rFonts w:ascii="Arial" w:cs="Arial" w:eastAsia="Arial" w:hAnsi="Arial"/>
                <w:color w:val="404040"/>
                <w:sz w:val="16"/>
                <w:szCs w:val="16"/>
              </w:rPr>
              <w:t xml:space="preserve">P5</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tcPr>
          <w:p>
            <w:r>
              <w:rPr>
                <w:rFonts w:ascii="Arial" w:cs="Arial" w:eastAsia="Arial" w:hAnsi="Arial"/>
                <w:b/>
                <w:bCs/>
                <w:color w:val="27500A"/>
                <w:sz w:val="16"/>
                <w:szCs w:val="16"/>
              </w:rPr>
              <w:t xml:space="preserve">5.10</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000000"/>
                <w:sz w:val="16"/>
                <w:szCs w:val="16"/>
              </w:rPr>
              <w:t xml:space="preserve">Human-in-the-Loop — EU AI Act Article 14, HITL queues, SLA tracking, escalation</w:t>
            </w:r>
          </w:p>
        </w:tc>
        <w:tc>
          <w:tcPr>
            <w:tcW w:type="dxa" w:w="900"/>
            <w:tcBorders>
              <w:top w:val="single" w:color="CCCCCC" w:sz="1"/>
              <w:left w:val="single" w:color="CCCCCC" w:sz="1"/>
              <w:bottom w:val="single" w:color="CCCCCC" w:sz="1"/>
              <w:right w:val="single" w:color="CCCCCC" w:sz="1"/>
            </w:tcBorders>
            <w:shd w:fill="EAF3DE" w:val="clear"/>
            <w:tcMar>
              <w:top w:type="dxa" w:w="60"/>
              <w:left w:type="dxa" w:w="60"/>
              <w:bottom w:type="dxa" w:w="60"/>
              <w:right w:type="dxa" w:w="60"/>
            </w:tcMar>
          </w:tcPr>
          <w:p>
            <w:pPr>
              <w:jc w:val="center"/>
            </w:pPr>
            <w:r>
              <w:rPr>
                <w:rFonts w:ascii="Arial" w:cs="Arial" w:eastAsia="Arial" w:hAnsi="Arial"/>
                <w:color w:val="27500A"/>
                <w:sz w:val="14"/>
                <w:szCs w:val="14"/>
              </w:rPr>
              <w:t xml:space="preserve">compliance</w:t>
            </w:r>
          </w:p>
        </w:tc>
        <w:tc>
          <w:tcPr>
            <w:tcW w:type="dxa" w:w="9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404040"/>
                <w:sz w:val="16"/>
                <w:szCs w:val="16"/>
              </w:rPr>
              <w:t xml:space="preserve">P5</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60"/>
            </w:tcMar>
          </w:tcPr>
          <w:p>
            <w:r>
              <w:rPr>
                <w:rFonts w:ascii="Arial" w:cs="Arial" w:eastAsia="Arial" w:hAnsi="Arial"/>
                <w:b/>
                <w:bCs/>
                <w:color w:val="3C3489"/>
                <w:sz w:val="16"/>
                <w:szCs w:val="16"/>
              </w:rPr>
              <w:t xml:space="preserve">6.1</w:t>
            </w:r>
          </w:p>
        </w:tc>
        <w:tc>
          <w:tcPr>
            <w:tcW w:type="dxa" w:w="6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color w:val="000000"/>
                <w:sz w:val="16"/>
                <w:szCs w:val="16"/>
              </w:rPr>
              <w:t xml:space="preserve">The SFServiceClient base class — retry, circuit breaker, auth refresh, fallback</w:t>
            </w:r>
          </w:p>
        </w:tc>
        <w:tc>
          <w:tcPr>
            <w:tcW w:type="dxa" w:w="900"/>
            <w:tcBorders>
              <w:top w:val="single" w:color="CCCCCC" w:sz="1"/>
              <w:left w:val="single" w:color="CCCCCC" w:sz="1"/>
              <w:bottom w:val="single" w:color="CCCCCC" w:sz="1"/>
              <w:right w:val="single" w:color="CCCCCC" w:sz="1"/>
            </w:tcBorders>
            <w:shd w:fill="EEEDFE" w:val="clear"/>
            <w:tcMar>
              <w:top w:type="dxa" w:w="60"/>
              <w:left w:type="dxa" w:w="60"/>
              <w:bottom w:type="dxa" w:w="60"/>
              <w:right w:type="dxa" w:w="60"/>
            </w:tcMar>
          </w:tcPr>
          <w:p>
            <w:pPr>
              <w:jc w:val="center"/>
            </w:pPr>
            <w:r>
              <w:rPr>
                <w:rFonts w:ascii="Arial" w:cs="Arial" w:eastAsia="Arial" w:hAnsi="Arial"/>
                <w:color w:val="3C3489"/>
                <w:sz w:val="14"/>
                <w:szCs w:val="14"/>
              </w:rPr>
              <w:t xml:space="preserve">advanced</w:t>
            </w:r>
          </w:p>
        </w:tc>
        <w:tc>
          <w:tcPr>
            <w:tcW w:type="dxa" w:w="900"/>
            <w:tcBorders>
              <w:top w:val="single" w:color="CCCCCC" w:sz="1"/>
              <w:left w:val="single" w:color="CCCCCC" w:sz="1"/>
              <w:bottom w:val="single" w:color="CCCCCC" w:sz="1"/>
              <w:right w:val="single" w:color="CCCCCC" w:sz="1"/>
            </w:tcBorders>
            <w:shd w:fill="F2F2F2" w:val="clear"/>
            <w:tcMar>
              <w:top w:type="dxa" w:w="60"/>
              <w:left w:type="dxa" w:w="60"/>
              <w:bottom w:type="dxa" w:w="60"/>
              <w:right w:type="dxa" w:w="60"/>
            </w:tcMar>
          </w:tcPr>
          <w:p>
            <w:pPr>
              <w:jc w:val="center"/>
            </w:pPr>
            <w:r>
              <w:rPr>
                <w:rFonts w:ascii="Arial" w:cs="Arial" w:eastAsia="Arial" w:hAnsi="Arial"/>
                <w:color w:val="404040"/>
                <w:sz w:val="16"/>
                <w:szCs w:val="16"/>
              </w:rPr>
              <w:t xml:space="preserve">P6</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tcPr>
          <w:p>
            <w:r>
              <w:rPr>
                <w:rFonts w:ascii="Arial" w:cs="Arial" w:eastAsia="Arial" w:hAnsi="Arial"/>
                <w:b/>
                <w:bCs/>
                <w:color w:val="3C3489"/>
                <w:sz w:val="16"/>
                <w:szCs w:val="16"/>
              </w:rPr>
              <w:t xml:space="preserve">6.2</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000000"/>
                <w:sz w:val="16"/>
                <w:szCs w:val="16"/>
              </w:rPr>
              <w:t xml:space="preserve">Circuit breaker pattern — failure thresholds, OPEN/CLOSED/HALF-OPEN states</w:t>
            </w:r>
          </w:p>
        </w:tc>
        <w:tc>
          <w:tcPr>
            <w:tcW w:type="dxa" w:w="900"/>
            <w:tcBorders>
              <w:top w:val="single" w:color="CCCCCC" w:sz="1"/>
              <w:left w:val="single" w:color="CCCCCC" w:sz="1"/>
              <w:bottom w:val="single" w:color="CCCCCC" w:sz="1"/>
              <w:right w:val="single" w:color="CCCCCC" w:sz="1"/>
            </w:tcBorders>
            <w:shd w:fill="EEEDFE" w:val="clear"/>
            <w:tcMar>
              <w:top w:type="dxa" w:w="60"/>
              <w:left w:type="dxa" w:w="60"/>
              <w:bottom w:type="dxa" w:w="60"/>
              <w:right w:type="dxa" w:w="60"/>
            </w:tcMar>
          </w:tcPr>
          <w:p>
            <w:pPr>
              <w:jc w:val="center"/>
            </w:pPr>
            <w:r>
              <w:rPr>
                <w:rFonts w:ascii="Arial" w:cs="Arial" w:eastAsia="Arial" w:hAnsi="Arial"/>
                <w:color w:val="3C3489"/>
                <w:sz w:val="14"/>
                <w:szCs w:val="14"/>
              </w:rPr>
              <w:t xml:space="preserve">advanced</w:t>
            </w:r>
          </w:p>
        </w:tc>
        <w:tc>
          <w:tcPr>
            <w:tcW w:type="dxa" w:w="9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404040"/>
                <w:sz w:val="16"/>
                <w:szCs w:val="16"/>
              </w:rPr>
              <w:t xml:space="preserve">P6</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60"/>
            </w:tcMar>
          </w:tcPr>
          <w:p>
            <w:r>
              <w:rPr>
                <w:rFonts w:ascii="Arial" w:cs="Arial" w:eastAsia="Arial" w:hAnsi="Arial"/>
                <w:b/>
                <w:bCs/>
                <w:color w:val="3C3489"/>
                <w:sz w:val="16"/>
                <w:szCs w:val="16"/>
              </w:rPr>
              <w:t xml:space="preserve">6.3</w:t>
            </w:r>
          </w:p>
        </w:tc>
        <w:tc>
          <w:tcPr>
            <w:tcW w:type="dxa" w:w="6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color w:val="000000"/>
                <w:sz w:val="16"/>
                <w:szCs w:val="16"/>
              </w:rPr>
              <w:t xml:space="preserve">Sliding window rate limiting — per-key counters without external dependencies</w:t>
            </w:r>
          </w:p>
        </w:tc>
        <w:tc>
          <w:tcPr>
            <w:tcW w:type="dxa" w:w="900"/>
            <w:tcBorders>
              <w:top w:val="single" w:color="CCCCCC" w:sz="1"/>
              <w:left w:val="single" w:color="CCCCCC" w:sz="1"/>
              <w:bottom w:val="single" w:color="CCCCCC" w:sz="1"/>
              <w:right w:val="single" w:color="CCCCCC" w:sz="1"/>
            </w:tcBorders>
            <w:shd w:fill="EEEDFE" w:val="clear"/>
            <w:tcMar>
              <w:top w:type="dxa" w:w="60"/>
              <w:left w:type="dxa" w:w="60"/>
              <w:bottom w:type="dxa" w:w="60"/>
              <w:right w:type="dxa" w:w="60"/>
            </w:tcMar>
          </w:tcPr>
          <w:p>
            <w:pPr>
              <w:jc w:val="center"/>
            </w:pPr>
            <w:r>
              <w:rPr>
                <w:rFonts w:ascii="Arial" w:cs="Arial" w:eastAsia="Arial" w:hAnsi="Arial"/>
                <w:color w:val="3C3489"/>
                <w:sz w:val="14"/>
                <w:szCs w:val="14"/>
              </w:rPr>
              <w:t xml:space="preserve">advanced</w:t>
            </w:r>
          </w:p>
        </w:tc>
        <w:tc>
          <w:tcPr>
            <w:tcW w:type="dxa" w:w="900"/>
            <w:tcBorders>
              <w:top w:val="single" w:color="CCCCCC" w:sz="1"/>
              <w:left w:val="single" w:color="CCCCCC" w:sz="1"/>
              <w:bottom w:val="single" w:color="CCCCCC" w:sz="1"/>
              <w:right w:val="single" w:color="CCCCCC" w:sz="1"/>
            </w:tcBorders>
            <w:shd w:fill="F2F2F2" w:val="clear"/>
            <w:tcMar>
              <w:top w:type="dxa" w:w="60"/>
              <w:left w:type="dxa" w:w="60"/>
              <w:bottom w:type="dxa" w:w="60"/>
              <w:right w:type="dxa" w:w="60"/>
            </w:tcMar>
          </w:tcPr>
          <w:p>
            <w:pPr>
              <w:jc w:val="center"/>
            </w:pPr>
            <w:r>
              <w:rPr>
                <w:rFonts w:ascii="Arial" w:cs="Arial" w:eastAsia="Arial" w:hAnsi="Arial"/>
                <w:color w:val="404040"/>
                <w:sz w:val="16"/>
                <w:szCs w:val="16"/>
              </w:rPr>
              <w:t xml:space="preserve">P6</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tcPr>
          <w:p>
            <w:r>
              <w:rPr>
                <w:rFonts w:ascii="Arial" w:cs="Arial" w:eastAsia="Arial" w:hAnsi="Arial"/>
                <w:b/>
                <w:bCs/>
                <w:color w:val="3C3489"/>
                <w:sz w:val="16"/>
                <w:szCs w:val="16"/>
              </w:rPr>
              <w:t xml:space="preserve">6.4</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000000"/>
                <w:sz w:val="16"/>
                <w:szCs w:val="16"/>
              </w:rPr>
              <w:t xml:space="preserve">Local fallback architecture — graceful degradation when services are unreachable</w:t>
            </w:r>
          </w:p>
        </w:tc>
        <w:tc>
          <w:tcPr>
            <w:tcW w:type="dxa" w:w="900"/>
            <w:tcBorders>
              <w:top w:val="single" w:color="CCCCCC" w:sz="1"/>
              <w:left w:val="single" w:color="CCCCCC" w:sz="1"/>
              <w:bottom w:val="single" w:color="CCCCCC" w:sz="1"/>
              <w:right w:val="single" w:color="CCCCCC" w:sz="1"/>
            </w:tcBorders>
            <w:shd w:fill="EEEDFE" w:val="clear"/>
            <w:tcMar>
              <w:top w:type="dxa" w:w="60"/>
              <w:left w:type="dxa" w:w="60"/>
              <w:bottom w:type="dxa" w:w="60"/>
              <w:right w:type="dxa" w:w="60"/>
            </w:tcMar>
          </w:tcPr>
          <w:p>
            <w:pPr>
              <w:jc w:val="center"/>
            </w:pPr>
            <w:r>
              <w:rPr>
                <w:rFonts w:ascii="Arial" w:cs="Arial" w:eastAsia="Arial" w:hAnsi="Arial"/>
                <w:color w:val="3C3489"/>
                <w:sz w:val="14"/>
                <w:szCs w:val="14"/>
              </w:rPr>
              <w:t xml:space="preserve">advanced</w:t>
            </w:r>
          </w:p>
        </w:tc>
        <w:tc>
          <w:tcPr>
            <w:tcW w:type="dxa" w:w="9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404040"/>
                <w:sz w:val="16"/>
                <w:szCs w:val="16"/>
              </w:rPr>
              <w:t xml:space="preserve">P6</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60"/>
            </w:tcMar>
          </w:tcPr>
          <w:p>
            <w:r>
              <w:rPr>
                <w:rFonts w:ascii="Arial" w:cs="Arial" w:eastAsia="Arial" w:hAnsi="Arial"/>
                <w:b/>
                <w:bCs/>
                <w:color w:val="3C3489"/>
                <w:sz w:val="16"/>
                <w:szCs w:val="16"/>
              </w:rPr>
              <w:t xml:space="preserve">6.5</w:t>
            </w:r>
          </w:p>
        </w:tc>
        <w:tc>
          <w:tcPr>
            <w:tcW w:type="dxa" w:w="6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color w:val="000000"/>
                <w:sz w:val="16"/>
                <w:szCs w:val="16"/>
              </w:rPr>
              <w:t xml:space="preserve">Zero required dependencies — designing with stdlib-only constraints</w:t>
            </w:r>
          </w:p>
        </w:tc>
        <w:tc>
          <w:tcPr>
            <w:tcW w:type="dxa" w:w="900"/>
            <w:tcBorders>
              <w:top w:val="single" w:color="CCCCCC" w:sz="1"/>
              <w:left w:val="single" w:color="CCCCCC" w:sz="1"/>
              <w:bottom w:val="single" w:color="CCCCCC" w:sz="1"/>
              <w:right w:val="single" w:color="CCCCCC" w:sz="1"/>
            </w:tcBorders>
            <w:shd w:fill="EEEDFE" w:val="clear"/>
            <w:tcMar>
              <w:top w:type="dxa" w:w="60"/>
              <w:left w:type="dxa" w:w="60"/>
              <w:bottom w:type="dxa" w:w="60"/>
              <w:right w:type="dxa" w:w="60"/>
            </w:tcMar>
          </w:tcPr>
          <w:p>
            <w:pPr>
              <w:jc w:val="center"/>
            </w:pPr>
            <w:r>
              <w:rPr>
                <w:rFonts w:ascii="Arial" w:cs="Arial" w:eastAsia="Arial" w:hAnsi="Arial"/>
                <w:color w:val="3C3489"/>
                <w:sz w:val="14"/>
                <w:szCs w:val="14"/>
              </w:rPr>
              <w:t xml:space="preserve">advanced</w:t>
            </w:r>
          </w:p>
        </w:tc>
        <w:tc>
          <w:tcPr>
            <w:tcW w:type="dxa" w:w="900"/>
            <w:tcBorders>
              <w:top w:val="single" w:color="CCCCCC" w:sz="1"/>
              <w:left w:val="single" w:color="CCCCCC" w:sz="1"/>
              <w:bottom w:val="single" w:color="CCCCCC" w:sz="1"/>
              <w:right w:val="single" w:color="CCCCCC" w:sz="1"/>
            </w:tcBorders>
            <w:shd w:fill="F2F2F2" w:val="clear"/>
            <w:tcMar>
              <w:top w:type="dxa" w:w="60"/>
              <w:left w:type="dxa" w:w="60"/>
              <w:bottom w:type="dxa" w:w="60"/>
              <w:right w:type="dxa" w:w="60"/>
            </w:tcMar>
          </w:tcPr>
          <w:p>
            <w:pPr>
              <w:jc w:val="center"/>
            </w:pPr>
            <w:r>
              <w:rPr>
                <w:rFonts w:ascii="Arial" w:cs="Arial" w:eastAsia="Arial" w:hAnsi="Arial"/>
                <w:color w:val="404040"/>
                <w:sz w:val="16"/>
                <w:szCs w:val="16"/>
              </w:rPr>
              <w:t xml:space="preserve">P6</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tcPr>
          <w:p>
            <w:r>
              <w:rPr>
                <w:rFonts w:ascii="Arial" w:cs="Arial" w:eastAsia="Arial" w:hAnsi="Arial"/>
                <w:b/>
                <w:bCs/>
                <w:color w:val="3C3489"/>
                <w:sz w:val="16"/>
                <w:szCs w:val="16"/>
              </w:rPr>
              <w:t xml:space="preserve">6.6</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000000"/>
                <w:sz w:val="16"/>
                <w:szCs w:val="16"/>
              </w:rPr>
              <w:t xml:space="preserve">The namespace schema system — 19 namespaces, dataclasses, and RFC-grounded design</w:t>
            </w:r>
          </w:p>
        </w:tc>
        <w:tc>
          <w:tcPr>
            <w:tcW w:type="dxa" w:w="900"/>
            <w:tcBorders>
              <w:top w:val="single" w:color="CCCCCC" w:sz="1"/>
              <w:left w:val="single" w:color="CCCCCC" w:sz="1"/>
              <w:bottom w:val="single" w:color="CCCCCC" w:sz="1"/>
              <w:right w:val="single" w:color="CCCCCC" w:sz="1"/>
            </w:tcBorders>
            <w:shd w:fill="EEEDFE" w:val="clear"/>
            <w:tcMar>
              <w:top w:type="dxa" w:w="60"/>
              <w:left w:type="dxa" w:w="60"/>
              <w:bottom w:type="dxa" w:w="60"/>
              <w:right w:type="dxa" w:w="60"/>
            </w:tcMar>
          </w:tcPr>
          <w:p>
            <w:pPr>
              <w:jc w:val="center"/>
            </w:pPr>
            <w:r>
              <w:rPr>
                <w:rFonts w:ascii="Arial" w:cs="Arial" w:eastAsia="Arial" w:hAnsi="Arial"/>
                <w:color w:val="3C3489"/>
                <w:sz w:val="14"/>
                <w:szCs w:val="14"/>
              </w:rPr>
              <w:t xml:space="preserve">advanced</w:t>
            </w:r>
          </w:p>
        </w:tc>
        <w:tc>
          <w:tcPr>
            <w:tcW w:type="dxa" w:w="9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404040"/>
                <w:sz w:val="16"/>
                <w:szCs w:val="16"/>
              </w:rPr>
              <w:t xml:space="preserve">P6</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60"/>
            </w:tcMar>
          </w:tcPr>
          <w:p>
            <w:r>
              <w:rPr>
                <w:rFonts w:ascii="Arial" w:cs="Arial" w:eastAsia="Arial" w:hAnsi="Arial"/>
                <w:b/>
                <w:bCs/>
                <w:color w:val="3C3489"/>
                <w:sz w:val="16"/>
                <w:szCs w:val="16"/>
              </w:rPr>
              <w:t xml:space="preserve">6.7</w:t>
            </w:r>
          </w:p>
        </w:tc>
        <w:tc>
          <w:tcPr>
            <w:tcW w:type="dxa" w:w="6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color w:val="000000"/>
                <w:sz w:val="16"/>
                <w:szCs w:val="16"/>
              </w:rPr>
              <w:t xml:space="preserve">The plugin system — entry-point discovery and third-party scorer registration</w:t>
            </w:r>
          </w:p>
        </w:tc>
        <w:tc>
          <w:tcPr>
            <w:tcW w:type="dxa" w:w="900"/>
            <w:tcBorders>
              <w:top w:val="single" w:color="CCCCCC" w:sz="1"/>
              <w:left w:val="single" w:color="CCCCCC" w:sz="1"/>
              <w:bottom w:val="single" w:color="CCCCCC" w:sz="1"/>
              <w:right w:val="single" w:color="CCCCCC" w:sz="1"/>
            </w:tcBorders>
            <w:shd w:fill="EEEDFE" w:val="clear"/>
            <w:tcMar>
              <w:top w:type="dxa" w:w="60"/>
              <w:left w:type="dxa" w:w="60"/>
              <w:bottom w:type="dxa" w:w="60"/>
              <w:right w:type="dxa" w:w="60"/>
            </w:tcMar>
          </w:tcPr>
          <w:p>
            <w:pPr>
              <w:jc w:val="center"/>
            </w:pPr>
            <w:r>
              <w:rPr>
                <w:rFonts w:ascii="Arial" w:cs="Arial" w:eastAsia="Arial" w:hAnsi="Arial"/>
                <w:color w:val="3C3489"/>
                <w:sz w:val="14"/>
                <w:szCs w:val="14"/>
              </w:rPr>
              <w:t xml:space="preserve">advanced</w:t>
            </w:r>
          </w:p>
        </w:tc>
        <w:tc>
          <w:tcPr>
            <w:tcW w:type="dxa" w:w="900"/>
            <w:tcBorders>
              <w:top w:val="single" w:color="CCCCCC" w:sz="1"/>
              <w:left w:val="single" w:color="CCCCCC" w:sz="1"/>
              <w:bottom w:val="single" w:color="CCCCCC" w:sz="1"/>
              <w:right w:val="single" w:color="CCCCCC" w:sz="1"/>
            </w:tcBorders>
            <w:shd w:fill="F2F2F2" w:val="clear"/>
            <w:tcMar>
              <w:top w:type="dxa" w:w="60"/>
              <w:left w:type="dxa" w:w="60"/>
              <w:bottom w:type="dxa" w:w="60"/>
              <w:right w:type="dxa" w:w="60"/>
            </w:tcMar>
          </w:tcPr>
          <w:p>
            <w:pPr>
              <w:jc w:val="center"/>
            </w:pPr>
            <w:r>
              <w:rPr>
                <w:rFonts w:ascii="Arial" w:cs="Arial" w:eastAsia="Arial" w:hAnsi="Arial"/>
                <w:color w:val="404040"/>
                <w:sz w:val="16"/>
                <w:szCs w:val="16"/>
              </w:rPr>
              <w:t xml:space="preserve">P6</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tcPr>
          <w:p>
            <w:r>
              <w:rPr>
                <w:rFonts w:ascii="Arial" w:cs="Arial" w:eastAsia="Arial" w:hAnsi="Arial"/>
                <w:b/>
                <w:bCs/>
                <w:color w:val="3C3489"/>
                <w:sz w:val="16"/>
                <w:szCs w:val="16"/>
              </w:rPr>
              <w:t xml:space="preserve">6.8</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000000"/>
                <w:sz w:val="16"/>
                <w:szCs w:val="16"/>
              </w:rPr>
              <w:t xml:space="preserve">Auto-instrumentation — monkey-patching 8 providers without breaking their APIs</w:t>
            </w:r>
          </w:p>
        </w:tc>
        <w:tc>
          <w:tcPr>
            <w:tcW w:type="dxa" w:w="900"/>
            <w:tcBorders>
              <w:top w:val="single" w:color="CCCCCC" w:sz="1"/>
              <w:left w:val="single" w:color="CCCCCC" w:sz="1"/>
              <w:bottom w:val="single" w:color="CCCCCC" w:sz="1"/>
              <w:right w:val="single" w:color="CCCCCC" w:sz="1"/>
            </w:tcBorders>
            <w:shd w:fill="EEEDFE" w:val="clear"/>
            <w:tcMar>
              <w:top w:type="dxa" w:w="60"/>
              <w:left w:type="dxa" w:w="60"/>
              <w:bottom w:type="dxa" w:w="60"/>
              <w:right w:type="dxa" w:w="60"/>
            </w:tcMar>
          </w:tcPr>
          <w:p>
            <w:pPr>
              <w:jc w:val="center"/>
            </w:pPr>
            <w:r>
              <w:rPr>
                <w:rFonts w:ascii="Arial" w:cs="Arial" w:eastAsia="Arial" w:hAnsi="Arial"/>
                <w:color w:val="3C3489"/>
                <w:sz w:val="14"/>
                <w:szCs w:val="14"/>
              </w:rPr>
              <w:t xml:space="preserve">advanced</w:t>
            </w:r>
          </w:p>
        </w:tc>
        <w:tc>
          <w:tcPr>
            <w:tcW w:type="dxa" w:w="9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404040"/>
                <w:sz w:val="16"/>
                <w:szCs w:val="16"/>
              </w:rPr>
              <w:t xml:space="preserve">P6</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60"/>
            </w:tcMar>
          </w:tcPr>
          <w:p>
            <w:r>
              <w:rPr>
                <w:rFonts w:ascii="Arial" w:cs="Arial" w:eastAsia="Arial" w:hAnsi="Arial"/>
                <w:b/>
                <w:bCs/>
                <w:color w:val="3C3489"/>
                <w:sz w:val="16"/>
                <w:szCs w:val="16"/>
              </w:rPr>
              <w:t xml:space="preserve">6.9</w:t>
            </w:r>
          </w:p>
        </w:tc>
        <w:tc>
          <w:tcPr>
            <w:tcW w:type="dxa" w:w="6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color w:val="000000"/>
                <w:sz w:val="16"/>
                <w:szCs w:val="16"/>
              </w:rPr>
              <w:t xml:space="preserve">The prompt registry — versioning, A/B routing, and reproducible audit trails</w:t>
            </w:r>
          </w:p>
        </w:tc>
        <w:tc>
          <w:tcPr>
            <w:tcW w:type="dxa" w:w="900"/>
            <w:tcBorders>
              <w:top w:val="single" w:color="CCCCCC" w:sz="1"/>
              <w:left w:val="single" w:color="CCCCCC" w:sz="1"/>
              <w:bottom w:val="single" w:color="CCCCCC" w:sz="1"/>
              <w:right w:val="single" w:color="CCCCCC" w:sz="1"/>
            </w:tcBorders>
            <w:shd w:fill="EEEDFE" w:val="clear"/>
            <w:tcMar>
              <w:top w:type="dxa" w:w="60"/>
              <w:left w:type="dxa" w:w="60"/>
              <w:bottom w:type="dxa" w:w="60"/>
              <w:right w:type="dxa" w:w="60"/>
            </w:tcMar>
          </w:tcPr>
          <w:p>
            <w:pPr>
              <w:jc w:val="center"/>
            </w:pPr>
            <w:r>
              <w:rPr>
                <w:rFonts w:ascii="Arial" w:cs="Arial" w:eastAsia="Arial" w:hAnsi="Arial"/>
                <w:color w:val="3C3489"/>
                <w:sz w:val="14"/>
                <w:szCs w:val="14"/>
              </w:rPr>
              <w:t xml:space="preserve">advanced</w:t>
            </w:r>
          </w:p>
        </w:tc>
        <w:tc>
          <w:tcPr>
            <w:tcW w:type="dxa" w:w="900"/>
            <w:tcBorders>
              <w:top w:val="single" w:color="CCCCCC" w:sz="1"/>
              <w:left w:val="single" w:color="CCCCCC" w:sz="1"/>
              <w:bottom w:val="single" w:color="CCCCCC" w:sz="1"/>
              <w:right w:val="single" w:color="CCCCCC" w:sz="1"/>
            </w:tcBorders>
            <w:shd w:fill="F2F2F2" w:val="clear"/>
            <w:tcMar>
              <w:top w:type="dxa" w:w="60"/>
              <w:left w:type="dxa" w:w="60"/>
              <w:bottom w:type="dxa" w:w="60"/>
              <w:right w:type="dxa" w:w="60"/>
            </w:tcMar>
          </w:tcPr>
          <w:p>
            <w:pPr>
              <w:jc w:val="center"/>
            </w:pPr>
            <w:r>
              <w:rPr>
                <w:rFonts w:ascii="Arial" w:cs="Arial" w:eastAsia="Arial" w:hAnsi="Arial"/>
                <w:color w:val="404040"/>
                <w:sz w:val="16"/>
                <w:szCs w:val="16"/>
              </w:rPr>
              <w:t xml:space="preserve">P6</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tcPr>
          <w:p>
            <w:r>
              <w:rPr>
                <w:rFonts w:ascii="Arial" w:cs="Arial" w:eastAsia="Arial" w:hAnsi="Arial"/>
                <w:b/>
                <w:bCs/>
                <w:color w:val="3C3489"/>
                <w:sz w:val="16"/>
                <w:szCs w:val="16"/>
              </w:rPr>
              <w:t xml:space="preserve">6.10</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000000"/>
                <w:sz w:val="16"/>
                <w:szCs w:val="16"/>
              </w:rPr>
              <w:t xml:space="preserve">Model registry — lifecycle tracking (active → deprecated → retired) with HMAC events</w:t>
            </w:r>
          </w:p>
        </w:tc>
        <w:tc>
          <w:tcPr>
            <w:tcW w:type="dxa" w:w="900"/>
            <w:tcBorders>
              <w:top w:val="single" w:color="CCCCCC" w:sz="1"/>
              <w:left w:val="single" w:color="CCCCCC" w:sz="1"/>
              <w:bottom w:val="single" w:color="CCCCCC" w:sz="1"/>
              <w:right w:val="single" w:color="CCCCCC" w:sz="1"/>
            </w:tcBorders>
            <w:shd w:fill="EEEDFE" w:val="clear"/>
            <w:tcMar>
              <w:top w:type="dxa" w:w="60"/>
              <w:left w:type="dxa" w:w="60"/>
              <w:bottom w:type="dxa" w:w="60"/>
              <w:right w:type="dxa" w:w="60"/>
            </w:tcMar>
          </w:tcPr>
          <w:p>
            <w:pPr>
              <w:jc w:val="center"/>
            </w:pPr>
            <w:r>
              <w:rPr>
                <w:rFonts w:ascii="Arial" w:cs="Arial" w:eastAsia="Arial" w:hAnsi="Arial"/>
                <w:color w:val="3C3489"/>
                <w:sz w:val="14"/>
                <w:szCs w:val="14"/>
              </w:rPr>
              <w:t xml:space="preserve">advanced</w:t>
            </w:r>
          </w:p>
        </w:tc>
        <w:tc>
          <w:tcPr>
            <w:tcW w:type="dxa" w:w="9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404040"/>
                <w:sz w:val="16"/>
                <w:szCs w:val="16"/>
              </w:rPr>
              <w:t xml:space="preserve">P6</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60"/>
            </w:tcMar>
          </w:tcPr>
          <w:p>
            <w:r>
              <w:rPr>
                <w:rFonts w:ascii="Arial" w:cs="Arial" w:eastAsia="Arial" w:hAnsi="Arial"/>
                <w:b/>
                <w:bCs/>
                <w:color w:val="3C3489"/>
                <w:sz w:val="16"/>
                <w:szCs w:val="16"/>
              </w:rPr>
              <w:t xml:space="preserve">6.11</w:t>
            </w:r>
          </w:p>
        </w:tc>
        <w:tc>
          <w:tcPr>
            <w:tcW w:type="dxa" w:w="6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color w:val="000000"/>
                <w:sz w:val="16"/>
                <w:szCs w:val="16"/>
              </w:rPr>
              <w:t xml:space="preserve">Schema migration — v1 → v2 event migration and the MD5 rehash pattern</w:t>
            </w:r>
          </w:p>
        </w:tc>
        <w:tc>
          <w:tcPr>
            <w:tcW w:type="dxa" w:w="900"/>
            <w:tcBorders>
              <w:top w:val="single" w:color="CCCCCC" w:sz="1"/>
              <w:left w:val="single" w:color="CCCCCC" w:sz="1"/>
              <w:bottom w:val="single" w:color="CCCCCC" w:sz="1"/>
              <w:right w:val="single" w:color="CCCCCC" w:sz="1"/>
            </w:tcBorders>
            <w:shd w:fill="EEEDFE" w:val="clear"/>
            <w:tcMar>
              <w:top w:type="dxa" w:w="60"/>
              <w:left w:type="dxa" w:w="60"/>
              <w:bottom w:type="dxa" w:w="60"/>
              <w:right w:type="dxa" w:w="60"/>
            </w:tcMar>
          </w:tcPr>
          <w:p>
            <w:pPr>
              <w:jc w:val="center"/>
            </w:pPr>
            <w:r>
              <w:rPr>
                <w:rFonts w:ascii="Arial" w:cs="Arial" w:eastAsia="Arial" w:hAnsi="Arial"/>
                <w:color w:val="3C3489"/>
                <w:sz w:val="14"/>
                <w:szCs w:val="14"/>
              </w:rPr>
              <w:t xml:space="preserve">advanced</w:t>
            </w:r>
          </w:p>
        </w:tc>
        <w:tc>
          <w:tcPr>
            <w:tcW w:type="dxa" w:w="900"/>
            <w:tcBorders>
              <w:top w:val="single" w:color="CCCCCC" w:sz="1"/>
              <w:left w:val="single" w:color="CCCCCC" w:sz="1"/>
              <w:bottom w:val="single" w:color="CCCCCC" w:sz="1"/>
              <w:right w:val="single" w:color="CCCCCC" w:sz="1"/>
            </w:tcBorders>
            <w:shd w:fill="F2F2F2" w:val="clear"/>
            <w:tcMar>
              <w:top w:type="dxa" w:w="60"/>
              <w:left w:type="dxa" w:w="60"/>
              <w:bottom w:type="dxa" w:w="60"/>
              <w:right w:type="dxa" w:w="60"/>
            </w:tcMar>
          </w:tcPr>
          <w:p>
            <w:pPr>
              <w:jc w:val="center"/>
            </w:pPr>
            <w:r>
              <w:rPr>
                <w:rFonts w:ascii="Arial" w:cs="Arial" w:eastAsia="Arial" w:hAnsi="Arial"/>
                <w:color w:val="404040"/>
                <w:sz w:val="16"/>
                <w:szCs w:val="16"/>
              </w:rPr>
              <w:t xml:space="preserve">P6</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tcPr>
          <w:p>
            <w:r>
              <w:rPr>
                <w:rFonts w:ascii="Arial" w:cs="Arial" w:eastAsia="Arial" w:hAnsi="Arial"/>
                <w:b/>
                <w:bCs/>
                <w:color w:val="3C3489"/>
                <w:sz w:val="16"/>
                <w:szCs w:val="16"/>
              </w:rPr>
              <w:t xml:space="preserve">6.12</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000000"/>
                <w:sz w:val="16"/>
                <w:szCs w:val="16"/>
              </w:rPr>
              <w:t xml:space="preserve">The CI/CD gate pipeline — YAML-driven pass conditions, 6-gate architecture, SLSA</w:t>
            </w:r>
          </w:p>
        </w:tc>
        <w:tc>
          <w:tcPr>
            <w:tcW w:type="dxa" w:w="900"/>
            <w:tcBorders>
              <w:top w:val="single" w:color="CCCCCC" w:sz="1"/>
              <w:left w:val="single" w:color="CCCCCC" w:sz="1"/>
              <w:bottom w:val="single" w:color="CCCCCC" w:sz="1"/>
              <w:right w:val="single" w:color="CCCCCC" w:sz="1"/>
            </w:tcBorders>
            <w:shd w:fill="EEEDFE" w:val="clear"/>
            <w:tcMar>
              <w:top w:type="dxa" w:w="60"/>
              <w:left w:type="dxa" w:w="60"/>
              <w:bottom w:type="dxa" w:w="60"/>
              <w:right w:type="dxa" w:w="60"/>
            </w:tcMar>
          </w:tcPr>
          <w:p>
            <w:pPr>
              <w:jc w:val="center"/>
            </w:pPr>
            <w:r>
              <w:rPr>
                <w:rFonts w:ascii="Arial" w:cs="Arial" w:eastAsia="Arial" w:hAnsi="Arial"/>
                <w:color w:val="3C3489"/>
                <w:sz w:val="14"/>
                <w:szCs w:val="14"/>
              </w:rPr>
              <w:t xml:space="preserve">advanced</w:t>
            </w:r>
          </w:p>
        </w:tc>
        <w:tc>
          <w:tcPr>
            <w:tcW w:type="dxa" w:w="9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404040"/>
                <w:sz w:val="16"/>
                <w:szCs w:val="16"/>
              </w:rPr>
              <w:t xml:space="preserve">P6</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60"/>
            </w:tcMar>
          </w:tcPr>
          <w:p>
            <w:r>
              <w:rPr>
                <w:rFonts w:ascii="Arial" w:cs="Arial" w:eastAsia="Arial" w:hAnsi="Arial"/>
                <w:b/>
                <w:bCs/>
                <w:color w:val="3C3489"/>
                <w:sz w:val="16"/>
                <w:szCs w:val="16"/>
              </w:rPr>
              <w:t xml:space="preserve">7.1</w:t>
            </w:r>
          </w:p>
        </w:tc>
        <w:tc>
          <w:tcPr>
            <w:tcW w:type="dxa" w:w="6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color w:val="000000"/>
                <w:sz w:val="16"/>
                <w:szCs w:val="16"/>
              </w:rPr>
              <w:t xml:space="preserve">Multi-tenancy — project isolation, HMAC chain scoping, cross-project query guards</w:t>
            </w:r>
          </w:p>
        </w:tc>
        <w:tc>
          <w:tcPr>
            <w:tcW w:type="dxa" w:w="900"/>
            <w:tcBorders>
              <w:top w:val="single" w:color="CCCCCC" w:sz="1"/>
              <w:left w:val="single" w:color="CCCCCC" w:sz="1"/>
              <w:bottom w:val="single" w:color="CCCCCC" w:sz="1"/>
              <w:right w:val="single" w:color="CCCCCC" w:sz="1"/>
            </w:tcBorders>
            <w:shd w:fill="EEEDFE" w:val="clear"/>
            <w:tcMar>
              <w:top w:type="dxa" w:w="60"/>
              <w:left w:type="dxa" w:w="60"/>
              <w:bottom w:type="dxa" w:w="60"/>
              <w:right w:type="dxa" w:w="60"/>
            </w:tcMar>
          </w:tcPr>
          <w:p>
            <w:pPr>
              <w:jc w:val="center"/>
            </w:pPr>
            <w:r>
              <w:rPr>
                <w:rFonts w:ascii="Arial" w:cs="Arial" w:eastAsia="Arial" w:hAnsi="Arial"/>
                <w:color w:val="3C3489"/>
                <w:sz w:val="14"/>
                <w:szCs w:val="14"/>
              </w:rPr>
              <w:t xml:space="preserve">advanced</w:t>
            </w:r>
          </w:p>
        </w:tc>
        <w:tc>
          <w:tcPr>
            <w:tcW w:type="dxa" w:w="900"/>
            <w:tcBorders>
              <w:top w:val="single" w:color="CCCCCC" w:sz="1"/>
              <w:left w:val="single" w:color="CCCCCC" w:sz="1"/>
              <w:bottom w:val="single" w:color="CCCCCC" w:sz="1"/>
              <w:right w:val="single" w:color="CCCCCC" w:sz="1"/>
            </w:tcBorders>
            <w:shd w:fill="F2F2F2" w:val="clear"/>
            <w:tcMar>
              <w:top w:type="dxa" w:w="60"/>
              <w:left w:type="dxa" w:w="60"/>
              <w:bottom w:type="dxa" w:w="60"/>
              <w:right w:type="dxa" w:w="60"/>
            </w:tcMar>
          </w:tcPr>
          <w:p>
            <w:pPr>
              <w:jc w:val="center"/>
            </w:pPr>
            <w:r>
              <w:rPr>
                <w:rFonts w:ascii="Arial" w:cs="Arial" w:eastAsia="Arial" w:hAnsi="Arial"/>
                <w:color w:val="404040"/>
                <w:sz w:val="16"/>
                <w:szCs w:val="16"/>
              </w:rPr>
              <w:t xml:space="preserve">P7</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tcPr>
          <w:p>
            <w:r>
              <w:rPr>
                <w:rFonts w:ascii="Arial" w:cs="Arial" w:eastAsia="Arial" w:hAnsi="Arial"/>
                <w:b/>
                <w:bCs/>
                <w:color w:val="3C3489"/>
                <w:sz w:val="16"/>
                <w:szCs w:val="16"/>
              </w:rPr>
              <w:t xml:space="preserve">7.2</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000000"/>
                <w:sz w:val="16"/>
                <w:szCs w:val="16"/>
              </w:rPr>
              <w:t xml:space="preserve">Data residency — EU, US, APAC, India routing and enforcement at the SDK layer</w:t>
            </w:r>
          </w:p>
        </w:tc>
        <w:tc>
          <w:tcPr>
            <w:tcW w:type="dxa" w:w="900"/>
            <w:tcBorders>
              <w:top w:val="single" w:color="CCCCCC" w:sz="1"/>
              <w:left w:val="single" w:color="CCCCCC" w:sz="1"/>
              <w:bottom w:val="single" w:color="CCCCCC" w:sz="1"/>
              <w:right w:val="single" w:color="CCCCCC" w:sz="1"/>
            </w:tcBorders>
            <w:shd w:fill="EEEDFE" w:val="clear"/>
            <w:tcMar>
              <w:top w:type="dxa" w:w="60"/>
              <w:left w:type="dxa" w:w="60"/>
              <w:bottom w:type="dxa" w:w="60"/>
              <w:right w:type="dxa" w:w="60"/>
            </w:tcMar>
          </w:tcPr>
          <w:p>
            <w:pPr>
              <w:jc w:val="center"/>
            </w:pPr>
            <w:r>
              <w:rPr>
                <w:rFonts w:ascii="Arial" w:cs="Arial" w:eastAsia="Arial" w:hAnsi="Arial"/>
                <w:color w:val="3C3489"/>
                <w:sz w:val="14"/>
                <w:szCs w:val="14"/>
              </w:rPr>
              <w:t xml:space="preserve">advanced</w:t>
            </w:r>
          </w:p>
        </w:tc>
        <w:tc>
          <w:tcPr>
            <w:tcW w:type="dxa" w:w="9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404040"/>
                <w:sz w:val="16"/>
                <w:szCs w:val="16"/>
              </w:rPr>
              <w:t xml:space="preserve">P7</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60"/>
            </w:tcMar>
          </w:tcPr>
          <w:p>
            <w:r>
              <w:rPr>
                <w:rFonts w:ascii="Arial" w:cs="Arial" w:eastAsia="Arial" w:hAnsi="Arial"/>
                <w:b/>
                <w:bCs/>
                <w:color w:val="3C3489"/>
                <w:sz w:val="16"/>
                <w:szCs w:val="16"/>
              </w:rPr>
              <w:t xml:space="preserve">7.3</w:t>
            </w:r>
          </w:p>
        </w:tc>
        <w:tc>
          <w:tcPr>
            <w:tcW w:type="dxa" w:w="6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color w:val="000000"/>
                <w:sz w:val="16"/>
                <w:szCs w:val="16"/>
              </w:rPr>
              <w:t xml:space="preserve">Encryption at rest — AES-256-GCM, envelope encryption, and cloud KMS integration</w:t>
            </w:r>
          </w:p>
        </w:tc>
        <w:tc>
          <w:tcPr>
            <w:tcW w:type="dxa" w:w="900"/>
            <w:tcBorders>
              <w:top w:val="single" w:color="CCCCCC" w:sz="1"/>
              <w:left w:val="single" w:color="CCCCCC" w:sz="1"/>
              <w:bottom w:val="single" w:color="CCCCCC" w:sz="1"/>
              <w:right w:val="single" w:color="CCCCCC" w:sz="1"/>
            </w:tcBorders>
            <w:shd w:fill="EEEDFE" w:val="clear"/>
            <w:tcMar>
              <w:top w:type="dxa" w:w="60"/>
              <w:left w:type="dxa" w:w="60"/>
              <w:bottom w:type="dxa" w:w="60"/>
              <w:right w:type="dxa" w:w="60"/>
            </w:tcMar>
          </w:tcPr>
          <w:p>
            <w:pPr>
              <w:jc w:val="center"/>
            </w:pPr>
            <w:r>
              <w:rPr>
                <w:rFonts w:ascii="Arial" w:cs="Arial" w:eastAsia="Arial" w:hAnsi="Arial"/>
                <w:color w:val="3C3489"/>
                <w:sz w:val="14"/>
                <w:szCs w:val="14"/>
              </w:rPr>
              <w:t xml:space="preserve">advanced</w:t>
            </w:r>
          </w:p>
        </w:tc>
        <w:tc>
          <w:tcPr>
            <w:tcW w:type="dxa" w:w="900"/>
            <w:tcBorders>
              <w:top w:val="single" w:color="CCCCCC" w:sz="1"/>
              <w:left w:val="single" w:color="CCCCCC" w:sz="1"/>
              <w:bottom w:val="single" w:color="CCCCCC" w:sz="1"/>
              <w:right w:val="single" w:color="CCCCCC" w:sz="1"/>
            </w:tcBorders>
            <w:shd w:fill="F2F2F2" w:val="clear"/>
            <w:tcMar>
              <w:top w:type="dxa" w:w="60"/>
              <w:left w:type="dxa" w:w="60"/>
              <w:bottom w:type="dxa" w:w="60"/>
              <w:right w:type="dxa" w:w="60"/>
            </w:tcMar>
          </w:tcPr>
          <w:p>
            <w:pPr>
              <w:jc w:val="center"/>
            </w:pPr>
            <w:r>
              <w:rPr>
                <w:rFonts w:ascii="Arial" w:cs="Arial" w:eastAsia="Arial" w:hAnsi="Arial"/>
                <w:color w:val="404040"/>
                <w:sz w:val="16"/>
                <w:szCs w:val="16"/>
              </w:rPr>
              <w:t xml:space="preserve">P7</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tcPr>
          <w:p>
            <w:r>
              <w:rPr>
                <w:rFonts w:ascii="Arial" w:cs="Arial" w:eastAsia="Arial" w:hAnsi="Arial"/>
                <w:b/>
                <w:bCs/>
                <w:color w:val="3C3489"/>
                <w:sz w:val="16"/>
                <w:szCs w:val="16"/>
              </w:rPr>
              <w:t xml:space="preserve">7.4</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000000"/>
                <w:sz w:val="16"/>
                <w:szCs w:val="16"/>
              </w:rPr>
              <w:t xml:space="preserve">mTLS and FIPS 140-2 mode — certificate rotation and algorithm restriction</w:t>
            </w:r>
          </w:p>
        </w:tc>
        <w:tc>
          <w:tcPr>
            <w:tcW w:type="dxa" w:w="900"/>
            <w:tcBorders>
              <w:top w:val="single" w:color="CCCCCC" w:sz="1"/>
              <w:left w:val="single" w:color="CCCCCC" w:sz="1"/>
              <w:bottom w:val="single" w:color="CCCCCC" w:sz="1"/>
              <w:right w:val="single" w:color="CCCCCC" w:sz="1"/>
            </w:tcBorders>
            <w:shd w:fill="EEEDFE" w:val="clear"/>
            <w:tcMar>
              <w:top w:type="dxa" w:w="60"/>
              <w:left w:type="dxa" w:w="60"/>
              <w:bottom w:type="dxa" w:w="60"/>
              <w:right w:type="dxa" w:w="60"/>
            </w:tcMar>
          </w:tcPr>
          <w:p>
            <w:pPr>
              <w:jc w:val="center"/>
            </w:pPr>
            <w:r>
              <w:rPr>
                <w:rFonts w:ascii="Arial" w:cs="Arial" w:eastAsia="Arial" w:hAnsi="Arial"/>
                <w:color w:val="3C3489"/>
                <w:sz w:val="14"/>
                <w:szCs w:val="14"/>
              </w:rPr>
              <w:t xml:space="preserve">advanced</w:t>
            </w:r>
          </w:p>
        </w:tc>
        <w:tc>
          <w:tcPr>
            <w:tcW w:type="dxa" w:w="9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404040"/>
                <w:sz w:val="16"/>
                <w:szCs w:val="16"/>
              </w:rPr>
              <w:t xml:space="preserve">P7</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60"/>
            </w:tcMar>
          </w:tcPr>
          <w:p>
            <w:r>
              <w:rPr>
                <w:rFonts w:ascii="Arial" w:cs="Arial" w:eastAsia="Arial" w:hAnsi="Arial"/>
                <w:b/>
                <w:bCs/>
                <w:color w:val="3C3489"/>
                <w:sz w:val="16"/>
                <w:szCs w:val="16"/>
              </w:rPr>
              <w:t xml:space="preserve">7.5</w:t>
            </w:r>
          </w:p>
        </w:tc>
        <w:tc>
          <w:tcPr>
            <w:tcW w:type="dxa" w:w="6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color w:val="000000"/>
                <w:sz w:val="16"/>
                <w:szCs w:val="16"/>
              </w:rPr>
              <w:t xml:space="preserve">Air-gap deployment — offline mode, Docker Compose self-hosted stack, Helm chart</w:t>
            </w:r>
          </w:p>
        </w:tc>
        <w:tc>
          <w:tcPr>
            <w:tcW w:type="dxa" w:w="900"/>
            <w:tcBorders>
              <w:top w:val="single" w:color="CCCCCC" w:sz="1"/>
              <w:left w:val="single" w:color="CCCCCC" w:sz="1"/>
              <w:bottom w:val="single" w:color="CCCCCC" w:sz="1"/>
              <w:right w:val="single" w:color="CCCCCC" w:sz="1"/>
            </w:tcBorders>
            <w:shd w:fill="EEEDFE" w:val="clear"/>
            <w:tcMar>
              <w:top w:type="dxa" w:w="60"/>
              <w:left w:type="dxa" w:w="60"/>
              <w:bottom w:type="dxa" w:w="60"/>
              <w:right w:type="dxa" w:w="60"/>
            </w:tcMar>
          </w:tcPr>
          <w:p>
            <w:pPr>
              <w:jc w:val="center"/>
            </w:pPr>
            <w:r>
              <w:rPr>
                <w:rFonts w:ascii="Arial" w:cs="Arial" w:eastAsia="Arial" w:hAnsi="Arial"/>
                <w:color w:val="3C3489"/>
                <w:sz w:val="14"/>
                <w:szCs w:val="14"/>
              </w:rPr>
              <w:t xml:space="preserve">advanced</w:t>
            </w:r>
          </w:p>
        </w:tc>
        <w:tc>
          <w:tcPr>
            <w:tcW w:type="dxa" w:w="900"/>
            <w:tcBorders>
              <w:top w:val="single" w:color="CCCCCC" w:sz="1"/>
              <w:left w:val="single" w:color="CCCCCC" w:sz="1"/>
              <w:bottom w:val="single" w:color="CCCCCC" w:sz="1"/>
              <w:right w:val="single" w:color="CCCCCC" w:sz="1"/>
            </w:tcBorders>
            <w:shd w:fill="F2F2F2" w:val="clear"/>
            <w:tcMar>
              <w:top w:type="dxa" w:w="60"/>
              <w:left w:type="dxa" w:w="60"/>
              <w:bottom w:type="dxa" w:w="60"/>
              <w:right w:type="dxa" w:w="60"/>
            </w:tcMar>
          </w:tcPr>
          <w:p>
            <w:pPr>
              <w:jc w:val="center"/>
            </w:pPr>
            <w:r>
              <w:rPr>
                <w:rFonts w:ascii="Arial" w:cs="Arial" w:eastAsia="Arial" w:hAnsi="Arial"/>
                <w:color w:val="404040"/>
                <w:sz w:val="16"/>
                <w:szCs w:val="16"/>
              </w:rPr>
              <w:t xml:space="preserve">P7</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tcPr>
          <w:p>
            <w:r>
              <w:rPr>
                <w:rFonts w:ascii="Arial" w:cs="Arial" w:eastAsia="Arial" w:hAnsi="Arial"/>
                <w:b/>
                <w:bCs/>
                <w:color w:val="3C3489"/>
                <w:sz w:val="16"/>
                <w:szCs w:val="16"/>
              </w:rPr>
              <w:t xml:space="preserve">7.6</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000000"/>
                <w:sz w:val="16"/>
                <w:szCs w:val="16"/>
              </w:rPr>
              <w:t xml:space="preserve">OWASP API Security Top 10 — each category as a code-level checklist</w:t>
            </w:r>
          </w:p>
        </w:tc>
        <w:tc>
          <w:tcPr>
            <w:tcW w:type="dxa" w:w="900"/>
            <w:tcBorders>
              <w:top w:val="single" w:color="CCCCCC" w:sz="1"/>
              <w:left w:val="single" w:color="CCCCCC" w:sz="1"/>
              <w:bottom w:val="single" w:color="CCCCCC" w:sz="1"/>
              <w:right w:val="single" w:color="CCCCCC" w:sz="1"/>
            </w:tcBorders>
            <w:shd w:fill="EEEDFE" w:val="clear"/>
            <w:tcMar>
              <w:top w:type="dxa" w:w="60"/>
              <w:left w:type="dxa" w:w="60"/>
              <w:bottom w:type="dxa" w:w="60"/>
              <w:right w:type="dxa" w:w="60"/>
            </w:tcMar>
          </w:tcPr>
          <w:p>
            <w:pPr>
              <w:jc w:val="center"/>
            </w:pPr>
            <w:r>
              <w:rPr>
                <w:rFonts w:ascii="Arial" w:cs="Arial" w:eastAsia="Arial" w:hAnsi="Arial"/>
                <w:color w:val="3C3489"/>
                <w:sz w:val="14"/>
                <w:szCs w:val="14"/>
              </w:rPr>
              <w:t xml:space="preserve">advanced</w:t>
            </w:r>
          </w:p>
        </w:tc>
        <w:tc>
          <w:tcPr>
            <w:tcW w:type="dxa" w:w="9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404040"/>
                <w:sz w:val="16"/>
                <w:szCs w:val="16"/>
              </w:rPr>
              <w:t xml:space="preserve">P7</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60"/>
            </w:tcMar>
          </w:tcPr>
          <w:p>
            <w:r>
              <w:rPr>
                <w:rFonts w:ascii="Arial" w:cs="Arial" w:eastAsia="Arial" w:hAnsi="Arial"/>
                <w:b/>
                <w:bCs/>
                <w:color w:val="3C3489"/>
                <w:sz w:val="16"/>
                <w:szCs w:val="16"/>
              </w:rPr>
              <w:t xml:space="preserve">7.7</w:t>
            </w:r>
          </w:p>
        </w:tc>
        <w:tc>
          <w:tcPr>
            <w:tcW w:type="dxa" w:w="6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color w:val="000000"/>
                <w:sz w:val="16"/>
                <w:szCs w:val="16"/>
              </w:rPr>
              <w:t xml:space="preserve">STRIDE threat modelling — applied to the 8 SpanForge service boundaries</w:t>
            </w:r>
          </w:p>
        </w:tc>
        <w:tc>
          <w:tcPr>
            <w:tcW w:type="dxa" w:w="900"/>
            <w:tcBorders>
              <w:top w:val="single" w:color="CCCCCC" w:sz="1"/>
              <w:left w:val="single" w:color="CCCCCC" w:sz="1"/>
              <w:bottom w:val="single" w:color="CCCCCC" w:sz="1"/>
              <w:right w:val="single" w:color="CCCCCC" w:sz="1"/>
            </w:tcBorders>
            <w:shd w:fill="EEEDFE" w:val="clear"/>
            <w:tcMar>
              <w:top w:type="dxa" w:w="60"/>
              <w:left w:type="dxa" w:w="60"/>
              <w:bottom w:type="dxa" w:w="60"/>
              <w:right w:type="dxa" w:w="60"/>
            </w:tcMar>
          </w:tcPr>
          <w:p>
            <w:pPr>
              <w:jc w:val="center"/>
            </w:pPr>
            <w:r>
              <w:rPr>
                <w:rFonts w:ascii="Arial" w:cs="Arial" w:eastAsia="Arial" w:hAnsi="Arial"/>
                <w:color w:val="3C3489"/>
                <w:sz w:val="14"/>
                <w:szCs w:val="14"/>
              </w:rPr>
              <w:t xml:space="preserve">advanced</w:t>
            </w:r>
          </w:p>
        </w:tc>
        <w:tc>
          <w:tcPr>
            <w:tcW w:type="dxa" w:w="900"/>
            <w:tcBorders>
              <w:top w:val="single" w:color="CCCCCC" w:sz="1"/>
              <w:left w:val="single" w:color="CCCCCC" w:sz="1"/>
              <w:bottom w:val="single" w:color="CCCCCC" w:sz="1"/>
              <w:right w:val="single" w:color="CCCCCC" w:sz="1"/>
            </w:tcBorders>
            <w:shd w:fill="F2F2F2" w:val="clear"/>
            <w:tcMar>
              <w:top w:type="dxa" w:w="60"/>
              <w:left w:type="dxa" w:w="60"/>
              <w:bottom w:type="dxa" w:w="60"/>
              <w:right w:type="dxa" w:w="60"/>
            </w:tcMar>
          </w:tcPr>
          <w:p>
            <w:pPr>
              <w:jc w:val="center"/>
            </w:pPr>
            <w:r>
              <w:rPr>
                <w:rFonts w:ascii="Arial" w:cs="Arial" w:eastAsia="Arial" w:hAnsi="Arial"/>
                <w:color w:val="404040"/>
                <w:sz w:val="16"/>
                <w:szCs w:val="16"/>
              </w:rPr>
              <w:t xml:space="preserve">P7</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tcPr>
          <w:p>
            <w:r>
              <w:rPr>
                <w:rFonts w:ascii="Arial" w:cs="Arial" w:eastAsia="Arial" w:hAnsi="Arial"/>
                <w:b/>
                <w:bCs/>
                <w:color w:val="3C3489"/>
                <w:sz w:val="16"/>
                <w:szCs w:val="16"/>
              </w:rPr>
              <w:t xml:space="preserve">7.8</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000000"/>
                <w:sz w:val="16"/>
                <w:szCs w:val="16"/>
              </w:rPr>
              <w:t xml:space="preserve">Supply chain security — CycloneDX SBOM, Sigstore/cosign, SLSA provenance</w:t>
            </w:r>
          </w:p>
        </w:tc>
        <w:tc>
          <w:tcPr>
            <w:tcW w:type="dxa" w:w="900"/>
            <w:tcBorders>
              <w:top w:val="single" w:color="CCCCCC" w:sz="1"/>
              <w:left w:val="single" w:color="CCCCCC" w:sz="1"/>
              <w:bottom w:val="single" w:color="CCCCCC" w:sz="1"/>
              <w:right w:val="single" w:color="CCCCCC" w:sz="1"/>
            </w:tcBorders>
            <w:shd w:fill="EEEDFE" w:val="clear"/>
            <w:tcMar>
              <w:top w:type="dxa" w:w="60"/>
              <w:left w:type="dxa" w:w="60"/>
              <w:bottom w:type="dxa" w:w="60"/>
              <w:right w:type="dxa" w:w="60"/>
            </w:tcMar>
          </w:tcPr>
          <w:p>
            <w:pPr>
              <w:jc w:val="center"/>
            </w:pPr>
            <w:r>
              <w:rPr>
                <w:rFonts w:ascii="Arial" w:cs="Arial" w:eastAsia="Arial" w:hAnsi="Arial"/>
                <w:color w:val="3C3489"/>
                <w:sz w:val="14"/>
                <w:szCs w:val="14"/>
              </w:rPr>
              <w:t xml:space="preserve">advanced</w:t>
            </w:r>
          </w:p>
        </w:tc>
        <w:tc>
          <w:tcPr>
            <w:tcW w:type="dxa" w:w="9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404040"/>
                <w:sz w:val="16"/>
                <w:szCs w:val="16"/>
              </w:rPr>
              <w:t xml:space="preserve">P7</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60"/>
            </w:tcMar>
          </w:tcPr>
          <w:p>
            <w:r>
              <w:rPr>
                <w:rFonts w:ascii="Arial" w:cs="Arial" w:eastAsia="Arial" w:hAnsi="Arial"/>
                <w:b/>
                <w:bCs/>
                <w:color w:val="085041"/>
                <w:sz w:val="16"/>
                <w:szCs w:val="16"/>
              </w:rPr>
              <w:t xml:space="preserve">8.1</w:t>
            </w:r>
          </w:p>
        </w:tc>
        <w:tc>
          <w:tcPr>
            <w:tcW w:type="dxa" w:w="6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color w:val="000000"/>
                <w:sz w:val="16"/>
                <w:szCs w:val="16"/>
              </w:rPr>
              <w:t xml:space="preserve">Property-based testing with Hypothesis — strategies, settings, and invariant design</w:t>
            </w:r>
          </w:p>
        </w:tc>
        <w:tc>
          <w:tcPr>
            <w:tcW w:type="dxa" w:w="900"/>
            <w:tcBorders>
              <w:top w:val="single" w:color="CCCCCC" w:sz="1"/>
              <w:left w:val="single" w:color="CCCCCC" w:sz="1"/>
              <w:bottom w:val="single" w:color="CCCCCC" w:sz="1"/>
              <w:right w:val="single" w:color="CCCCCC" w:sz="1"/>
            </w:tcBorders>
            <w:shd w:fill="E1F5EE" w:val="clear"/>
            <w:tcMar>
              <w:top w:type="dxa" w:w="60"/>
              <w:left w:type="dxa" w:w="60"/>
              <w:bottom w:type="dxa" w:w="60"/>
              <w:right w:type="dxa" w:w="60"/>
            </w:tcMar>
          </w:tcPr>
          <w:p>
            <w:pPr>
              <w:jc w:val="center"/>
            </w:pPr>
            <w:r>
              <w:rPr>
                <w:rFonts w:ascii="Arial" w:cs="Arial" w:eastAsia="Arial" w:hAnsi="Arial"/>
                <w:color w:val="085041"/>
                <w:sz w:val="14"/>
                <w:szCs w:val="14"/>
              </w:rPr>
              <w:t xml:space="preserve">testing</w:t>
            </w:r>
          </w:p>
        </w:tc>
        <w:tc>
          <w:tcPr>
            <w:tcW w:type="dxa" w:w="900"/>
            <w:tcBorders>
              <w:top w:val="single" w:color="CCCCCC" w:sz="1"/>
              <w:left w:val="single" w:color="CCCCCC" w:sz="1"/>
              <w:bottom w:val="single" w:color="CCCCCC" w:sz="1"/>
              <w:right w:val="single" w:color="CCCCCC" w:sz="1"/>
            </w:tcBorders>
            <w:shd w:fill="F2F2F2" w:val="clear"/>
            <w:tcMar>
              <w:top w:type="dxa" w:w="60"/>
              <w:left w:type="dxa" w:w="60"/>
              <w:bottom w:type="dxa" w:w="60"/>
              <w:right w:type="dxa" w:w="60"/>
            </w:tcMar>
          </w:tcPr>
          <w:p>
            <w:pPr>
              <w:jc w:val="center"/>
            </w:pPr>
            <w:r>
              <w:rPr>
                <w:rFonts w:ascii="Arial" w:cs="Arial" w:eastAsia="Arial" w:hAnsi="Arial"/>
                <w:color w:val="404040"/>
                <w:sz w:val="16"/>
                <w:szCs w:val="16"/>
              </w:rPr>
              <w:t xml:space="preserve">P8</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tcPr>
          <w:p>
            <w:r>
              <w:rPr>
                <w:rFonts w:ascii="Arial" w:cs="Arial" w:eastAsia="Arial" w:hAnsi="Arial"/>
                <w:b/>
                <w:bCs/>
                <w:color w:val="085041"/>
                <w:sz w:val="16"/>
                <w:szCs w:val="16"/>
              </w:rPr>
              <w:t xml:space="preserve">8.2</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000000"/>
                <w:sz w:val="16"/>
                <w:szCs w:val="16"/>
              </w:rPr>
              <w:t xml:space="preserve">The conformance suite — portable JSON fixtures, clause IDs, and third-party verification</w:t>
            </w:r>
          </w:p>
        </w:tc>
        <w:tc>
          <w:tcPr>
            <w:tcW w:type="dxa" w:w="900"/>
            <w:tcBorders>
              <w:top w:val="single" w:color="CCCCCC" w:sz="1"/>
              <w:left w:val="single" w:color="CCCCCC" w:sz="1"/>
              <w:bottom w:val="single" w:color="CCCCCC" w:sz="1"/>
              <w:right w:val="single" w:color="CCCCCC" w:sz="1"/>
            </w:tcBorders>
            <w:shd w:fill="E1F5EE" w:val="clear"/>
            <w:tcMar>
              <w:top w:type="dxa" w:w="60"/>
              <w:left w:type="dxa" w:w="60"/>
              <w:bottom w:type="dxa" w:w="60"/>
              <w:right w:type="dxa" w:w="60"/>
            </w:tcMar>
          </w:tcPr>
          <w:p>
            <w:pPr>
              <w:jc w:val="center"/>
            </w:pPr>
            <w:r>
              <w:rPr>
                <w:rFonts w:ascii="Arial" w:cs="Arial" w:eastAsia="Arial" w:hAnsi="Arial"/>
                <w:color w:val="085041"/>
                <w:sz w:val="14"/>
                <w:szCs w:val="14"/>
              </w:rPr>
              <w:t xml:space="preserve">testing</w:t>
            </w:r>
          </w:p>
        </w:tc>
        <w:tc>
          <w:tcPr>
            <w:tcW w:type="dxa" w:w="9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404040"/>
                <w:sz w:val="16"/>
                <w:szCs w:val="16"/>
              </w:rPr>
              <w:t xml:space="preserve">P8</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60"/>
            </w:tcMar>
          </w:tcPr>
          <w:p>
            <w:r>
              <w:rPr>
                <w:rFonts w:ascii="Arial" w:cs="Arial" w:eastAsia="Arial" w:hAnsi="Arial"/>
                <w:b/>
                <w:bCs/>
                <w:color w:val="085041"/>
                <w:sz w:val="16"/>
                <w:szCs w:val="16"/>
              </w:rPr>
              <w:t xml:space="preserve">8.3</w:t>
            </w:r>
          </w:p>
        </w:tc>
        <w:tc>
          <w:tcPr>
            <w:tcW w:type="dxa" w:w="6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color w:val="000000"/>
                <w:sz w:val="16"/>
                <w:szCs w:val="16"/>
              </w:rPr>
              <w:t xml:space="preserve">The mock layer — mock_all_services(), call recording, and test isolation</w:t>
            </w:r>
          </w:p>
        </w:tc>
        <w:tc>
          <w:tcPr>
            <w:tcW w:type="dxa" w:w="900"/>
            <w:tcBorders>
              <w:top w:val="single" w:color="CCCCCC" w:sz="1"/>
              <w:left w:val="single" w:color="CCCCCC" w:sz="1"/>
              <w:bottom w:val="single" w:color="CCCCCC" w:sz="1"/>
              <w:right w:val="single" w:color="CCCCCC" w:sz="1"/>
            </w:tcBorders>
            <w:shd w:fill="E1F5EE" w:val="clear"/>
            <w:tcMar>
              <w:top w:type="dxa" w:w="60"/>
              <w:left w:type="dxa" w:w="60"/>
              <w:bottom w:type="dxa" w:w="60"/>
              <w:right w:type="dxa" w:w="60"/>
            </w:tcMar>
          </w:tcPr>
          <w:p>
            <w:pPr>
              <w:jc w:val="center"/>
            </w:pPr>
            <w:r>
              <w:rPr>
                <w:rFonts w:ascii="Arial" w:cs="Arial" w:eastAsia="Arial" w:hAnsi="Arial"/>
                <w:color w:val="085041"/>
                <w:sz w:val="14"/>
                <w:szCs w:val="14"/>
              </w:rPr>
              <w:t xml:space="preserve">testing</w:t>
            </w:r>
          </w:p>
        </w:tc>
        <w:tc>
          <w:tcPr>
            <w:tcW w:type="dxa" w:w="900"/>
            <w:tcBorders>
              <w:top w:val="single" w:color="CCCCCC" w:sz="1"/>
              <w:left w:val="single" w:color="CCCCCC" w:sz="1"/>
              <w:bottom w:val="single" w:color="CCCCCC" w:sz="1"/>
              <w:right w:val="single" w:color="CCCCCC" w:sz="1"/>
            </w:tcBorders>
            <w:shd w:fill="F2F2F2" w:val="clear"/>
            <w:tcMar>
              <w:top w:type="dxa" w:w="60"/>
              <w:left w:type="dxa" w:w="60"/>
              <w:bottom w:type="dxa" w:w="60"/>
              <w:right w:type="dxa" w:w="60"/>
            </w:tcMar>
          </w:tcPr>
          <w:p>
            <w:pPr>
              <w:jc w:val="center"/>
            </w:pPr>
            <w:r>
              <w:rPr>
                <w:rFonts w:ascii="Arial" w:cs="Arial" w:eastAsia="Arial" w:hAnsi="Arial"/>
                <w:color w:val="404040"/>
                <w:sz w:val="16"/>
                <w:szCs w:val="16"/>
              </w:rPr>
              <w:t xml:space="preserve">P8</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tcPr>
          <w:p>
            <w:r>
              <w:rPr>
                <w:rFonts w:ascii="Arial" w:cs="Arial" w:eastAsia="Arial" w:hAnsi="Arial"/>
                <w:b/>
                <w:bCs/>
                <w:color w:val="085041"/>
                <w:sz w:val="16"/>
                <w:szCs w:val="16"/>
              </w:rPr>
              <w:t xml:space="preserve">8.4</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000000"/>
                <w:sz w:val="16"/>
                <w:szCs w:val="16"/>
              </w:rPr>
              <w:t xml:space="preserve">Sandbox mode and the doctor CLI — zero-network local development</w:t>
            </w:r>
          </w:p>
        </w:tc>
        <w:tc>
          <w:tcPr>
            <w:tcW w:type="dxa" w:w="900"/>
            <w:tcBorders>
              <w:top w:val="single" w:color="CCCCCC" w:sz="1"/>
              <w:left w:val="single" w:color="CCCCCC" w:sz="1"/>
              <w:bottom w:val="single" w:color="CCCCCC" w:sz="1"/>
              <w:right w:val="single" w:color="CCCCCC" w:sz="1"/>
            </w:tcBorders>
            <w:shd w:fill="E1F5EE" w:val="clear"/>
            <w:tcMar>
              <w:top w:type="dxa" w:w="60"/>
              <w:left w:type="dxa" w:w="60"/>
              <w:bottom w:type="dxa" w:w="60"/>
              <w:right w:type="dxa" w:w="60"/>
            </w:tcMar>
          </w:tcPr>
          <w:p>
            <w:pPr>
              <w:jc w:val="center"/>
            </w:pPr>
            <w:r>
              <w:rPr>
                <w:rFonts w:ascii="Arial" w:cs="Arial" w:eastAsia="Arial" w:hAnsi="Arial"/>
                <w:color w:val="085041"/>
                <w:sz w:val="14"/>
                <w:szCs w:val="14"/>
              </w:rPr>
              <w:t xml:space="preserve">testing</w:t>
            </w:r>
          </w:p>
        </w:tc>
        <w:tc>
          <w:tcPr>
            <w:tcW w:type="dxa" w:w="9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404040"/>
                <w:sz w:val="16"/>
                <w:szCs w:val="16"/>
              </w:rPr>
              <w:t xml:space="preserve">P8</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60"/>
            </w:tcMar>
          </w:tcPr>
          <w:p>
            <w:r>
              <w:rPr>
                <w:rFonts w:ascii="Arial" w:cs="Arial" w:eastAsia="Arial" w:hAnsi="Arial"/>
                <w:b/>
                <w:bCs/>
                <w:color w:val="085041"/>
                <w:sz w:val="16"/>
                <w:szCs w:val="16"/>
              </w:rPr>
              <w:t xml:space="preserve">8.5</w:t>
            </w:r>
          </w:p>
        </w:tc>
        <w:tc>
          <w:tcPr>
            <w:tcW w:type="dxa" w:w="6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color w:val="000000"/>
                <w:sz w:val="16"/>
                <w:szCs w:val="16"/>
              </w:rPr>
              <w:t xml:space="preserve">Type stubs (.pyi) — writing stubs that make mypy strict and IDEs happy</w:t>
            </w:r>
          </w:p>
        </w:tc>
        <w:tc>
          <w:tcPr>
            <w:tcW w:type="dxa" w:w="900"/>
            <w:tcBorders>
              <w:top w:val="single" w:color="CCCCCC" w:sz="1"/>
              <w:left w:val="single" w:color="CCCCCC" w:sz="1"/>
              <w:bottom w:val="single" w:color="CCCCCC" w:sz="1"/>
              <w:right w:val="single" w:color="CCCCCC" w:sz="1"/>
            </w:tcBorders>
            <w:shd w:fill="E1F5EE" w:val="clear"/>
            <w:tcMar>
              <w:top w:type="dxa" w:w="60"/>
              <w:left w:type="dxa" w:w="60"/>
              <w:bottom w:type="dxa" w:w="60"/>
              <w:right w:type="dxa" w:w="60"/>
            </w:tcMar>
          </w:tcPr>
          <w:p>
            <w:pPr>
              <w:jc w:val="center"/>
            </w:pPr>
            <w:r>
              <w:rPr>
                <w:rFonts w:ascii="Arial" w:cs="Arial" w:eastAsia="Arial" w:hAnsi="Arial"/>
                <w:color w:val="085041"/>
                <w:sz w:val="14"/>
                <w:szCs w:val="14"/>
              </w:rPr>
              <w:t xml:space="preserve">testing</w:t>
            </w:r>
          </w:p>
        </w:tc>
        <w:tc>
          <w:tcPr>
            <w:tcW w:type="dxa" w:w="900"/>
            <w:tcBorders>
              <w:top w:val="single" w:color="CCCCCC" w:sz="1"/>
              <w:left w:val="single" w:color="CCCCCC" w:sz="1"/>
              <w:bottom w:val="single" w:color="CCCCCC" w:sz="1"/>
              <w:right w:val="single" w:color="CCCCCC" w:sz="1"/>
            </w:tcBorders>
            <w:shd w:fill="F2F2F2" w:val="clear"/>
            <w:tcMar>
              <w:top w:type="dxa" w:w="60"/>
              <w:left w:type="dxa" w:w="60"/>
              <w:bottom w:type="dxa" w:w="60"/>
              <w:right w:type="dxa" w:w="60"/>
            </w:tcMar>
          </w:tcPr>
          <w:p>
            <w:pPr>
              <w:jc w:val="center"/>
            </w:pPr>
            <w:r>
              <w:rPr>
                <w:rFonts w:ascii="Arial" w:cs="Arial" w:eastAsia="Arial" w:hAnsi="Arial"/>
                <w:color w:val="404040"/>
                <w:sz w:val="16"/>
                <w:szCs w:val="16"/>
              </w:rPr>
              <w:t xml:space="preserve">P8</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60"/>
            </w:tcMar>
          </w:tcPr>
          <w:p>
            <w:r>
              <w:rPr>
                <w:rFonts w:ascii="Arial" w:cs="Arial" w:eastAsia="Arial" w:hAnsi="Arial"/>
                <w:b/>
                <w:bCs/>
                <w:color w:val="085041"/>
                <w:sz w:val="16"/>
                <w:szCs w:val="16"/>
              </w:rPr>
              <w:t xml:space="preserve">8.6</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000000"/>
                <w:sz w:val="16"/>
                <w:szCs w:val="16"/>
              </w:rPr>
              <w:t xml:space="preserve">Toolchain setup — ruff, mypy strict, bandit, pip-audit, pre-commit, hatchling</w:t>
            </w:r>
          </w:p>
        </w:tc>
        <w:tc>
          <w:tcPr>
            <w:tcW w:type="dxa" w:w="900"/>
            <w:tcBorders>
              <w:top w:val="single" w:color="CCCCCC" w:sz="1"/>
              <w:left w:val="single" w:color="CCCCCC" w:sz="1"/>
              <w:bottom w:val="single" w:color="CCCCCC" w:sz="1"/>
              <w:right w:val="single" w:color="CCCCCC" w:sz="1"/>
            </w:tcBorders>
            <w:shd w:fill="E1F5EE" w:val="clear"/>
            <w:tcMar>
              <w:top w:type="dxa" w:w="60"/>
              <w:left w:type="dxa" w:w="60"/>
              <w:bottom w:type="dxa" w:w="60"/>
              <w:right w:type="dxa" w:w="60"/>
            </w:tcMar>
          </w:tcPr>
          <w:p>
            <w:pPr>
              <w:jc w:val="center"/>
            </w:pPr>
            <w:r>
              <w:rPr>
                <w:rFonts w:ascii="Arial" w:cs="Arial" w:eastAsia="Arial" w:hAnsi="Arial"/>
                <w:color w:val="085041"/>
                <w:sz w:val="14"/>
                <w:szCs w:val="14"/>
              </w:rPr>
              <w:t xml:space="preserve">testing</w:t>
            </w:r>
          </w:p>
        </w:tc>
        <w:tc>
          <w:tcPr>
            <w:tcW w:type="dxa" w:w="9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404040"/>
                <w:sz w:val="16"/>
                <w:szCs w:val="16"/>
              </w:rPr>
              <w:t xml:space="preserve">P8</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60"/>
            </w:tcMar>
          </w:tcPr>
          <w:p>
            <w:r>
              <w:rPr>
                <w:rFonts w:ascii="Arial" w:cs="Arial" w:eastAsia="Arial" w:hAnsi="Arial"/>
                <w:b/>
                <w:bCs/>
                <w:color w:val="085041"/>
                <w:sz w:val="16"/>
                <w:szCs w:val="16"/>
              </w:rPr>
              <w:t xml:space="preserve">8.7</w:t>
            </w:r>
          </w:p>
        </w:tc>
        <w:tc>
          <w:tcPr>
            <w:tcW w:type="dxa" w:w="6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color w:val="000000"/>
                <w:sz w:val="16"/>
                <w:szCs w:val="16"/>
              </w:rPr>
              <w:t xml:space="preserve">Writing SDK examples that actually teach — the production_multi_agent.py pattern</w:t>
            </w:r>
          </w:p>
        </w:tc>
        <w:tc>
          <w:tcPr>
            <w:tcW w:type="dxa" w:w="900"/>
            <w:tcBorders>
              <w:top w:val="single" w:color="CCCCCC" w:sz="1"/>
              <w:left w:val="single" w:color="CCCCCC" w:sz="1"/>
              <w:bottom w:val="single" w:color="CCCCCC" w:sz="1"/>
              <w:right w:val="single" w:color="CCCCCC" w:sz="1"/>
            </w:tcBorders>
            <w:shd w:fill="E1F5EE" w:val="clear"/>
            <w:tcMar>
              <w:top w:type="dxa" w:w="60"/>
              <w:left w:type="dxa" w:w="60"/>
              <w:bottom w:type="dxa" w:w="60"/>
              <w:right w:type="dxa" w:w="60"/>
            </w:tcMar>
          </w:tcPr>
          <w:p>
            <w:pPr>
              <w:jc w:val="center"/>
            </w:pPr>
            <w:r>
              <w:rPr>
                <w:rFonts w:ascii="Arial" w:cs="Arial" w:eastAsia="Arial" w:hAnsi="Arial"/>
                <w:color w:val="085041"/>
                <w:sz w:val="14"/>
                <w:szCs w:val="14"/>
              </w:rPr>
              <w:t xml:space="preserve">testing</w:t>
            </w:r>
          </w:p>
        </w:tc>
        <w:tc>
          <w:tcPr>
            <w:tcW w:type="dxa" w:w="900"/>
            <w:tcBorders>
              <w:top w:val="single" w:color="CCCCCC" w:sz="1"/>
              <w:left w:val="single" w:color="CCCCCC" w:sz="1"/>
              <w:bottom w:val="single" w:color="CCCCCC" w:sz="1"/>
              <w:right w:val="single" w:color="CCCCCC" w:sz="1"/>
            </w:tcBorders>
            <w:shd w:fill="F2F2F2" w:val="clear"/>
            <w:tcMar>
              <w:top w:type="dxa" w:w="60"/>
              <w:left w:type="dxa" w:w="60"/>
              <w:bottom w:type="dxa" w:w="60"/>
              <w:right w:type="dxa" w:w="60"/>
            </w:tcMar>
          </w:tcPr>
          <w:p>
            <w:pPr>
              <w:jc w:val="center"/>
            </w:pPr>
            <w:r>
              <w:rPr>
                <w:rFonts w:ascii="Arial" w:cs="Arial" w:eastAsia="Arial" w:hAnsi="Arial"/>
                <w:color w:val="404040"/>
                <w:sz w:val="16"/>
                <w:szCs w:val="16"/>
              </w:rPr>
              <w:t xml:space="preserve">P8</w:t>
            </w:r>
          </w:p>
        </w:tc>
      </w:tr>
    </w:tbl>
    <w:p>
      <w:pPr>
        <w:spacing w:after="60" w:before="60"/>
      </w:pPr>
      <w:r>
        <w:t xml:space="preserve"/>
      </w:r>
    </w:p>
    <w:p>
      <w:pPr>
        <w:spacing w:after="80" w:before="40"/>
      </w:pPr>
      <w:r>
        <w:rPr>
          <w:rFonts w:ascii="Arial" w:cs="Arial" w:eastAsia="Arial" w:hAnsi="Arial"/>
          <w:color w:val="666666"/>
          <w:sz w:val="18"/>
          <w:szCs w:val="18"/>
        </w:rPr>
        <w:t xml:space="preserve">Total: 47 chapters · 8 parts · ~120 hours · 6 concept tracks · Based on SpanForge-Core v2.0.10 codebase</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2026-04-18T13:55:01.089Z</dcterms:created>
  <dcterms:modified xsi:type="dcterms:W3CDTF">2026-04-18T13:55:01.090Z</dcterms:modified>
</cp:coreProperties>
</file>

<file path=docProps/custom.xml><?xml version="1.0" encoding="utf-8"?>
<Properties xmlns="http://schemas.openxmlformats.org/officeDocument/2006/custom-properties" xmlns:vt="http://schemas.openxmlformats.org/officeDocument/2006/docPropsVTypes"/>
</file>