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 w:lineRule="auto"/>
        <w:jc w:val="center"/>
        <w:rPr/>
      </w:pPr>
      <w:r w:rsidDel="00000000" w:rsidR="00000000" w:rsidRPr="00000000">
        <w:rPr>
          <w:b w:val="1"/>
          <w:bCs w:val="1"/>
          <w:color w:val="1a1a1a"/>
          <w:sz w:val="19"/>
          <w:szCs w:val="19"/>
          <w:rtl w:val="0"/>
        </w:rPr>
        <w:t xml:space="preserve">UNIVERSIDAD CENTRAL</w:t>
      </w:r>
      <w:r w:rsidDel="00000000" w:rsidR="00000000" w:rsidRPr="00000000">
        <w:rPr>
          <w:rtl w:val="0"/>
        </w:rPr>
      </w:r>
    </w:p>
    <w:p w:rsidR="00000000" w:rsidDel="00000000" w:rsidP="00000000" w:rsidRDefault="00000000" w:rsidRPr="00000000" w14:paraId="00000002">
      <w:pPr>
        <w:spacing w:after="110" w:lineRule="auto"/>
        <w:jc w:val="center"/>
        <w:rPr/>
      </w:pPr>
      <w:r w:rsidDel="00000000" w:rsidR="00000000" w:rsidRPr="00000000">
        <w:rPr>
          <w:color w:val="595959"/>
          <w:sz w:val="17"/>
          <w:szCs w:val="17"/>
          <w:rtl w:val="0"/>
        </w:rPr>
        <w:t xml:space="preserve">Asignatura Data Analytics (43390860), periodo 2026-2</w:t>
      </w:r>
      <w:r w:rsidDel="00000000" w:rsidR="00000000" w:rsidRPr="00000000">
        <w:rPr>
          <w:rtl w:val="0"/>
        </w:rPr>
      </w:r>
    </w:p>
    <w:p w:rsidR="00000000" w:rsidDel="00000000" w:rsidP="00000000" w:rsidRDefault="00000000" w:rsidRPr="00000000" w14:paraId="00000003">
      <w:pPr>
        <w:spacing w:after="25" w:lineRule="auto"/>
        <w:jc w:val="center"/>
        <w:rPr/>
      </w:pPr>
      <w:r w:rsidDel="00000000" w:rsidR="00000000" w:rsidRPr="00000000">
        <w:rPr>
          <w:color w:val="595959"/>
          <w:sz w:val="19"/>
          <w:szCs w:val="19"/>
          <w:rtl w:val="0"/>
        </w:rPr>
        <w:t xml:space="preserve">Laboratorio SECOP Data Investigation</w:t>
      </w:r>
      <w:r w:rsidDel="00000000" w:rsidR="00000000" w:rsidRPr="00000000">
        <w:rPr>
          <w:rtl w:val="0"/>
        </w:rPr>
      </w:r>
    </w:p>
    <w:p w:rsidR="00000000" w:rsidDel="00000000" w:rsidP="00000000" w:rsidRDefault="00000000" w:rsidRPr="00000000" w14:paraId="00000004">
      <w:pPr>
        <w:spacing w:after="110" w:lineRule="auto"/>
        <w:jc w:val="center"/>
        <w:rPr/>
      </w:pPr>
      <w:r w:rsidDel="00000000" w:rsidR="00000000" w:rsidRPr="00000000">
        <w:rPr>
          <w:b w:val="1"/>
          <w:bCs w:val="1"/>
          <w:color w:val="1f4e79"/>
          <w:sz w:val="25"/>
          <w:szCs w:val="25"/>
          <w:rtl w:val="0"/>
        </w:rPr>
        <w:t xml:space="preserve">Tablero de evidencia. Plantilla de diligenciamiento</w:t>
      </w:r>
      <w:r w:rsidDel="00000000" w:rsidR="00000000" w:rsidRPr="00000000">
        <w:rPr>
          <w:rtl w:val="0"/>
        </w:rPr>
      </w:r>
    </w:p>
    <w:p w:rsidR="00000000" w:rsidDel="00000000" w:rsidP="00000000" w:rsidRDefault="00000000" w:rsidRPr="00000000" w14:paraId="00000005">
      <w:pPr>
        <w:spacing w:after="50" w:lineRule="auto"/>
        <w:jc w:val="both"/>
        <w:rPr/>
      </w:pPr>
      <w:r w:rsidDel="00000000" w:rsidR="00000000" w:rsidRPr="00000000">
        <w:rPr>
          <w:color w:val="1a1a1a"/>
          <w:rtl w:val="0"/>
        </w:rPr>
        <w:t xml:space="preserve">Diligencie una tarjeta por cada hallazgo. El texto en cursiva de cada campo describe lo que debe registrarse y puede borrarse al diligenciar. Los identificadores de evidencia E1, E2 y E3 corresponden a los bloques marcados con ese nombre en la sección de investigación del notebook.</w:t>
      </w:r>
      <w:r w:rsidDel="00000000" w:rsidR="00000000" w:rsidRPr="00000000">
        <w:rPr>
          <w:rtl w:val="0"/>
        </w:rPr>
      </w:r>
    </w:p>
    <w:tbl>
      <w:tblPr>
        <w:tblStyle w:val="Table1"/>
        <w:tblW w:w="9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100"/>
        <w:gridCol w:w="1350"/>
        <w:gridCol w:w="1150"/>
        <w:gridCol w:w="1250"/>
        <w:gridCol w:w="1840"/>
        <w:tblGridChange w:id="0">
          <w:tblGrid>
            <w:gridCol w:w="1250"/>
            <w:gridCol w:w="3100"/>
            <w:gridCol w:w="1350"/>
            <w:gridCol w:w="1150"/>
            <w:gridCol w:w="1250"/>
            <w:gridCol w:w="18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5.0" w:type="dxa"/>
              <w:left w:w="110.0" w:type="dxa"/>
              <w:bottom w:w="55.0" w:type="dxa"/>
              <w:right w:w="110.0" w:type="dxa"/>
            </w:tcMar>
            <w:vAlign w:val="center"/>
          </w:tcPr>
          <w:p w:rsidR="00000000" w:rsidDel="00000000" w:rsidP="00000000" w:rsidRDefault="00000000" w:rsidRPr="00000000" w14:paraId="00000006">
            <w:pPr>
              <w:rPr/>
            </w:pPr>
            <w:r w:rsidDel="00000000" w:rsidR="00000000" w:rsidRPr="00000000">
              <w:rPr>
                <w:b w:val="1"/>
                <w:bCs w:val="1"/>
                <w:color w:val="1a1a1a"/>
                <w:sz w:val="17"/>
                <w:szCs w:val="17"/>
                <w:rtl w:val="0"/>
              </w:rPr>
              <w:t xml:space="preserve">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007">
            <w:pPr>
              <w:rPr/>
            </w:pPr>
            <w:r w:rsidDel="00000000" w:rsidR="00000000" w:rsidRPr="00000000">
              <w:rPr>
                <w:rtl w:val="0"/>
              </w:rPr>
              <w:t xml:space="preserve">8</w:t>
            </w:r>
          </w:p>
        </w:tc>
        <w:tc>
          <w:tcPr>
            <w:tcBorders>
              <w:top w:color="bfbfbf" w:space="0" w:sz="4" w:val="single"/>
              <w:left w:color="bfbfbf" w:space="0" w:sz="4" w:val="single"/>
              <w:bottom w:color="bfbfbf" w:space="0" w:sz="4" w:val="single"/>
              <w:right w:color="bfbfbf" w:space="0" w:sz="4" w:val="single"/>
            </w:tcBorders>
            <w:shd w:fill="f2f2f2" w:val="clear"/>
            <w:tcMar>
              <w:top w:w="55.0" w:type="dxa"/>
              <w:left w:w="110.0" w:type="dxa"/>
              <w:bottom w:w="55.0" w:type="dxa"/>
              <w:right w:w="110.0" w:type="dxa"/>
            </w:tcMar>
            <w:vAlign w:val="center"/>
          </w:tcPr>
          <w:p w:rsidR="00000000" w:rsidDel="00000000" w:rsidP="00000000" w:rsidRDefault="00000000" w:rsidRPr="00000000" w14:paraId="00000008">
            <w:pPr>
              <w:rPr/>
            </w:pPr>
            <w:r w:rsidDel="00000000" w:rsidR="00000000" w:rsidRPr="00000000">
              <w:rPr>
                <w:b w:val="1"/>
                <w:bCs w:val="1"/>
                <w:color w:val="1a1a1a"/>
                <w:sz w:val="17"/>
                <w:szCs w:val="17"/>
                <w:rtl w:val="0"/>
              </w:rPr>
              <w:t xml:space="preserve">Expediente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009">
            <w:pPr>
              <w:rPr/>
            </w:pPr>
            <w:r w:rsidDel="00000000" w:rsidR="00000000" w:rsidRPr="00000000">
              <w:rPr>
                <w:rtl w:val="0"/>
              </w:rPr>
              <w:t xml:space="preserve">D</w:t>
            </w:r>
          </w:p>
        </w:tc>
        <w:tc>
          <w:tcPr>
            <w:tcBorders>
              <w:top w:color="bfbfbf" w:space="0" w:sz="4" w:val="single"/>
              <w:left w:color="bfbfbf" w:space="0" w:sz="4" w:val="single"/>
              <w:bottom w:color="bfbfbf" w:space="0" w:sz="4" w:val="single"/>
              <w:right w:color="bfbfbf" w:space="0" w:sz="4" w:val="single"/>
            </w:tcBorders>
            <w:shd w:fill="f2f2f2" w:val="clear"/>
            <w:tcMar>
              <w:top w:w="55.0" w:type="dxa"/>
              <w:left w:w="110.0" w:type="dxa"/>
              <w:bottom w:w="55.0" w:type="dxa"/>
              <w:right w:w="110.0" w:type="dxa"/>
            </w:tcMar>
            <w:vAlign w:val="center"/>
          </w:tcPr>
          <w:p w:rsidR="00000000" w:rsidDel="00000000" w:rsidP="00000000" w:rsidRDefault="00000000" w:rsidRPr="00000000" w14:paraId="0000000A">
            <w:pPr>
              <w:rPr/>
            </w:pPr>
            <w:r w:rsidDel="00000000" w:rsidR="00000000" w:rsidRPr="00000000">
              <w:rPr>
                <w:b w:val="1"/>
                <w:bCs w:val="1"/>
                <w:color w:val="1a1a1a"/>
                <w:sz w:val="17"/>
                <w:szCs w:val="17"/>
                <w:rtl w:val="0"/>
              </w:rPr>
              <w:t xml:space="preserve">Recorte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00B">
            <w:pPr>
              <w:rPr/>
            </w:pPr>
            <w:r w:rsidDel="00000000" w:rsidR="00000000" w:rsidRPr="00000000">
              <w:rPr>
                <w:rtl w:val="0"/>
              </w:rPr>
              <w:t xml:space="preserve">Atlantico</w:t>
            </w:r>
          </w:p>
        </w:tc>
      </w:tr>
    </w:tbl>
    <w:p w:rsidR="00000000" w:rsidDel="00000000" w:rsidP="00000000" w:rsidRDefault="00000000" w:rsidRPr="00000000" w14:paraId="0000000C">
      <w:pPr>
        <w:spacing w:after="110" w:lineRule="auto"/>
        <w:rPr/>
      </w:pPr>
      <w:r w:rsidDel="00000000" w:rsidR="00000000" w:rsidRPr="00000000">
        <w:rPr>
          <w:rtl w:val="0"/>
        </w:rPr>
      </w:r>
    </w:p>
    <w:tbl>
      <w:tblPr>
        <w:tblStyle w:val="Table2"/>
        <w:tblW w:w="9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0"/>
        <w:gridCol w:w="7560"/>
        <w:tblGridChange w:id="0">
          <w:tblGrid>
            <w:gridCol w:w="2380"/>
            <w:gridCol w:w="756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1f4e79" w:val="clear"/>
            <w:tcMar>
              <w:top w:w="65.0" w:type="dxa"/>
              <w:left w:w="140.0" w:type="dxa"/>
              <w:bottom w:w="65.0" w:type="dxa"/>
              <w:right w:w="140.0" w:type="dxa"/>
            </w:tcM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Tarjeta de evidencia 1 de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0F">
            <w:pPr>
              <w:rPr/>
            </w:pPr>
            <w:r w:rsidDel="00000000" w:rsidR="00000000" w:rsidRPr="00000000">
              <w:rPr>
                <w:b w:val="1"/>
                <w:bCs w:val="1"/>
                <w:color w:val="1a1a1a"/>
                <w:sz w:val="18"/>
                <w:szCs w:val="18"/>
                <w:rtl w:val="0"/>
              </w:rPr>
              <w:t xml:space="preserve">Hallazgo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10">
            <w:pPr>
              <w:spacing w:after="40" w:lineRule="auto"/>
              <w:rPr/>
            </w:pPr>
            <w:r w:rsidDel="00000000" w:rsidR="00000000" w:rsidRPr="00000000">
              <w:rPr>
                <w:i w:val="1"/>
                <w:iCs w:val="1"/>
                <w:color w:val="595959"/>
                <w:sz w:val="17"/>
                <w:szCs w:val="17"/>
                <w:rtl w:val="0"/>
              </w:rPr>
              <w:t xml:space="preserve">Qué se encontró, en una frase comprensible para un lector no técnico.</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Los valores de los contratos presentan una distribución muy desigual: la mayoría de los contratos tienen valores relativamente bajos, mientras que unos pocos contratos tienen valores extremadamente altos.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14">
            <w:pPr>
              <w:rPr/>
            </w:pPr>
            <w:r w:rsidDel="00000000" w:rsidR="00000000" w:rsidRPr="00000000">
              <w:rPr>
                <w:b w:val="1"/>
                <w:bCs w:val="1"/>
                <w:color w:val="1a1a1a"/>
                <w:sz w:val="18"/>
                <w:szCs w:val="18"/>
                <w:rtl w:val="0"/>
              </w:rPr>
              <w:t xml:space="preserve">Cifra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15">
            <w:pPr>
              <w:spacing w:after="40" w:lineRule="auto"/>
              <w:rPr/>
            </w:pPr>
            <w:r w:rsidDel="00000000" w:rsidR="00000000" w:rsidRPr="00000000">
              <w:rPr>
                <w:i w:val="1"/>
                <w:iCs w:val="1"/>
                <w:color w:val="595959"/>
                <w:sz w:val="17"/>
                <w:szCs w:val="17"/>
                <w:rtl w:val="0"/>
              </w:rPr>
              <w:t xml:space="preserve">El valor numérico que sustenta el hallazgo.</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 mediana del valor contractual es de $17.500.000, mientras que la media es de $166.453.300. El valor máximo alcanza aproximadamente $172.969.700.000.</w:t>
            </w:r>
          </w:p>
          <w:p w:rsidR="00000000" w:rsidDel="00000000" w:rsidP="00000000" w:rsidRDefault="00000000" w:rsidRPr="00000000" w14:paraId="0000001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19">
            <w:pPr>
              <w:rPr/>
            </w:pPr>
            <w:r w:rsidDel="00000000" w:rsidR="00000000" w:rsidRPr="00000000">
              <w:rPr>
                <w:b w:val="1"/>
                <w:bCs w:val="1"/>
                <w:color w:val="1a1a1a"/>
                <w:sz w:val="18"/>
                <w:szCs w:val="18"/>
                <w:rtl w:val="0"/>
              </w:rPr>
              <w:t xml:space="preserve">Fuente en el notebook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1A">
            <w:pPr>
              <w:spacing w:after="40" w:lineRule="auto"/>
              <w:rPr/>
            </w:pPr>
            <w:r w:rsidDel="00000000" w:rsidR="00000000" w:rsidRPr="00000000">
              <w:rPr>
                <w:i w:val="1"/>
                <w:iCs w:val="1"/>
                <w:color w:val="595959"/>
                <w:sz w:val="17"/>
                <w:szCs w:val="17"/>
                <w:rtl w:val="0"/>
              </w:rPr>
              <w:t xml:space="preserve">Identificador de evidencia donde se calcula la cifra y se genera la gráfica: E1, E2 o E3.</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E1 – Primera semana: descripción del valor contractual.</w:t>
            </w:r>
          </w:p>
          <w:p w:rsidR="00000000" w:rsidDel="00000000" w:rsidP="00000000" w:rsidRDefault="00000000" w:rsidRPr="00000000" w14:paraId="0000001C">
            <w:pPr>
              <w:rPr/>
            </w:pPr>
            <w:r w:rsidDel="00000000" w:rsidR="00000000" w:rsidRPr="00000000">
              <w:rPr>
                <w:rtl w:val="0"/>
              </w:rPr>
              <w:t xml:space="preserve">Tabla de resumen estadístico de valor_del_contrato e histograma de la distribución del valor contractual.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1F">
            <w:pPr>
              <w:rPr/>
            </w:pPr>
            <w:r w:rsidDel="00000000" w:rsidR="00000000" w:rsidRPr="00000000">
              <w:rPr>
                <w:b w:val="1"/>
                <w:bCs w:val="1"/>
                <w:color w:val="1a1a1a"/>
                <w:sz w:val="18"/>
                <w:szCs w:val="18"/>
                <w:rtl w:val="0"/>
              </w:rPr>
              <w:t xml:space="preserve">Hipótesis explicativa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20">
            <w:pPr>
              <w:spacing w:after="40" w:lineRule="auto"/>
              <w:rPr/>
            </w:pPr>
            <w:r w:rsidDel="00000000" w:rsidR="00000000" w:rsidRPr="00000000">
              <w:rPr>
                <w:i w:val="1"/>
                <w:iCs w:val="1"/>
                <w:color w:val="595959"/>
                <w:sz w:val="17"/>
                <w:szCs w:val="17"/>
                <w:rtl w:val="0"/>
              </w:rPr>
              <w:t xml:space="preserve">Proponga una explicación compatible con el hallazgo. No debe presentarse como una relación causal demostrada.</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 diferencia entre la media y la mediana puede explicarse por la presencia de algunos contratos con valores muy altos, que elevan considerablemente la media. Por esta razón, la mediana representa mejor el valor típico de los contratos en este conjunto de datos.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4">
            <w:pPr>
              <w:rPr/>
            </w:pPr>
            <w:r w:rsidDel="00000000" w:rsidR="00000000" w:rsidRPr="00000000">
              <w:rPr>
                <w:b w:val="1"/>
                <w:bCs w:val="1"/>
                <w:color w:val="1a1a1a"/>
                <w:sz w:val="18"/>
                <w:szCs w:val="18"/>
                <w:rtl w:val="0"/>
              </w:rPr>
              <w:t xml:space="preserve">Duda 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25">
            <w:pPr>
              <w:spacing w:after="40" w:lineRule="auto"/>
              <w:rPr/>
            </w:pPr>
            <w:r w:rsidDel="00000000" w:rsidR="00000000" w:rsidRPr="00000000">
              <w:rPr>
                <w:i w:val="1"/>
                <w:iCs w:val="1"/>
                <w:color w:val="595959"/>
                <w:sz w:val="17"/>
                <w:szCs w:val="17"/>
                <w:rtl w:val="0"/>
              </w:rPr>
              <w:t xml:space="preserve">Qué información o análisis podría cambiar la interpretación. Este campo alimenta el trabajo de la semana 2.</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Queda por determinar si los contratos de mayor valor presentan también una mayor frecuencia de registros de adición y si esta diferencia se mantiene después de considerar otras características de los contratos, como la modalidad de contratación. </w:t>
            </w:r>
          </w:p>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tbl>
      <w:tblPr>
        <w:tblStyle w:val="Table3"/>
        <w:tblW w:w="9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0"/>
        <w:gridCol w:w="7560"/>
        <w:tblGridChange w:id="0">
          <w:tblGrid>
            <w:gridCol w:w="2380"/>
            <w:gridCol w:w="756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1f4e79" w:val="clear"/>
            <w:tcMar>
              <w:top w:w="65.0" w:type="dxa"/>
              <w:left w:w="140.0" w:type="dxa"/>
              <w:bottom w:w="65.0" w:type="dxa"/>
              <w:right w:w="140.0" w:type="dxa"/>
            </w:tcMar>
          </w:tcPr>
          <w:p w:rsidR="00000000" w:rsidDel="00000000" w:rsidP="00000000" w:rsidRDefault="00000000" w:rsidRPr="00000000" w14:paraId="0000002A">
            <w:pPr>
              <w:rPr/>
            </w:pPr>
            <w:r w:rsidDel="00000000" w:rsidR="00000000" w:rsidRPr="00000000">
              <w:rPr>
                <w:b w:val="1"/>
                <w:bCs w:val="1"/>
                <w:color w:val="ffffff"/>
                <w:sz w:val="20"/>
                <w:szCs w:val="20"/>
                <w:rtl w:val="0"/>
              </w:rPr>
              <w:t xml:space="preserve">Tarjeta de evidencia 2 de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C">
            <w:pPr>
              <w:rPr/>
            </w:pPr>
            <w:r w:rsidDel="00000000" w:rsidR="00000000" w:rsidRPr="00000000">
              <w:rPr>
                <w:b w:val="1"/>
                <w:bCs w:val="1"/>
                <w:color w:val="1a1a1a"/>
                <w:sz w:val="18"/>
                <w:szCs w:val="18"/>
                <w:rtl w:val="0"/>
              </w:rPr>
              <w:t xml:space="preserve">Hallazgo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2D">
            <w:pPr>
              <w:spacing w:after="40" w:lineRule="auto"/>
              <w:rPr/>
            </w:pPr>
            <w:r w:rsidDel="00000000" w:rsidR="00000000" w:rsidRPr="00000000">
              <w:rPr>
                <w:i w:val="1"/>
                <w:iCs w:val="1"/>
                <w:color w:val="595959"/>
                <w:sz w:val="17"/>
                <w:szCs w:val="17"/>
                <w:rtl w:val="0"/>
              </w:rPr>
              <w:t xml:space="preserve">Qué se encontró, en una frase comprensible para un lector no técnico.</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Una proporción muy pequeña de los contratos tiene registros asociados en la base de adiciones: la gran mayoría de los contratos no encuentra coincidencia en esa segunda base. </w:t>
            </w:r>
          </w:p>
          <w:p w:rsidR="00000000" w:rsidDel="00000000" w:rsidP="00000000" w:rsidRDefault="00000000" w:rsidRPr="00000000" w14:paraId="0000003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31">
            <w:pPr>
              <w:rPr/>
            </w:pPr>
            <w:r w:rsidDel="00000000" w:rsidR="00000000" w:rsidRPr="00000000">
              <w:rPr>
                <w:b w:val="1"/>
                <w:bCs w:val="1"/>
                <w:color w:val="1a1a1a"/>
                <w:sz w:val="18"/>
                <w:szCs w:val="18"/>
                <w:rtl w:val="0"/>
              </w:rPr>
              <w:t xml:space="preserve">Cifra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32">
            <w:pPr>
              <w:spacing w:after="40" w:lineRule="auto"/>
              <w:rPr/>
            </w:pPr>
            <w:r w:rsidDel="00000000" w:rsidR="00000000" w:rsidRPr="00000000">
              <w:rPr>
                <w:i w:val="1"/>
                <w:iCs w:val="1"/>
                <w:color w:val="595959"/>
                <w:sz w:val="17"/>
                <w:szCs w:val="17"/>
                <w:rtl w:val="0"/>
              </w:rPr>
              <w:t xml:space="preserve">El valor numérico que sustenta el hallazgo.</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 los 50.000 contratos, solamente 70 tienen al menos un registro asociado, lo que corresponde al 0,14 %. Los otros 49.930 contratos, equivalentes al 99,86 %, no presentan coincidencia en la base de adiciones.</w:t>
            </w:r>
          </w:p>
          <w:p w:rsidR="00000000" w:rsidDel="00000000" w:rsidP="00000000" w:rsidRDefault="00000000" w:rsidRPr="00000000" w14:paraId="0000003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36">
            <w:pPr>
              <w:rPr/>
            </w:pPr>
            <w:r w:rsidDel="00000000" w:rsidR="00000000" w:rsidRPr="00000000">
              <w:rPr>
                <w:b w:val="1"/>
                <w:bCs w:val="1"/>
                <w:color w:val="1a1a1a"/>
                <w:sz w:val="18"/>
                <w:szCs w:val="18"/>
                <w:rtl w:val="0"/>
              </w:rPr>
              <w:t xml:space="preserve">Fuente en el notebook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37">
            <w:pPr>
              <w:spacing w:after="40" w:lineRule="auto"/>
              <w:rPr/>
            </w:pPr>
            <w:r w:rsidDel="00000000" w:rsidR="00000000" w:rsidRPr="00000000">
              <w:rPr>
                <w:i w:val="1"/>
                <w:iCs w:val="1"/>
                <w:color w:val="595959"/>
                <w:sz w:val="17"/>
                <w:szCs w:val="17"/>
                <w:rtl w:val="0"/>
              </w:rPr>
              <w:t xml:space="preserve">Identificador de evidencia donde se calcula la cifra y se genera la gráfica: E1, E2 o E3.</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E2 – Relacionar contratos y adiciones.</w:t>
            </w:r>
          </w:p>
          <w:p w:rsidR="00000000" w:rsidDel="00000000" w:rsidP="00000000" w:rsidRDefault="00000000" w:rsidRPr="00000000" w14:paraId="0000003A">
            <w:pPr>
              <w:rPr/>
            </w:pPr>
            <w:r w:rsidDel="00000000" w:rsidR="00000000" w:rsidRPr="00000000">
              <w:rPr>
                <w:rtl w:val="0"/>
              </w:rPr>
              <w:t xml:space="preserve">Cruce mediante id_contrato y creación de las variables numero_adiciones y tuvo_adicion.</w:t>
            </w:r>
          </w:p>
          <w:p w:rsidR="00000000" w:rsidDel="00000000" w:rsidP="00000000" w:rsidRDefault="00000000" w:rsidRPr="00000000" w14:paraId="0000003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3C">
            <w:pPr>
              <w:rPr/>
            </w:pPr>
            <w:r w:rsidDel="00000000" w:rsidR="00000000" w:rsidRPr="00000000">
              <w:rPr>
                <w:b w:val="1"/>
                <w:bCs w:val="1"/>
                <w:color w:val="1a1a1a"/>
                <w:sz w:val="18"/>
                <w:szCs w:val="18"/>
                <w:rtl w:val="0"/>
              </w:rPr>
              <w:t xml:space="preserve">Hipótesis explicativa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3D">
            <w:pPr>
              <w:spacing w:after="40" w:lineRule="auto"/>
              <w:rPr/>
            </w:pPr>
            <w:r w:rsidDel="00000000" w:rsidR="00000000" w:rsidRPr="00000000">
              <w:rPr>
                <w:i w:val="1"/>
                <w:iCs w:val="1"/>
                <w:color w:val="595959"/>
                <w:sz w:val="17"/>
                <w:szCs w:val="17"/>
                <w:rtl w:val="0"/>
              </w:rPr>
              <w:t xml:space="preserve">Proponga una explicación compatible con el hallazgo. No debe presentarse como una relación causal demostrada.</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La baja proporción de coincidencias puede estar relacionada con las características y el período de cobertura de las dos bases utilizadas. Además, la base de adiciones contiene diferentes tipos de registros, por lo que no todos corresponden necesariamente a una adición de valor. </w:t>
            </w:r>
          </w:p>
          <w:p w:rsidR="00000000" w:rsidDel="00000000" w:rsidP="00000000" w:rsidRDefault="00000000" w:rsidRPr="00000000" w14:paraId="0000004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41">
            <w:pPr>
              <w:rPr/>
            </w:pPr>
            <w:r w:rsidDel="00000000" w:rsidR="00000000" w:rsidRPr="00000000">
              <w:rPr>
                <w:b w:val="1"/>
                <w:bCs w:val="1"/>
                <w:color w:val="1a1a1a"/>
                <w:sz w:val="18"/>
                <w:szCs w:val="18"/>
                <w:rtl w:val="0"/>
              </w:rPr>
              <w:t xml:space="preserve">Duda 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42">
            <w:pPr>
              <w:spacing w:after="40" w:lineRule="auto"/>
              <w:rPr/>
            </w:pPr>
            <w:r w:rsidDel="00000000" w:rsidR="00000000" w:rsidRPr="00000000">
              <w:rPr>
                <w:i w:val="1"/>
                <w:iCs w:val="1"/>
                <w:color w:val="595959"/>
                <w:sz w:val="17"/>
                <w:szCs w:val="17"/>
                <w:rtl w:val="0"/>
              </w:rPr>
              <w:t xml:space="preserve">Qué información o análisis podría cambiar la interpretación. Este campo alimenta el trabajo de la semana 2.</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Es necesario verificar si la baja cantidad de coincidencias se debe principalmente a la cobertura temporal y a la forma en que fueron construidas las dos bases. También debe determinarse qué proporción de los registros corresponde específicamente a </w:t>
            </w:r>
            <w:r w:rsidDel="00000000" w:rsidR="00000000" w:rsidRPr="00000000">
              <w:rPr>
                <w:b w:val="1"/>
                <w:bCs w:val="1"/>
                <w:rtl w:val="0"/>
              </w:rPr>
              <w:t xml:space="preserve">adiciones en el valor</w:t>
            </w:r>
            <w:r w:rsidDel="00000000" w:rsidR="00000000" w:rsidRPr="00000000">
              <w:rPr>
                <w:rtl w:val="0"/>
              </w:rPr>
              <w:t xml:space="preserve"> y cuáles corresponden a otros tipos de modificaciones. </w:t>
            </w:r>
          </w:p>
          <w:p w:rsidR="00000000" w:rsidDel="00000000" w:rsidP="00000000" w:rsidRDefault="00000000" w:rsidRPr="00000000" w14:paraId="00000045">
            <w:pPr>
              <w:rPr/>
            </w:pPr>
            <w:r w:rsidDel="00000000" w:rsidR="00000000" w:rsidRPr="00000000">
              <w:rPr>
                <w:rtl w:val="0"/>
              </w:rPr>
            </w:r>
          </w:p>
        </w:tc>
      </w:tr>
    </w:tbl>
    <w:p w:rsidR="00000000" w:rsidDel="00000000" w:rsidP="00000000" w:rsidRDefault="00000000" w:rsidRPr="00000000" w14:paraId="00000046">
      <w:pPr>
        <w:rPr/>
      </w:pPr>
      <w:r w:rsidDel="00000000" w:rsidR="00000000" w:rsidRPr="00000000">
        <w:br w:type="page"/>
      </w:r>
      <w:r w:rsidDel="00000000" w:rsidR="00000000" w:rsidRPr="00000000">
        <w:rPr>
          <w:rtl w:val="0"/>
        </w:rPr>
      </w:r>
    </w:p>
    <w:tbl>
      <w:tblPr>
        <w:tblStyle w:val="Table4"/>
        <w:tblW w:w="9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0"/>
        <w:gridCol w:w="7560"/>
        <w:tblGridChange w:id="0">
          <w:tblGrid>
            <w:gridCol w:w="2380"/>
            <w:gridCol w:w="756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1f4e79" w:val="clear"/>
            <w:tcMar>
              <w:top w:w="65.0" w:type="dxa"/>
              <w:left w:w="140.0" w:type="dxa"/>
              <w:bottom w:w="65.0" w:type="dxa"/>
              <w:right w:w="140.0" w:type="dxa"/>
            </w:tcMa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Tarjeta de evidencia 3 de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49">
            <w:pPr>
              <w:rPr/>
            </w:pPr>
            <w:r w:rsidDel="00000000" w:rsidR="00000000" w:rsidRPr="00000000">
              <w:rPr>
                <w:b w:val="1"/>
                <w:bCs w:val="1"/>
                <w:color w:val="1a1a1a"/>
                <w:sz w:val="18"/>
                <w:szCs w:val="18"/>
                <w:rtl w:val="0"/>
              </w:rPr>
              <w:t xml:space="preserve">Hallazgo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4A">
            <w:pPr>
              <w:spacing w:after="40" w:lineRule="auto"/>
              <w:rPr/>
            </w:pPr>
            <w:r w:rsidDel="00000000" w:rsidR="00000000" w:rsidRPr="00000000">
              <w:rPr>
                <w:i w:val="1"/>
                <w:iCs w:val="1"/>
                <w:color w:val="595959"/>
                <w:sz w:val="17"/>
                <w:szCs w:val="17"/>
                <w:rtl w:val="0"/>
              </w:rPr>
              <w:t xml:space="preserve">Qué se encontró, en una frase comprensible para un lector no técnico.</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Los contratos con al menos un registro de adición presentan valores y duraciones medianas mayores que los contratos sin registros de adición.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4E">
            <w:pPr>
              <w:rPr/>
            </w:pPr>
            <w:r w:rsidDel="00000000" w:rsidR="00000000" w:rsidRPr="00000000">
              <w:rPr>
                <w:b w:val="1"/>
                <w:bCs w:val="1"/>
                <w:color w:val="1a1a1a"/>
                <w:sz w:val="18"/>
                <w:szCs w:val="18"/>
                <w:rtl w:val="0"/>
              </w:rPr>
              <w:t xml:space="preserve">Cifra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4F">
            <w:pPr>
              <w:spacing w:after="40" w:lineRule="auto"/>
              <w:rPr/>
            </w:pPr>
            <w:r w:rsidDel="00000000" w:rsidR="00000000" w:rsidRPr="00000000">
              <w:rPr>
                <w:i w:val="1"/>
                <w:iCs w:val="1"/>
                <w:color w:val="595959"/>
                <w:sz w:val="17"/>
                <w:szCs w:val="17"/>
                <w:rtl w:val="0"/>
              </w:rPr>
              <w:t xml:space="preserve">El valor numérico que sustenta el hallazgo.</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El valor mediano es de $17.500.000 para los contratos sin registro de adición y de $38.009.166,50 para los contratos con registro.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La duración mediana es de 120 días para los contratos sin registro y de 268,5 días para los contratos con registro.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55">
            <w:pPr>
              <w:rPr/>
            </w:pPr>
            <w:r w:rsidDel="00000000" w:rsidR="00000000" w:rsidRPr="00000000">
              <w:rPr>
                <w:b w:val="1"/>
                <w:bCs w:val="1"/>
                <w:color w:val="1a1a1a"/>
                <w:sz w:val="18"/>
                <w:szCs w:val="18"/>
                <w:rtl w:val="0"/>
              </w:rPr>
              <w:t xml:space="preserve">Fuente en el notebook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56">
            <w:pPr>
              <w:spacing w:after="40" w:lineRule="auto"/>
              <w:rPr/>
            </w:pPr>
            <w:r w:rsidDel="00000000" w:rsidR="00000000" w:rsidRPr="00000000">
              <w:rPr>
                <w:i w:val="1"/>
                <w:iCs w:val="1"/>
                <w:color w:val="595959"/>
                <w:sz w:val="17"/>
                <w:szCs w:val="17"/>
                <w:rtl w:val="0"/>
              </w:rPr>
              <w:t xml:space="preserve">Identificador de evidencia donde se calcula la cifra y se genera la gráfica: E1, E2 o E3.</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E3 – Expediente D: comparar contratos con y sin registros de adición.</w:t>
            </w:r>
          </w:p>
          <w:p w:rsidR="00000000" w:rsidDel="00000000" w:rsidP="00000000" w:rsidRDefault="00000000" w:rsidRPr="00000000" w14:paraId="00000059">
            <w:pPr>
              <w:rPr/>
            </w:pPr>
            <w:r w:rsidDel="00000000" w:rsidR="00000000" w:rsidRPr="00000000">
              <w:rPr>
                <w:rtl w:val="0"/>
              </w:rPr>
              <w:t xml:space="preserve">Tabla summary_additions, agrupada por tuvo_adicion.</w:t>
            </w:r>
          </w:p>
          <w:p w:rsidR="00000000" w:rsidDel="00000000" w:rsidP="00000000" w:rsidRDefault="00000000" w:rsidRPr="00000000" w14:paraId="0000005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5B">
            <w:pPr>
              <w:rPr/>
            </w:pPr>
            <w:r w:rsidDel="00000000" w:rsidR="00000000" w:rsidRPr="00000000">
              <w:rPr>
                <w:b w:val="1"/>
                <w:bCs w:val="1"/>
                <w:color w:val="1a1a1a"/>
                <w:sz w:val="18"/>
                <w:szCs w:val="18"/>
                <w:rtl w:val="0"/>
              </w:rPr>
              <w:t xml:space="preserve">Hipótesis explicativa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5C">
            <w:pPr>
              <w:spacing w:after="40" w:lineRule="auto"/>
              <w:rPr/>
            </w:pPr>
            <w:r w:rsidDel="00000000" w:rsidR="00000000" w:rsidRPr="00000000">
              <w:rPr>
                <w:i w:val="1"/>
                <w:iCs w:val="1"/>
                <w:color w:val="595959"/>
                <w:sz w:val="17"/>
                <w:szCs w:val="17"/>
                <w:rtl w:val="0"/>
              </w:rPr>
              <w:t xml:space="preserve">Proponga una explicación compatible con el hallazgo. No debe presentarse como una relación causal demostrada.</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Una posible explicación es que otras características de los contratos, como la modalidad de contratación, el tipo de contrato o la entidad contratante, estén relacionadas tanto con su valor y duración como con la aparición de registros de adición. Por lo tanto, la diferencia observada no necesariamente se debe al valor o a la duración por sí mismos.</w:t>
            </w:r>
          </w:p>
          <w:p w:rsidR="00000000" w:rsidDel="00000000" w:rsidP="00000000" w:rsidRDefault="00000000" w:rsidRPr="00000000" w14:paraId="0000005F">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60">
            <w:pPr>
              <w:rPr/>
            </w:pPr>
            <w:r w:rsidDel="00000000" w:rsidR="00000000" w:rsidRPr="00000000">
              <w:rPr>
                <w:b w:val="1"/>
                <w:bCs w:val="1"/>
                <w:color w:val="1a1a1a"/>
                <w:sz w:val="18"/>
                <w:szCs w:val="18"/>
                <w:rtl w:val="0"/>
              </w:rPr>
              <w:t xml:space="preserve">Duda 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1">
            <w:pPr>
              <w:spacing w:after="40" w:lineRule="auto"/>
              <w:rPr/>
            </w:pPr>
            <w:r w:rsidDel="00000000" w:rsidR="00000000" w:rsidRPr="00000000">
              <w:rPr>
                <w:i w:val="1"/>
                <w:iCs w:val="1"/>
                <w:color w:val="595959"/>
                <w:sz w:val="17"/>
                <w:szCs w:val="17"/>
                <w:rtl w:val="0"/>
              </w:rPr>
              <w:t xml:space="preserve">Qué información o análisis podría cambiar la interpretación. Este campo alimenta el trabajo de la semana 2.</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Se debe comprobar si estas diferencias se mantienen al considerar otras características de los contratos. También es necesario determinar si los registros identificados como adiciones corresponden específicamente a adiciones de valor o a otros tipos de modificaciones.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c>
      </w:tr>
    </w:tbl>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after="60" w:lineRule="auto"/>
        <w:rPr/>
      </w:pPr>
      <w:r w:rsidDel="00000000" w:rsidR="00000000" w:rsidRPr="00000000">
        <w:rPr>
          <w:b w:val="1"/>
          <w:bCs w:val="1"/>
          <w:color w:val="1f4e79"/>
          <w:sz w:val="20"/>
          <w:szCs w:val="20"/>
          <w:rtl w:val="0"/>
        </w:rPr>
        <w:t xml:space="preserve">Declaración de uso de herramientas de inteligencia artificial</w:t>
      </w:r>
      <w:r w:rsidDel="00000000" w:rsidR="00000000" w:rsidRPr="00000000">
        <w:rPr>
          <w:rtl w:val="0"/>
        </w:rPr>
      </w:r>
    </w:p>
    <w:tbl>
      <w:tblPr>
        <w:tblStyle w:val="Table5"/>
        <w:tblW w:w="9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6640"/>
        <w:tblGridChange w:id="0">
          <w:tblGrid>
            <w:gridCol w:w="3300"/>
            <w:gridCol w:w="66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40.0" w:type="dxa"/>
              <w:bottom w:w="70.0" w:type="dxa"/>
              <w:right w:w="110.0" w:type="dxa"/>
            </w:tcMar>
            <w:vAlign w:val="center"/>
          </w:tcPr>
          <w:p w:rsidR="00000000" w:rsidDel="00000000" w:rsidP="00000000" w:rsidRDefault="00000000" w:rsidRPr="00000000" w14:paraId="00000067">
            <w:pPr>
              <w:rPr/>
            </w:pPr>
            <w:r w:rsidDel="00000000" w:rsidR="00000000" w:rsidRPr="00000000">
              <w:rPr>
                <w:b w:val="1"/>
                <w:bCs w:val="1"/>
                <w:color w:val="1a1a1a"/>
                <w:sz w:val="18"/>
                <w:szCs w:val="18"/>
                <w:rtl w:val="0"/>
              </w:rPr>
              <w:t xml:space="preserve">Herramienta empleada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40.0" w:type="dxa"/>
              <w:bottom w:w="70.0" w:type="dxa"/>
              <w:right w:w="140.0" w:type="dxa"/>
            </w:tcMar>
          </w:tcPr>
          <w:p w:rsidR="00000000" w:rsidDel="00000000" w:rsidP="00000000" w:rsidRDefault="00000000" w:rsidRPr="00000000" w14:paraId="00000068">
            <w:pPr>
              <w:rPr>
                <w:b w:val="1"/>
                <w:bCs w:val="1"/>
              </w:rPr>
            </w:pPr>
            <w:r w:rsidDel="00000000" w:rsidR="00000000" w:rsidRPr="00000000">
              <w:rPr>
                <w:b w:val="1"/>
                <w:bCs w:val="1"/>
                <w:rtl w:val="0"/>
              </w:rPr>
              <w:t xml:space="preserve">ChatGPT (OpenAI)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40.0" w:type="dxa"/>
              <w:bottom w:w="70.0" w:type="dxa"/>
              <w:right w:w="110.0" w:type="dxa"/>
            </w:tcMar>
            <w:vAlign w:val="center"/>
          </w:tcPr>
          <w:p w:rsidR="00000000" w:rsidDel="00000000" w:rsidP="00000000" w:rsidRDefault="00000000" w:rsidRPr="00000000" w14:paraId="00000069">
            <w:pPr>
              <w:rPr/>
            </w:pPr>
            <w:r w:rsidDel="00000000" w:rsidR="00000000" w:rsidRPr="00000000">
              <w:rPr>
                <w:b w:val="1"/>
                <w:bCs w:val="1"/>
                <w:color w:val="1a1a1a"/>
                <w:sz w:val="18"/>
                <w:szCs w:val="18"/>
                <w:rtl w:val="0"/>
              </w:rPr>
              <w:t xml:space="preserve">Actividad en la que se empleó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40.0" w:type="dxa"/>
              <w:bottom w:w="70.0" w:type="dxa"/>
              <w:right w:w="140.0" w:type="dxa"/>
            </w:tcMar>
          </w:tcPr>
          <w:p w:rsidR="00000000" w:rsidDel="00000000" w:rsidP="00000000" w:rsidRDefault="00000000" w:rsidRPr="00000000" w14:paraId="0000006A">
            <w:pPr>
              <w:rPr/>
            </w:pPr>
            <w:r w:rsidDel="00000000" w:rsidR="00000000" w:rsidRPr="00000000">
              <w:rPr>
                <w:rtl w:val="0"/>
              </w:rPr>
              <w:t xml:space="preserve">Se utilizó como apoyo para interpretar los resultados obtenidos en el notebook, comprender las variables y los procedimientos de análisis, revisar las diferencias entre contratos con y sin registros de adición y redactar los hallazgos de manera clara.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40.0" w:type="dxa"/>
              <w:bottom w:w="70.0" w:type="dxa"/>
              <w:right w:w="110.0" w:type="dxa"/>
            </w:tcMar>
            <w:vAlign w:val="center"/>
          </w:tcPr>
          <w:p w:rsidR="00000000" w:rsidDel="00000000" w:rsidP="00000000" w:rsidRDefault="00000000" w:rsidRPr="00000000" w14:paraId="0000006B">
            <w:pPr>
              <w:rPr/>
            </w:pPr>
            <w:r w:rsidDel="00000000" w:rsidR="00000000" w:rsidRPr="00000000">
              <w:rPr>
                <w:b w:val="1"/>
                <w:bCs w:val="1"/>
                <w:color w:val="1a1a1a"/>
                <w:sz w:val="18"/>
                <w:szCs w:val="18"/>
                <w:rtl w:val="0"/>
              </w:rPr>
              <w:t xml:space="preserve">Resultado que fue verificado y forma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40.0" w:type="dxa"/>
              <w:bottom w:w="70.0" w:type="dxa"/>
              <w:right w:w="140.0" w:type="dxa"/>
            </w:tcMar>
          </w:tcPr>
          <w:p w:rsidR="00000000" w:rsidDel="00000000" w:rsidP="00000000" w:rsidRDefault="00000000" w:rsidRPr="00000000" w14:paraId="0000006C">
            <w:pPr>
              <w:rPr/>
            </w:pPr>
            <w:r w:rsidDel="00000000" w:rsidR="00000000" w:rsidRPr="00000000">
              <w:rPr>
                <w:rtl w:val="0"/>
              </w:rPr>
              <w:t xml:space="preserve">Se verificaron los resultados directamente en el notebook mediante la ejecución de las celdas de Python y la revisión de las tablas generadas. En particular, se comprobaron los valores de la media, mediana, percentiles, valores extremos, cantidad de contratos con registros de adición y las medianas de valor y duración para los contratos con y sin registros de adición.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40.0" w:type="dxa"/>
              <w:bottom w:w="70.0" w:type="dxa"/>
              <w:right w:w="110.0" w:type="dxa"/>
            </w:tcMar>
            <w:vAlign w:val="center"/>
          </w:tcPr>
          <w:p w:rsidR="00000000" w:rsidDel="00000000" w:rsidP="00000000" w:rsidRDefault="00000000" w:rsidRPr="00000000" w14:paraId="0000006D">
            <w:pPr>
              <w:rPr/>
            </w:pPr>
            <w:r w:rsidDel="00000000" w:rsidR="00000000" w:rsidRPr="00000000">
              <w:rPr>
                <w:b w:val="1"/>
                <w:bCs w:val="1"/>
                <w:color w:val="1a1a1a"/>
                <w:sz w:val="18"/>
                <w:szCs w:val="18"/>
                <w:rtl w:val="0"/>
              </w:rPr>
              <w:t xml:space="preserve">Decisión del equipo que no se delegó a la herramienta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40.0" w:type="dxa"/>
              <w:bottom w:w="70.0" w:type="dxa"/>
              <w:right w:w="140.0" w:type="dxa"/>
            </w:tcMar>
          </w:tcPr>
          <w:p w:rsidR="00000000" w:rsidDel="00000000" w:rsidP="00000000" w:rsidRDefault="00000000" w:rsidRPr="00000000" w14:paraId="0000006E">
            <w:pPr>
              <w:rPr/>
            </w:pPr>
            <w:r w:rsidDel="00000000" w:rsidR="00000000" w:rsidRPr="00000000">
              <w:rPr>
                <w:rtl w:val="0"/>
              </w:rPr>
              <w:t xml:space="preserve">El equipo tomó las decisiones sobre qué datos conservar, cómo interpretar los resultados y qué conclusiones presentar. También decidió no interpretar las diferencias observadas como relaciones causales y tuvo en cuenta las limitaciones de la base de datos y la diferencia en el número de contratos con y sin registros de adición.</w:t>
            </w:r>
          </w:p>
        </w:tc>
      </w:tr>
    </w:tbl>
    <w:p w:rsidR="00000000" w:rsidDel="00000000" w:rsidP="00000000" w:rsidRDefault="00000000" w:rsidRPr="00000000" w14:paraId="0000006F">
      <w:pPr>
        <w:spacing w:after="160" w:lineRule="auto"/>
        <w:rPr/>
      </w:pPr>
      <w:r w:rsidDel="00000000" w:rsidR="00000000" w:rsidRPr="00000000">
        <w:rPr>
          <w:rtl w:val="0"/>
        </w:rPr>
      </w:r>
    </w:p>
    <w:tbl>
      <w:tblPr>
        <w:tblStyle w:val="Table6"/>
        <w:tblW w:w="99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470"/>
        <w:gridCol w:w="1000"/>
        <w:gridCol w:w="4470"/>
        <w:tblGridChange w:id="0">
          <w:tblGrid>
            <w:gridCol w:w="4470"/>
            <w:gridCol w:w="1000"/>
            <w:gridCol w:w="44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70">
            <w:pPr>
              <w:pBdr>
                <w:bottom w:color="1a1a1a" w:space="0" w:sz="6" w:val="single"/>
              </w:pBdr>
              <w:spacing w:after="60" w:before="220" w:lineRule="auto"/>
              <w:rPr/>
            </w:pPr>
            <w:r w:rsidDel="00000000" w:rsidR="00000000" w:rsidRPr="00000000">
              <w:rPr>
                <w:color w:val="1a1a1a"/>
                <w:sz w:val="20"/>
                <w:szCs w:val="20"/>
                <w:rtl w:val="0"/>
              </w:rPr>
              <w:t xml:space="preserve"> </w:t>
            </w: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color w:val="1a1a1a"/>
                <w:sz w:val="18"/>
                <w:szCs w:val="18"/>
                <w:rtl w:val="0"/>
              </w:rPr>
              <w:t xml:space="preserve">Elaborado por (equipo de trabajo)</w:t>
            </w:r>
            <w:r w:rsidDel="00000000" w:rsidR="00000000" w:rsidRPr="00000000">
              <w:rPr>
                <w:rtl w:val="0"/>
              </w:rPr>
            </w:r>
          </w:p>
          <w:p w:rsidR="00000000" w:rsidDel="00000000" w:rsidP="00000000" w:rsidRDefault="00000000" w:rsidRPr="00000000" w14:paraId="00000072">
            <w:pPr>
              <w:rPr>
                <w:color w:val="595959"/>
                <w:sz w:val="16"/>
                <w:szCs w:val="16"/>
              </w:rPr>
            </w:pPr>
            <w:r w:rsidDel="00000000" w:rsidR="00000000" w:rsidRPr="00000000">
              <w:rPr>
                <w:color w:val="595959"/>
                <w:sz w:val="16"/>
                <w:szCs w:val="16"/>
                <w:rtl w:val="0"/>
              </w:rPr>
              <w:t xml:space="preserve">Integrantes y fecha de entrega</w:t>
            </w:r>
          </w:p>
          <w:p w:rsidR="00000000" w:rsidDel="00000000" w:rsidP="00000000" w:rsidRDefault="00000000" w:rsidRPr="00000000" w14:paraId="00000073">
            <w:pPr>
              <w:rPr>
                <w:color w:val="595959"/>
                <w:sz w:val="16"/>
                <w:szCs w:val="16"/>
              </w:rPr>
            </w:pPr>
            <w:r w:rsidDel="00000000" w:rsidR="00000000" w:rsidRPr="00000000">
              <w:rPr>
                <w:color w:val="595959"/>
                <w:sz w:val="16"/>
                <w:szCs w:val="16"/>
                <w:rtl w:val="0"/>
              </w:rPr>
              <w:t xml:space="preserve">Johann David Guerrero Niño</w:t>
            </w:r>
          </w:p>
          <w:p w:rsidR="00000000" w:rsidDel="00000000" w:rsidP="00000000" w:rsidRDefault="00000000" w:rsidRPr="00000000" w14:paraId="00000074">
            <w:pPr>
              <w:rPr>
                <w:color w:val="595959"/>
                <w:sz w:val="16"/>
                <w:szCs w:val="16"/>
              </w:rPr>
            </w:pPr>
            <w:r w:rsidDel="00000000" w:rsidR="00000000" w:rsidRPr="00000000">
              <w:rPr>
                <w:color w:val="595959"/>
                <w:sz w:val="16"/>
                <w:szCs w:val="16"/>
                <w:rtl w:val="0"/>
              </w:rPr>
              <w:t xml:space="preserve">Samuel Pardo Losada</w:t>
            </w:r>
          </w:p>
          <w:p w:rsidR="00000000" w:rsidDel="00000000" w:rsidP="00000000" w:rsidRDefault="00000000" w:rsidRPr="00000000" w14:paraId="00000075">
            <w:pPr>
              <w:rPr>
                <w:color w:val="595959"/>
                <w:sz w:val="16"/>
                <w:szCs w:val="16"/>
              </w:rPr>
            </w:pPr>
            <w:r w:rsidDel="00000000" w:rsidR="00000000" w:rsidRPr="00000000">
              <w:rPr>
                <w:color w:val="595959"/>
                <w:sz w:val="16"/>
                <w:szCs w:val="16"/>
                <w:rtl w:val="0"/>
              </w:rPr>
              <w:t xml:space="preserve">Juan Sebastian Rojas Cobos</w:t>
            </w:r>
          </w:p>
          <w:p w:rsidR="00000000" w:rsidDel="00000000" w:rsidP="00000000" w:rsidRDefault="00000000" w:rsidRPr="00000000" w14:paraId="00000076">
            <w:pPr>
              <w:rPr>
                <w:color w:val="595959"/>
                <w:sz w:val="16"/>
                <w:szCs w:val="16"/>
              </w:rPr>
            </w:pPr>
            <w:r w:rsidDel="00000000" w:rsidR="00000000" w:rsidRPr="00000000">
              <w:rPr>
                <w:color w:val="595959"/>
                <w:sz w:val="16"/>
                <w:szCs w:val="16"/>
                <w:rtl w:val="0"/>
              </w:rPr>
              <w:t xml:space="preserve">David Santiago Pedraza Pripra</w:t>
            </w:r>
          </w:p>
          <w:p w:rsidR="00000000" w:rsidDel="00000000" w:rsidP="00000000" w:rsidRDefault="00000000" w:rsidRPr="00000000" w14:paraId="00000077">
            <w:pPr>
              <w:rPr>
                <w:color w:val="595959"/>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79">
            <w:pPr>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t xml:space="preserve">20/09/26</w:t>
      </w:r>
    </w:p>
    <w:sectPr>
      <w:footerReference r:id="rId6" w:type="default"/>
      <w:pgSz w:h="15840" w:w="12240" w:orient="portrait"/>
      <w:pgMar w:bottom="900" w:top="850" w:left="1150" w:right="11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color="bfbfbf" w:space="0" w:sz="4" w:val="single"/>
      </w:pBdr>
      <w:tabs>
        <w:tab w:val="right" w:leader="none" w:pos="9940"/>
      </w:tabs>
      <w:spacing w:before="70" w:lineRule="auto"/>
      <w:rPr/>
    </w:pPr>
    <w:r w:rsidDel="00000000" w:rsidR="00000000" w:rsidRPr="00000000">
      <w:rPr>
        <w:color w:val="595959"/>
        <w:sz w:val="15"/>
        <w:szCs w:val="15"/>
        <w:rtl w:val="0"/>
      </w:rPr>
      <w:t xml:space="preserve">Tablero de evidencia. Data Analytics, 2026-2</w:t>
    </w:r>
    <w:r w:rsidDel="00000000" w:rsidR="00000000" w:rsidRPr="00000000">
      <w:rPr>
        <w:sz w:val="15"/>
        <w:szCs w:val="15"/>
        <w:rtl w:val="0"/>
      </w:rPr>
      <w:tab/>
    </w:r>
    <w:r w:rsidDel="00000000" w:rsidR="00000000" w:rsidRPr="00000000">
      <w:rPr>
        <w:color w:val="595959"/>
        <w:sz w:val="15"/>
        <w:szCs w:val="15"/>
        <w:rtl w:val="0"/>
      </w:rPr>
      <w:t xml:space="preserve">Página </w:t>
    </w:r>
    <w:r w:rsidDel="00000000" w:rsidR="00000000" w:rsidRPr="00000000">
      <w:rPr>
        <w:color w:val="595959"/>
        <w:sz w:val="15"/>
        <w:szCs w:val="15"/>
      </w:rPr>
      <w:fldChar w:fldCharType="begin"/>
      <w:instrText xml:space="preserve">PAGE</w:instrText>
      <w:fldChar w:fldCharType="separate"/>
      <w:fldChar w:fldCharType="end"/>
    </w:r>
    <w:r w:rsidDel="00000000" w:rsidR="00000000" w:rsidRPr="00000000">
      <w:rPr>
        <w:color w:val="595959"/>
        <w:sz w:val="15"/>
        <w:szCs w:val="15"/>
        <w:rtl w:val="0"/>
      </w:rPr>
      <w:t xml:space="preserve"> de </w:t>
    </w:r>
    <w:r w:rsidDel="00000000" w:rsidR="00000000" w:rsidRPr="00000000">
      <w:rPr>
        <w:color w:val="595959"/>
        <w:sz w:val="15"/>
        <w:szCs w:val="15"/>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