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C9FA" w14:textId="703BF39B" w:rsidR="00595E56" w:rsidRDefault="00000000">
      <w:pPr>
        <w:spacing w:after="60"/>
        <w:jc w:val="center"/>
      </w:pPr>
      <w:r>
        <w:rPr>
          <w:b/>
          <w:sz w:val="31"/>
        </w:rPr>
        <w:t>ANOXIA: Spatiotemporal Modeling of Hypoxia and Lagrangian Drift Convergence</w:t>
      </w:r>
    </w:p>
    <w:tbl>
      <w:tblPr>
        <w:tblW w:w="0" w:type="auto"/>
        <w:tblLook w:val="04A0" w:firstRow="1" w:lastRow="0" w:firstColumn="1" w:lastColumn="0" w:noHBand="0" w:noVBand="1"/>
      </w:tblPr>
      <w:tblGrid>
        <w:gridCol w:w="5227"/>
        <w:gridCol w:w="5227"/>
      </w:tblGrid>
      <w:tr w:rsidR="00595E56" w14:paraId="152E3B2C" w14:textId="77777777">
        <w:tc>
          <w:tcPr>
            <w:tcW w:w="5227" w:type="dxa"/>
            <w:shd w:val="clear" w:color="auto" w:fill="F1F3F5"/>
          </w:tcPr>
          <w:p w14:paraId="739276ED" w14:textId="77777777" w:rsidR="00595E56" w:rsidRDefault="00000000">
            <w:pPr>
              <w:spacing w:after="0"/>
            </w:pPr>
            <w:r>
              <w:rPr>
                <w:b/>
              </w:rPr>
              <w:t>Project Title</w:t>
            </w:r>
            <w:r>
              <w:rPr>
                <w:b/>
              </w:rPr>
              <w:br/>
            </w:r>
            <w:r>
              <w:rPr>
                <w:sz w:val="16"/>
              </w:rPr>
              <w:t>ANOXIA: Spatiotemporal Modeling of Hypoxia and Lagrangian Drift Convergence</w:t>
            </w:r>
          </w:p>
        </w:tc>
        <w:tc>
          <w:tcPr>
            <w:tcW w:w="5227" w:type="dxa"/>
            <w:shd w:val="clear" w:color="auto" w:fill="F1F3F5"/>
          </w:tcPr>
          <w:p w14:paraId="54E94CA5" w14:textId="77777777" w:rsidR="00595E56" w:rsidRDefault="00000000">
            <w:pPr>
              <w:spacing w:after="0"/>
            </w:pPr>
            <w:r>
              <w:rPr>
                <w:b/>
              </w:rPr>
              <w:t>Overview</w:t>
            </w:r>
            <w:r>
              <w:rPr>
                <w:b/>
              </w:rPr>
              <w:br/>
            </w:r>
            <w:r>
              <w:rPr>
                <w:sz w:val="16"/>
              </w:rPr>
              <w:t>A predictive marine-intelligence system that combines hypoxia forecasting with ghost-gear drift modeling to identify future Biodiversity Traps. It is designed to move fisheries and marine conservation from reactive recovery toward predictive intervention.</w:t>
            </w:r>
          </w:p>
        </w:tc>
      </w:tr>
      <w:tr w:rsidR="00595E56" w14:paraId="0C900955" w14:textId="77777777">
        <w:tc>
          <w:tcPr>
            <w:tcW w:w="5227" w:type="dxa"/>
            <w:shd w:val="clear" w:color="auto" w:fill="F1F3F5"/>
          </w:tcPr>
          <w:p w14:paraId="29A0C9AC" w14:textId="77777777" w:rsidR="00595E56" w:rsidRDefault="00000000">
            <w:pPr>
              <w:spacing w:after="0"/>
            </w:pPr>
            <w:r>
              <w:rPr>
                <w:b/>
              </w:rPr>
              <w:t>Problem</w:t>
            </w:r>
            <w:r>
              <w:rPr>
                <w:b/>
              </w:rPr>
              <w:br/>
            </w:r>
            <w:r>
              <w:rPr>
                <w:sz w:val="16"/>
              </w:rPr>
              <w:t>Deoxygenation can create marine Dead Zones that reduce fishing grounds and threaten species. Fishers may unknowingly deploy gear in hypoxic waters, while lost fishing nets continue drifting and can intersect future hypoxic zones. The source presentation identifies the lack of a 30-day pre-warning capability as a major operational gap.</w:t>
            </w:r>
          </w:p>
        </w:tc>
        <w:tc>
          <w:tcPr>
            <w:tcW w:w="5227" w:type="dxa"/>
            <w:shd w:val="clear" w:color="auto" w:fill="F1F3F5"/>
          </w:tcPr>
          <w:p w14:paraId="1865984A" w14:textId="77777777" w:rsidR="00595E56" w:rsidRDefault="00000000">
            <w:pPr>
              <w:spacing w:after="0"/>
            </w:pPr>
            <w:r>
              <w:rPr>
                <w:b/>
              </w:rPr>
              <w:t>Solution</w:t>
            </w:r>
            <w:r>
              <w:rPr>
                <w:b/>
              </w:rPr>
              <w:br/>
            </w:r>
            <w:r>
              <w:rPr>
                <w:sz w:val="16"/>
              </w:rPr>
              <w:t>Use a dual-engine architecture: an LSTM-based Dead Zone Engine forecasts oxygen crashes from precursor signals such as chlorophyll and temperature, while a Lagrangian Drift Engine models lost-gear trajectories using ocean currents. Their intersection is analysed through an Eco-Risk Overlay and Compound Mortality Score to produce actionable risk coordinates.</w:t>
            </w:r>
          </w:p>
        </w:tc>
      </w:tr>
    </w:tbl>
    <w:p w14:paraId="0CC2A912" w14:textId="77777777" w:rsidR="00595E56" w:rsidRDefault="00000000">
      <w:pPr>
        <w:spacing w:before="40" w:after="10"/>
      </w:pPr>
      <w:r>
        <w:rPr>
          <w:b/>
          <w:sz w:val="19"/>
        </w:rPr>
        <w:t>Novelty</w:t>
      </w:r>
    </w:p>
    <w:p w14:paraId="22DCCAF1" w14:textId="77777777" w:rsidR="00595E56" w:rsidRDefault="00000000">
      <w:pPr>
        <w:spacing w:after="30" w:line="240" w:lineRule="auto"/>
      </w:pPr>
      <w:r>
        <w:t>The strongest novelty is the convergence of two normally separate prediction problems: future hypoxia and physical ghost-gear drift. The project adds a Compound Mortality Score that combines SST and dissolved oxygen, and an Eco-Risk Overlay that turns the intersection of predicted Dead Zones and drifting gear into a spatial Biodiversity Trap alert. The presentation also reports a 1 km² grid and a 30-day horizon versus shorter/reactive baselines.</w:t>
      </w:r>
    </w:p>
    <w:p w14:paraId="0B624A42" w14:textId="77777777" w:rsidR="00595E56" w:rsidRDefault="00000000">
      <w:pPr>
        <w:spacing w:before="40" w:after="10"/>
      </w:pPr>
      <w:r>
        <w:rPr>
          <w:b/>
          <w:sz w:val="19"/>
        </w:rPr>
        <w:t>Tools &amp; Technologies</w:t>
      </w:r>
    </w:p>
    <w:p w14:paraId="54C77D1F" w14:textId="77777777" w:rsidR="00595E56" w:rsidRDefault="00000000">
      <w:pPr>
        <w:pStyle w:val="ListBullet"/>
        <w:spacing w:after="6" w:line="240" w:lineRule="auto"/>
        <w:ind w:left="245" w:hanging="144"/>
      </w:pPr>
      <w:r>
        <w:t>LSTM deep learning for dissolved-oxygen/hypoxia forecasting.</w:t>
      </w:r>
    </w:p>
    <w:p w14:paraId="0418027B" w14:textId="77777777" w:rsidR="00595E56" w:rsidRDefault="00000000">
      <w:pPr>
        <w:pStyle w:val="ListBullet"/>
        <w:spacing w:after="6" w:line="240" w:lineRule="auto"/>
        <w:ind w:left="245" w:hanging="144"/>
      </w:pPr>
      <w:r>
        <w:t>Sentinel-3 and MODIS satellite observations for high-resolution environmental signals.</w:t>
      </w:r>
    </w:p>
    <w:p w14:paraId="2823D199" w14:textId="77777777" w:rsidR="00595E56" w:rsidRDefault="00000000">
      <w:pPr>
        <w:pStyle w:val="ListBullet"/>
        <w:spacing w:after="6" w:line="240" w:lineRule="auto"/>
        <w:ind w:left="245" w:hanging="144"/>
      </w:pPr>
      <w:r>
        <w:t>HYCOM ocean-current data for Lagrangian drift modeling.</w:t>
      </w:r>
    </w:p>
    <w:p w14:paraId="012C94CE" w14:textId="77777777" w:rsidR="00595E56" w:rsidRDefault="00000000">
      <w:pPr>
        <w:pStyle w:val="ListBullet"/>
        <w:spacing w:after="6" w:line="240" w:lineRule="auto"/>
        <w:ind w:left="245" w:hanging="144"/>
      </w:pPr>
      <w:r>
        <w:t>AIS/VMS anomaly information for probable gear-loss locations.</w:t>
      </w:r>
    </w:p>
    <w:p w14:paraId="26555B7C" w14:textId="77777777" w:rsidR="00595E56" w:rsidRDefault="00000000">
      <w:pPr>
        <w:pStyle w:val="ListBullet"/>
        <w:spacing w:after="6" w:line="240" w:lineRule="auto"/>
        <w:ind w:left="245" w:hanging="144"/>
      </w:pPr>
      <w:r>
        <w:t>Compound Mortality Score (CMS) and Eco-Risk Overlay for risk fusion.</w:t>
      </w:r>
    </w:p>
    <w:p w14:paraId="33A363D0" w14:textId="77777777" w:rsidR="00595E56" w:rsidRDefault="00000000">
      <w:pPr>
        <w:pStyle w:val="ListBullet"/>
        <w:spacing w:after="6" w:line="240" w:lineRule="auto"/>
        <w:ind w:left="245" w:hanging="144"/>
      </w:pPr>
      <w:r>
        <w:t>Spatial modelling and dashboard-style actionable coordinate outputs.</w:t>
      </w:r>
    </w:p>
    <w:p w14:paraId="1E38F7A5" w14:textId="77777777" w:rsidR="00595E56" w:rsidRDefault="00000000">
      <w:pPr>
        <w:spacing w:before="40" w:after="10"/>
      </w:pPr>
      <w:r>
        <w:rPr>
          <w:b/>
          <w:sz w:val="19"/>
        </w:rPr>
        <w:t>Methodology</w:t>
      </w:r>
    </w:p>
    <w:p w14:paraId="0A81454E" w14:textId="77777777" w:rsidR="00595E56" w:rsidRDefault="00000000">
      <w:pPr>
        <w:pStyle w:val="ListBullet"/>
        <w:spacing w:after="6" w:line="240" w:lineRule="auto"/>
        <w:ind w:left="245" w:hanging="144"/>
      </w:pPr>
      <w:r>
        <w:t>Build a high-resolution 1 km² environmental grid using satellite and oceanographic inputs.</w:t>
      </w:r>
    </w:p>
    <w:p w14:paraId="1C4C80B1" w14:textId="77777777" w:rsidR="00595E56" w:rsidRDefault="00000000">
      <w:pPr>
        <w:pStyle w:val="ListBullet"/>
        <w:spacing w:after="6" w:line="240" w:lineRule="auto"/>
        <w:ind w:left="245" w:hanging="144"/>
      </w:pPr>
      <w:r>
        <w:t>Use precursor chains including chlorophyll and temperature-related signals to forecast hypoxia up to 30 days ahead.</w:t>
      </w:r>
    </w:p>
    <w:p w14:paraId="3DF1BCBD" w14:textId="77777777" w:rsidR="00595E56" w:rsidRDefault="00000000">
      <w:pPr>
        <w:pStyle w:val="ListBullet"/>
        <w:spacing w:after="6" w:line="240" w:lineRule="auto"/>
        <w:ind w:left="245" w:hanging="144"/>
      </w:pPr>
      <w:r>
        <w:t>Model lost fishing-gear trajectories using Lagrangian drift under HYCOM currents.</w:t>
      </w:r>
    </w:p>
    <w:p w14:paraId="7DE263DA" w14:textId="77777777" w:rsidR="00595E56" w:rsidRDefault="00000000">
      <w:pPr>
        <w:pStyle w:val="ListBullet"/>
        <w:spacing w:after="6" w:line="240" w:lineRule="auto"/>
        <w:ind w:left="245" w:hanging="144"/>
      </w:pPr>
      <w:r>
        <w:t>Detect likely gear-loss locations using vessel AIS/VMS anomalies.</w:t>
      </w:r>
    </w:p>
    <w:p w14:paraId="711DABC3" w14:textId="77777777" w:rsidR="00595E56" w:rsidRDefault="00000000">
      <w:pPr>
        <w:pStyle w:val="ListBullet"/>
        <w:spacing w:after="6" w:line="240" w:lineRule="auto"/>
        <w:ind w:left="245" w:hanging="144"/>
      </w:pPr>
      <w:r>
        <w:t>Intersect predicted drift paths with hypoxia forecasts and compute a unified ecological risk using CMS.</w:t>
      </w:r>
    </w:p>
    <w:p w14:paraId="1A534490" w14:textId="77777777" w:rsidR="00595E56" w:rsidRDefault="00000000">
      <w:pPr>
        <w:pStyle w:val="ListBullet"/>
        <w:spacing w:after="6" w:line="240" w:lineRule="auto"/>
        <w:ind w:left="245" w:hanging="144"/>
      </w:pPr>
      <w:r>
        <w:t>Generate Biodiversity Trap alerts and actionable coordinates for fisheries and the Indian Coast Guard.</w:t>
      </w:r>
    </w:p>
    <w:p w14:paraId="077A115F" w14:textId="77777777" w:rsidR="00595E56" w:rsidRDefault="00000000">
      <w:pPr>
        <w:spacing w:before="40" w:after="10"/>
      </w:pPr>
      <w:r>
        <w:rPr>
          <w:b/>
          <w:sz w:val="19"/>
        </w:rPr>
        <w:t>Outcome / Key Result</w:t>
      </w:r>
    </w:p>
    <w:p w14:paraId="70F920CE" w14:textId="77777777" w:rsidR="00595E56" w:rsidRDefault="00000000">
      <w:pPr>
        <w:spacing w:after="30" w:line="240" w:lineRule="auto"/>
      </w:pPr>
      <w:r>
        <w:t>The presented evaluation reports F1 = 0.9333, AUROC = 0.9763 and a 30-day prediction horizon. The model is reported at 1 km² spatial resolution, with Δ Chlorophyll identified as the top feature (39.69%) and temporal chlorophyll as a secondary feature (37.27%).</w:t>
      </w:r>
    </w:p>
    <w:p w14:paraId="206C80FD" w14:textId="46FD7646" w:rsidR="00595E56" w:rsidRDefault="00595E56"/>
    <w:sectPr w:rsidR="00595E56" w:rsidSect="00034616">
      <w:footerReference w:type="default" r:id="rId8"/>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80E94" w14:textId="77777777" w:rsidR="00335B03" w:rsidRDefault="00335B03">
      <w:pPr>
        <w:spacing w:after="0" w:line="240" w:lineRule="auto"/>
      </w:pPr>
      <w:r>
        <w:separator/>
      </w:r>
    </w:p>
  </w:endnote>
  <w:endnote w:type="continuationSeparator" w:id="0">
    <w:p w14:paraId="14B100CF" w14:textId="77777777" w:rsidR="00335B03" w:rsidRDefault="00335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CF8B" w14:textId="48303D29" w:rsidR="00595E56" w:rsidRDefault="00595E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9D53" w14:textId="77777777" w:rsidR="00335B03" w:rsidRDefault="00335B03">
      <w:pPr>
        <w:spacing w:after="0" w:line="240" w:lineRule="auto"/>
      </w:pPr>
      <w:r>
        <w:separator/>
      </w:r>
    </w:p>
  </w:footnote>
  <w:footnote w:type="continuationSeparator" w:id="0">
    <w:p w14:paraId="06BBFDCC" w14:textId="77777777" w:rsidR="00335B03" w:rsidRDefault="00335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747641">
    <w:abstractNumId w:val="8"/>
  </w:num>
  <w:num w:numId="2" w16cid:durableId="1864319634">
    <w:abstractNumId w:val="6"/>
  </w:num>
  <w:num w:numId="3" w16cid:durableId="177932198">
    <w:abstractNumId w:val="5"/>
  </w:num>
  <w:num w:numId="4" w16cid:durableId="1349019175">
    <w:abstractNumId w:val="4"/>
  </w:num>
  <w:num w:numId="5" w16cid:durableId="1203324547">
    <w:abstractNumId w:val="7"/>
  </w:num>
  <w:num w:numId="6" w16cid:durableId="884945764">
    <w:abstractNumId w:val="3"/>
  </w:num>
  <w:num w:numId="7" w16cid:durableId="2024746751">
    <w:abstractNumId w:val="2"/>
  </w:num>
  <w:num w:numId="8" w16cid:durableId="1612130923">
    <w:abstractNumId w:val="1"/>
  </w:num>
  <w:num w:numId="9" w16cid:durableId="73304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B03"/>
    <w:rsid w:val="0036230E"/>
    <w:rsid w:val="00595E56"/>
    <w:rsid w:val="00990E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ADB8E"/>
  <w14:defaultImageDpi w14:val="300"/>
  <w15:docId w15:val="{5715F5A7-8D25-48EE-BA72-8F26A7CF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aryashetty020206@outlook.com</cp:lastModifiedBy>
  <cp:revision>2</cp:revision>
  <dcterms:created xsi:type="dcterms:W3CDTF">2013-12-23T23:15:00Z</dcterms:created>
  <dcterms:modified xsi:type="dcterms:W3CDTF">2026-08-26T17:44:00Z</dcterms:modified>
  <cp:category/>
</cp:coreProperties>
</file>