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6974" w14:textId="77777777" w:rsidR="00341610" w:rsidRDefault="00000000">
      <w:pPr>
        <w:spacing w:after="60"/>
        <w:jc w:val="center"/>
      </w:pPr>
      <w:r>
        <w:rPr>
          <w:b/>
          <w:sz w:val="31"/>
        </w:rPr>
        <w:t>PROJECT 2: REWIRE: Drug Repurposing using Protein Network and Graph Attention Networks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341610" w14:paraId="596AF9FA" w14:textId="77777777">
        <w:tc>
          <w:tcPr>
            <w:tcW w:w="5227" w:type="dxa"/>
            <w:shd w:val="clear" w:color="auto" w:fill="F1F3F5"/>
          </w:tcPr>
          <w:p w14:paraId="06FB5D89" w14:textId="77777777" w:rsidR="00341610" w:rsidRDefault="00000000">
            <w:pPr>
              <w:spacing w:after="0"/>
            </w:pPr>
            <w:r>
              <w:rPr>
                <w:b/>
              </w:rPr>
              <w:t>Project Title</w:t>
            </w:r>
            <w:r>
              <w:rPr>
                <w:b/>
              </w:rPr>
              <w:br/>
            </w:r>
            <w:r>
              <w:rPr>
                <w:sz w:val="16"/>
              </w:rPr>
              <w:t>REWIRE: Drug Repurposing using Protein Network and Graph Attention Networks</w:t>
            </w:r>
          </w:p>
        </w:tc>
        <w:tc>
          <w:tcPr>
            <w:tcW w:w="5227" w:type="dxa"/>
            <w:shd w:val="clear" w:color="auto" w:fill="F1F3F5"/>
          </w:tcPr>
          <w:p w14:paraId="744014CD" w14:textId="77777777" w:rsidR="00341610" w:rsidRDefault="00000000">
            <w:pPr>
              <w:spacing w:after="0"/>
            </w:pPr>
            <w:r>
              <w:rPr>
                <w:b/>
              </w:rPr>
              <w:t>Overview</w:t>
            </w:r>
            <w:r>
              <w:rPr>
                <w:b/>
              </w:rPr>
              <w:br/>
            </w:r>
            <w:r>
              <w:rPr>
                <w:sz w:val="16"/>
              </w:rPr>
              <w:t>A computational drug-repurposing framework that represents diseases and drugs as perturbations of a dynamic human Protein–Protein Interaction network. It uses network rewiring signatures and Graph Attention Networks to identify and rank promising repurposing candidates.</w:t>
            </w:r>
          </w:p>
        </w:tc>
      </w:tr>
      <w:tr w:rsidR="00341610" w14:paraId="00CD75B9" w14:textId="77777777">
        <w:tc>
          <w:tcPr>
            <w:tcW w:w="5227" w:type="dxa"/>
            <w:shd w:val="clear" w:color="auto" w:fill="F1F3F5"/>
          </w:tcPr>
          <w:p w14:paraId="7804CF3F" w14:textId="77777777" w:rsidR="00341610" w:rsidRDefault="00000000">
            <w:pPr>
              <w:spacing w:after="0"/>
            </w:pPr>
            <w:r>
              <w:rPr>
                <w:b/>
              </w:rPr>
              <w:t>Problem</w:t>
            </w:r>
            <w:r>
              <w:rPr>
                <w:b/>
              </w:rPr>
              <w:br/>
            </w:r>
            <w:r>
              <w:rPr>
                <w:sz w:val="16"/>
              </w:rPr>
              <w:t>Traditional drug discovery is costly, slow and failure-prone, while many repurposing methods focus on static drug-target relationships or chemical similarity. These approaches can overlook system-wide biological interactions and disease-induced network changes.</w:t>
            </w:r>
          </w:p>
        </w:tc>
        <w:tc>
          <w:tcPr>
            <w:tcW w:w="5227" w:type="dxa"/>
            <w:shd w:val="clear" w:color="auto" w:fill="F1F3F5"/>
          </w:tcPr>
          <w:p w14:paraId="6B8FA583" w14:textId="77777777" w:rsidR="00341610" w:rsidRDefault="00000000">
            <w:pPr>
              <w:spacing w:after="0"/>
            </w:pPr>
            <w:r>
              <w:rPr>
                <w:b/>
              </w:rPr>
              <w:t>Solution</w:t>
            </w:r>
            <w:r>
              <w:rPr>
                <w:b/>
              </w:rPr>
              <w:br/>
            </w:r>
            <w:r>
              <w:rPr>
                <w:sz w:val="16"/>
              </w:rPr>
              <w:t>Construct a high-confidence human PPI network, simulate drug and disease perturbations, generate topology-based Rewiring Signature Vectors, learn drug representations using a Graph Attention Network, rank candidates by topology-driven similarity, and validate predictions using biological and clinical evidence.</w:t>
            </w:r>
          </w:p>
        </w:tc>
      </w:tr>
    </w:tbl>
    <w:p w14:paraId="6529F9AB" w14:textId="77777777" w:rsidR="00341610" w:rsidRDefault="00000000">
      <w:pPr>
        <w:spacing w:before="40" w:after="10"/>
      </w:pPr>
      <w:r>
        <w:rPr>
          <w:b/>
          <w:sz w:val="19"/>
        </w:rPr>
        <w:t>Novelty</w:t>
      </w:r>
    </w:p>
    <w:p w14:paraId="165C0F8F" w14:textId="77777777" w:rsidR="00341610" w:rsidRDefault="00000000">
      <w:pPr>
        <w:spacing w:after="30" w:line="240" w:lineRule="auto"/>
      </w:pPr>
      <w:r>
        <w:t>The key novelty is shifting drug repurposing from a primarily molecule/target-centric view to a dynamic network-rewiring view. REWIRE captures how a drug changes the topology of a biological system and combines these signatures with GAT-based graph representation learning for more interpretable candidate ranking.</w:t>
      </w:r>
    </w:p>
    <w:p w14:paraId="64CD983F" w14:textId="77777777" w:rsidR="00341610" w:rsidRDefault="00000000">
      <w:pPr>
        <w:spacing w:before="40" w:after="10"/>
      </w:pPr>
      <w:r>
        <w:rPr>
          <w:b/>
          <w:sz w:val="19"/>
        </w:rPr>
        <w:t>Tools &amp; Technologies</w:t>
      </w:r>
    </w:p>
    <w:p w14:paraId="3E5684AD" w14:textId="77777777" w:rsidR="00341610" w:rsidRDefault="00000000">
      <w:pPr>
        <w:pStyle w:val="ListBullet"/>
        <w:spacing w:after="6" w:line="240" w:lineRule="auto"/>
        <w:ind w:left="245" w:hanging="144"/>
      </w:pPr>
      <w:r>
        <w:t>Python 3.10; Pandas, NumPy and Scikit-learn for data processing.</w:t>
      </w:r>
    </w:p>
    <w:p w14:paraId="182CA7E2" w14:textId="77777777" w:rsidR="00341610" w:rsidRDefault="00000000">
      <w:pPr>
        <w:pStyle w:val="ListBullet"/>
        <w:spacing w:after="6" w:line="240" w:lineRule="auto"/>
        <w:ind w:left="245" w:hanging="144"/>
      </w:pPr>
      <w:r>
        <w:t>NetworkX, Python-Louvain and SciPy for graph analytics and topology.</w:t>
      </w:r>
    </w:p>
    <w:p w14:paraId="04314413" w14:textId="77777777" w:rsidR="00341610" w:rsidRDefault="00000000">
      <w:pPr>
        <w:pStyle w:val="ListBullet"/>
        <w:spacing w:after="6" w:line="240" w:lineRule="auto"/>
        <w:ind w:left="245" w:hanging="144"/>
      </w:pPr>
      <w:r>
        <w:t>PyTorch and PyTorch Geometric for Graph Attention Networks.</w:t>
      </w:r>
    </w:p>
    <w:p w14:paraId="710D3E81" w14:textId="77777777" w:rsidR="00341610" w:rsidRDefault="00000000">
      <w:pPr>
        <w:pStyle w:val="ListBullet"/>
        <w:spacing w:after="6" w:line="240" w:lineRule="auto"/>
        <w:ind w:left="245" w:hanging="144"/>
      </w:pPr>
      <w:r>
        <w:t>FastAPI and Uvicorn for backend services.</w:t>
      </w:r>
    </w:p>
    <w:p w14:paraId="2423BE25" w14:textId="77777777" w:rsidR="00341610" w:rsidRDefault="00000000">
      <w:pPr>
        <w:pStyle w:val="ListBullet"/>
        <w:spacing w:after="6" w:line="240" w:lineRule="auto"/>
        <w:ind w:left="245" w:hanging="144"/>
      </w:pPr>
      <w:r>
        <w:t>React, Tailwind CSS and force-directed graph visualization for the interface.</w:t>
      </w:r>
    </w:p>
    <w:p w14:paraId="0A425ED9" w14:textId="77777777" w:rsidR="00341610" w:rsidRDefault="00000000">
      <w:pPr>
        <w:pStyle w:val="ListBullet"/>
        <w:spacing w:after="6" w:line="240" w:lineRule="auto"/>
        <w:ind w:left="245" w:hanging="144"/>
      </w:pPr>
      <w:r>
        <w:t>STRING, DrugBank and OpenTargets datasets.</w:t>
      </w:r>
    </w:p>
    <w:p w14:paraId="2F3D504C" w14:textId="77777777" w:rsidR="00341610" w:rsidRDefault="00000000">
      <w:pPr>
        <w:spacing w:before="40" w:after="10"/>
      </w:pPr>
      <w:r>
        <w:rPr>
          <w:b/>
          <w:sz w:val="19"/>
        </w:rPr>
        <w:t>Methodology</w:t>
      </w:r>
    </w:p>
    <w:p w14:paraId="5E3E468E" w14:textId="77777777" w:rsidR="00341610" w:rsidRDefault="00000000">
      <w:pPr>
        <w:pStyle w:val="ListBullet"/>
        <w:spacing w:after="6" w:line="240" w:lineRule="auto"/>
        <w:ind w:left="245" w:hanging="144"/>
      </w:pPr>
      <w:r>
        <w:t>Build and analyse a large-scale human PPI network from STRING.</w:t>
      </w:r>
    </w:p>
    <w:p w14:paraId="1625925A" w14:textId="77777777" w:rsidR="00341610" w:rsidRDefault="00000000">
      <w:pPr>
        <w:pStyle w:val="ListBullet"/>
        <w:spacing w:after="6" w:line="240" w:lineRule="auto"/>
        <w:ind w:left="245" w:hanging="144"/>
      </w:pPr>
      <w:r>
        <w:t>Model diseases and drugs as perturbations and quantify resulting topological changes.</w:t>
      </w:r>
    </w:p>
    <w:p w14:paraId="3A6C353A" w14:textId="77777777" w:rsidR="00341610" w:rsidRDefault="00000000">
      <w:pPr>
        <w:pStyle w:val="ListBullet"/>
        <w:spacing w:after="6" w:line="240" w:lineRule="auto"/>
        <w:ind w:left="245" w:hanging="144"/>
      </w:pPr>
      <w:r>
        <w:t>Generate rewiring signatures using key network metrics for drugs and diseases.</w:t>
      </w:r>
    </w:p>
    <w:p w14:paraId="6442C431" w14:textId="77777777" w:rsidR="00341610" w:rsidRDefault="00000000">
      <w:pPr>
        <w:pStyle w:val="ListBullet"/>
        <w:spacing w:after="6" w:line="240" w:lineRule="auto"/>
        <w:ind w:left="245" w:hanging="144"/>
      </w:pPr>
      <w:r>
        <w:t>Use a Graph Attention Network to learn informative drug representations from the biological graph.</w:t>
      </w:r>
    </w:p>
    <w:p w14:paraId="706D68A2" w14:textId="77777777" w:rsidR="00341610" w:rsidRDefault="00000000">
      <w:pPr>
        <w:pStyle w:val="ListBullet"/>
        <w:spacing w:after="6" w:line="240" w:lineRule="auto"/>
        <w:ind w:left="245" w:hanging="144"/>
      </w:pPr>
      <w:r>
        <w:t>Rank candidates by similarity between drug and disease network signatures and validate predictions against known associations and clinical evidence.</w:t>
      </w:r>
    </w:p>
    <w:p w14:paraId="30541114" w14:textId="77777777" w:rsidR="00341610" w:rsidRDefault="00000000">
      <w:pPr>
        <w:spacing w:before="40" w:after="10"/>
      </w:pPr>
      <w:r>
        <w:rPr>
          <w:b/>
          <w:sz w:val="19"/>
        </w:rPr>
        <w:t>Outcome / Key Result</w:t>
      </w:r>
    </w:p>
    <w:p w14:paraId="241FFA6B" w14:textId="77777777" w:rsidR="00341610" w:rsidRDefault="00000000">
      <w:pPr>
        <w:spacing w:after="30" w:line="240" w:lineRule="auto"/>
      </w:pPr>
      <w:r>
        <w:t>The framework generated topology-based signatures for 141 drugs and diseases and implemented GAT-based representation learning. It also provided an interactive inference system for candidate ranking and demonstrated clinically relevant predictions such as Nilotinib for Parkinson’s disease.</w:t>
      </w:r>
    </w:p>
    <w:p w14:paraId="402A5B1F" w14:textId="77777777" w:rsidR="005B4FAD" w:rsidRDefault="005B4FAD"/>
    <w:sectPr w:rsidR="005B4FAD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0518" w14:textId="77777777" w:rsidR="00DF4801" w:rsidRDefault="00DF4801">
      <w:pPr>
        <w:spacing w:after="0" w:line="240" w:lineRule="auto"/>
      </w:pPr>
      <w:r>
        <w:separator/>
      </w:r>
    </w:p>
  </w:endnote>
  <w:endnote w:type="continuationSeparator" w:id="0">
    <w:p w14:paraId="1B87AE8C" w14:textId="77777777" w:rsidR="00DF4801" w:rsidRDefault="00DF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2A2E" w14:textId="5A207A4E" w:rsidR="00341610" w:rsidRDefault="003416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CC31A" w14:textId="77777777" w:rsidR="00DF4801" w:rsidRDefault="00DF4801">
      <w:pPr>
        <w:spacing w:after="0" w:line="240" w:lineRule="auto"/>
      </w:pPr>
      <w:r>
        <w:separator/>
      </w:r>
    </w:p>
  </w:footnote>
  <w:footnote w:type="continuationSeparator" w:id="0">
    <w:p w14:paraId="442CB334" w14:textId="77777777" w:rsidR="00DF4801" w:rsidRDefault="00DF4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04269">
    <w:abstractNumId w:val="8"/>
  </w:num>
  <w:num w:numId="2" w16cid:durableId="175464972">
    <w:abstractNumId w:val="6"/>
  </w:num>
  <w:num w:numId="3" w16cid:durableId="741217953">
    <w:abstractNumId w:val="5"/>
  </w:num>
  <w:num w:numId="4" w16cid:durableId="925042411">
    <w:abstractNumId w:val="4"/>
  </w:num>
  <w:num w:numId="5" w16cid:durableId="1440835976">
    <w:abstractNumId w:val="7"/>
  </w:num>
  <w:num w:numId="6" w16cid:durableId="890530811">
    <w:abstractNumId w:val="3"/>
  </w:num>
  <w:num w:numId="7" w16cid:durableId="2040475020">
    <w:abstractNumId w:val="2"/>
  </w:num>
  <w:num w:numId="8" w16cid:durableId="1714765238">
    <w:abstractNumId w:val="1"/>
  </w:num>
  <w:num w:numId="9" w16cid:durableId="108102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610"/>
    <w:rsid w:val="005B4FAD"/>
    <w:rsid w:val="00990EB6"/>
    <w:rsid w:val="00AA1D8D"/>
    <w:rsid w:val="00B47730"/>
    <w:rsid w:val="00CB0664"/>
    <w:rsid w:val="00DF4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96769"/>
  <w14:defaultImageDpi w14:val="300"/>
  <w15:docId w15:val="{5715F5A7-8D25-48EE-BA72-8F26A7CF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aryashetty020206@outlook.com</cp:lastModifiedBy>
  <cp:revision>2</cp:revision>
  <dcterms:created xsi:type="dcterms:W3CDTF">2013-12-23T23:15:00Z</dcterms:created>
  <dcterms:modified xsi:type="dcterms:W3CDTF">2026-08-26T18:20:00Z</dcterms:modified>
  <cp:category/>
</cp:coreProperties>
</file>