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1EF94" w14:textId="4193BE71" w:rsidR="001F6186" w:rsidRDefault="001F6186">
      <w:r>
        <w:t xml:space="preserve">January </w:t>
      </w:r>
      <w:r w:rsidR="00405498">
        <w:t>12</w:t>
      </w:r>
      <w:r>
        <w:t>, 2025</w:t>
      </w:r>
    </w:p>
    <w:p w14:paraId="7E0FF66B" w14:textId="77777777" w:rsidR="001F6186" w:rsidRDefault="001F6186"/>
    <w:p w14:paraId="6DEB256B" w14:textId="4FE0CC71" w:rsidR="001F6186" w:rsidRDefault="001F6186">
      <w:r>
        <w:t>Dear Dr. Bell,</w:t>
      </w:r>
    </w:p>
    <w:p w14:paraId="44539A23" w14:textId="77777777" w:rsidR="001F6186" w:rsidRDefault="001F6186"/>
    <w:p w14:paraId="487C1B94" w14:textId="1FE49D31" w:rsidR="001F6186" w:rsidRDefault="001F6186" w:rsidP="001F6186">
      <w:r w:rsidRPr="001F6186">
        <w:t>Thank you very much to you and the reviewers for your consideration of our manuscript, titled, “</w:t>
      </w:r>
      <w:r>
        <w:t>Disruption to Test Scores after Hurricanes in the United States</w:t>
      </w:r>
      <w:r w:rsidRPr="001F6186">
        <w:t xml:space="preserve">.” We appreciate the reviewers’ insightful comments and feedback. You will find each of </w:t>
      </w:r>
      <w:r>
        <w:t>their</w:t>
      </w:r>
      <w:r w:rsidRPr="001F6186">
        <w:t xml:space="preserve"> comments included, in turn, below, followed by our bolded author responses. </w:t>
      </w:r>
    </w:p>
    <w:p w14:paraId="604FDAA1" w14:textId="77777777" w:rsidR="001F6186" w:rsidRDefault="001F6186" w:rsidP="001F6186"/>
    <w:p w14:paraId="2D06472A" w14:textId="030B5C2E" w:rsidR="001F6186" w:rsidRPr="001F6186" w:rsidRDefault="001F6186" w:rsidP="001F6186">
      <w:pPr>
        <w:rPr>
          <w:u w:val="single"/>
        </w:rPr>
      </w:pPr>
      <w:r w:rsidRPr="001F6186">
        <w:rPr>
          <w:u w:val="single"/>
        </w:rPr>
        <w:t>Reviewer 1</w:t>
      </w:r>
    </w:p>
    <w:p w14:paraId="4301497A" w14:textId="77777777" w:rsidR="001F6186" w:rsidRPr="001F6186" w:rsidRDefault="001F6186" w:rsidP="001F6186"/>
    <w:p w14:paraId="24F7810E" w14:textId="636F9924" w:rsidR="009C60EE" w:rsidRDefault="001F6186" w:rsidP="001F6186">
      <w:r w:rsidRPr="001F6186">
        <w:t>This research is an important step to identify educational attainment after storms. The limitations you provide impact the robustness of the article and explanation of impact of storms on test scores. The results are not unexpected: Educational scores are highly variable by state, racial/ethnic, and sociodemographics. Further research into how return-to-school policies in place allow for better access to education and their long-term impact on test scores.</w:t>
      </w:r>
    </w:p>
    <w:p w14:paraId="54EF0D6E" w14:textId="77777777" w:rsidR="001F6186" w:rsidRDefault="001F6186" w:rsidP="001F6186"/>
    <w:p w14:paraId="2ECFBF3E" w14:textId="46E0DA72" w:rsidR="001F6186" w:rsidRDefault="001F6186" w:rsidP="001F6186">
      <w:pPr>
        <w:rPr>
          <w:b/>
          <w:bCs/>
        </w:rPr>
      </w:pPr>
      <w:r>
        <w:rPr>
          <w:b/>
          <w:bCs/>
        </w:rPr>
        <w:t>Thank you very much for acknowledging the importance of this research. We agree with you that the results are not unexpected given geographic and sociodemographic variability in the United States and that further research is needed to enhance school system and student recovery in the aftermath of hurricanes and other disaster events.</w:t>
      </w:r>
    </w:p>
    <w:p w14:paraId="324F9EE9" w14:textId="77777777" w:rsidR="001F6186" w:rsidRDefault="001F6186" w:rsidP="001F6186">
      <w:pPr>
        <w:rPr>
          <w:b/>
          <w:bCs/>
        </w:rPr>
      </w:pPr>
    </w:p>
    <w:p w14:paraId="399B8CAC" w14:textId="203054CD" w:rsidR="001F6186" w:rsidRPr="001F6186" w:rsidRDefault="001F6186" w:rsidP="001F6186">
      <w:pPr>
        <w:rPr>
          <w:u w:val="single"/>
        </w:rPr>
      </w:pPr>
      <w:r w:rsidRPr="001F6186">
        <w:rPr>
          <w:u w:val="single"/>
        </w:rPr>
        <w:t>Reviewer 2</w:t>
      </w:r>
    </w:p>
    <w:p w14:paraId="0CEBA226" w14:textId="77777777" w:rsidR="001F6186" w:rsidRDefault="001F6186" w:rsidP="001F6186"/>
    <w:p w14:paraId="0B336E4A" w14:textId="77777777" w:rsidR="001F6186" w:rsidRPr="001F6186" w:rsidRDefault="001F6186" w:rsidP="001F6186">
      <w:r w:rsidRPr="001F6186">
        <w:t xml:space="preserve">It is not clear how confounders were </w:t>
      </w:r>
      <w:proofErr w:type="gramStart"/>
      <w:r w:rsidRPr="001F6186">
        <w:t>selected</w:t>
      </w:r>
      <w:proofErr w:type="gramEnd"/>
      <w:r w:rsidRPr="001F6186">
        <w:t xml:space="preserve"> and they seem to only be factors</w:t>
      </w:r>
    </w:p>
    <w:p w14:paraId="4F1AB664" w14:textId="77777777" w:rsidR="001F6186" w:rsidRPr="001F6186" w:rsidRDefault="001F6186" w:rsidP="001F6186">
      <w:r w:rsidRPr="001F6186">
        <w:t>that would be associated with the outcome and not the exposure of interest.</w:t>
      </w:r>
    </w:p>
    <w:p w14:paraId="4ED40C4B" w14:textId="77777777" w:rsidR="001F6186" w:rsidRPr="001F6186" w:rsidRDefault="001F6186" w:rsidP="001F6186">
      <w:r w:rsidRPr="001F6186">
        <w:t>Adjusting for factors that are only associated with the outcome may attenuate</w:t>
      </w:r>
    </w:p>
    <w:p w14:paraId="37E87DA7" w14:textId="77777777" w:rsidR="001F6186" w:rsidRPr="001F6186" w:rsidRDefault="001F6186" w:rsidP="001F6186">
      <w:r w:rsidRPr="001F6186">
        <w:t>observed associations so I recommend the authors reconsider their adjustment</w:t>
      </w:r>
    </w:p>
    <w:p w14:paraId="6D29326D" w14:textId="77777777" w:rsidR="001F6186" w:rsidRPr="001F6186" w:rsidRDefault="001F6186" w:rsidP="001F6186">
      <w:r w:rsidRPr="001F6186">
        <w:t>variables. This paper may be helpful with thinking about that.</w:t>
      </w:r>
    </w:p>
    <w:p w14:paraId="608079BB" w14:textId="77777777" w:rsidR="001F6186" w:rsidRPr="001F6186" w:rsidRDefault="001F6186" w:rsidP="001F6186">
      <w:proofErr w:type="spellStart"/>
      <w:r w:rsidRPr="001F6186">
        <w:t>Schisterman</w:t>
      </w:r>
      <w:proofErr w:type="spellEnd"/>
      <w:r w:rsidRPr="001F6186">
        <w:t xml:space="preserve">, Enrique </w:t>
      </w:r>
      <w:proofErr w:type="spellStart"/>
      <w:r w:rsidRPr="001F6186">
        <w:t>F.a</w:t>
      </w:r>
      <w:proofErr w:type="spellEnd"/>
      <w:r w:rsidRPr="001F6186">
        <w:t xml:space="preserve">; Cole, Stephen </w:t>
      </w:r>
      <w:proofErr w:type="spellStart"/>
      <w:r w:rsidRPr="001F6186">
        <w:t>R.b</w:t>
      </w:r>
      <w:proofErr w:type="spellEnd"/>
      <w:r w:rsidRPr="001F6186">
        <w:t>; Platt, Robert W.c. Overadjustment</w:t>
      </w:r>
    </w:p>
    <w:p w14:paraId="3BCAD79F" w14:textId="77777777" w:rsidR="001F6186" w:rsidRPr="001F6186" w:rsidRDefault="001F6186" w:rsidP="001F6186">
      <w:r w:rsidRPr="001F6186">
        <w:t>Bias and Unnecessary Adjustment in Epidemiologic Studies. Epidemiology</w:t>
      </w:r>
    </w:p>
    <w:p w14:paraId="6FBEBCAF" w14:textId="77777777" w:rsidR="001F6186" w:rsidRDefault="001F6186" w:rsidP="001F6186">
      <w:r w:rsidRPr="001F6186">
        <w:t>20(4</w:t>
      </w:r>
      <w:proofErr w:type="gramStart"/>
      <w:r w:rsidRPr="001F6186">
        <w:t>):p</w:t>
      </w:r>
      <w:proofErr w:type="gramEnd"/>
      <w:r w:rsidRPr="001F6186">
        <w:t xml:space="preserve"> 488-495, July 2009. | DOI: 10.1097/EDE.0b013e3181a819a1</w:t>
      </w:r>
    </w:p>
    <w:p w14:paraId="51A4C7BF" w14:textId="77777777" w:rsidR="00CF42FE" w:rsidRDefault="00CF42FE" w:rsidP="001F6186"/>
    <w:p w14:paraId="2A407573" w14:textId="574117AB" w:rsidR="00CF42FE" w:rsidRDefault="00F25921" w:rsidP="00CF42FE">
      <w:pPr>
        <w:rPr>
          <w:b/>
          <w:bCs/>
        </w:rPr>
      </w:pPr>
      <w:r>
        <w:rPr>
          <w:b/>
          <w:bCs/>
        </w:rPr>
        <w:t xml:space="preserve">Thank you for this comment. </w:t>
      </w:r>
      <w:r w:rsidR="00CF42FE">
        <w:rPr>
          <w:b/>
          <w:bCs/>
        </w:rPr>
        <w:t>We agree with you that selecting for these variables may have attenuated the association between hurricane exposure and standardized test scores. Considering this, we did a sensitivity analysis where we restricted the model to only the exposure and outcome of interest.</w:t>
      </w:r>
    </w:p>
    <w:p w14:paraId="75DA4EDC" w14:textId="77777777" w:rsidR="00CF42FE" w:rsidRDefault="00CF42FE" w:rsidP="00CF42FE">
      <w:pPr>
        <w:rPr>
          <w:b/>
          <w:bCs/>
        </w:rPr>
      </w:pPr>
    </w:p>
    <w:p w14:paraId="482B7C56" w14:textId="725D26D0" w:rsidR="00CF42FE" w:rsidRPr="00CF42FE" w:rsidRDefault="00CF42FE" w:rsidP="00CF42FE">
      <w:pPr>
        <w:rPr>
          <w:b/>
          <w:bCs/>
        </w:rPr>
      </w:pPr>
      <w:r>
        <w:rPr>
          <w:b/>
          <w:bCs/>
        </w:rPr>
        <w:t>We have revised the Sensitivity Analysis</w:t>
      </w:r>
      <w:r>
        <w:rPr>
          <w:b/>
          <w:bCs/>
        </w:rPr>
        <w:t xml:space="preserve"> section within the Methods</w:t>
      </w:r>
      <w:r>
        <w:rPr>
          <w:b/>
          <w:bCs/>
        </w:rPr>
        <w:t xml:space="preserve"> of the manuscript to read as follow</w:t>
      </w:r>
      <w:r>
        <w:rPr>
          <w:b/>
          <w:bCs/>
        </w:rPr>
        <w:t>s</w:t>
      </w:r>
      <w:r>
        <w:rPr>
          <w:b/>
          <w:bCs/>
        </w:rPr>
        <w:t xml:space="preserve">: </w:t>
      </w:r>
    </w:p>
    <w:p w14:paraId="2CA396DF" w14:textId="77777777" w:rsidR="00CF42FE" w:rsidRDefault="00CF42FE" w:rsidP="001F6186">
      <w:pPr>
        <w:rPr>
          <w:b/>
          <w:bCs/>
        </w:rPr>
      </w:pPr>
    </w:p>
    <w:p w14:paraId="05B59E93" w14:textId="2AEE86C5" w:rsidR="00CF42FE" w:rsidRPr="0027017F" w:rsidRDefault="00CF42FE" w:rsidP="001F6186">
      <w:pPr>
        <w:rPr>
          <w:b/>
          <w:bCs/>
        </w:rPr>
      </w:pPr>
      <w:r w:rsidRPr="0027017F">
        <w:rPr>
          <w:b/>
          <w:bCs/>
        </w:rPr>
        <w:t>“</w:t>
      </w:r>
      <w:r w:rsidR="0027017F" w:rsidRPr="0027017F">
        <w:rPr>
          <w:b/>
          <w:bCs/>
          <w:color w:val="000000" w:themeColor="text1"/>
        </w:rPr>
        <w:t xml:space="preserve">Given that the addition of county-level and grade cohort-level covariates may have attenuated the association between hurricane-force tropical cyclone exposure and </w:t>
      </w:r>
      <w:r w:rsidR="0027017F" w:rsidRPr="0027017F">
        <w:rPr>
          <w:b/>
          <w:bCs/>
          <w:color w:val="000000" w:themeColor="text1"/>
        </w:rPr>
        <w:lastRenderedPageBreak/>
        <w:t xml:space="preserve">standardized test scores </w:t>
      </w:r>
      <w:r w:rsidR="0027017F" w:rsidRPr="0027017F">
        <w:rPr>
          <w:b/>
          <w:bCs/>
          <w:color w:val="000000" w:themeColor="text1"/>
        </w:rPr>
        <w:fldChar w:fldCharType="begin"/>
      </w:r>
      <w:r w:rsidR="0027017F" w:rsidRPr="0027017F">
        <w:rPr>
          <w:b/>
          <w:bCs/>
          <w:color w:val="000000" w:themeColor="text1"/>
        </w:rPr>
        <w:instrText xml:space="preserve"> ADDIN ZOTERO_ITEM CSL_CITATION {"citationID":"G4f6Qwi8","properties":{"formattedCitation":"(Schisterman et al., 2009)","plainCitation":"(Schisterman et al., 2009)","noteIndex":0},"citationItems":[{"id":4482,"uris":["http://zotero.org/groups/4923355/items/AQ8DGWUR"],"itemData":{"id":4482,"type":"article-journal","abstract":"Overadjustment is defined inconsistently. This term is meant to describe control (eg, by regression adjustment, stratification, or restriction) for a variable that either increases net bias or decreases precision without affecting bias. We define overadjustment bias as control for an intermediate variable (or a descending proxy for an intermediate variable) on a causal path from exposure to outcome. We define unnecessary adjustment as control for a variable that does not affect bias of the causal relation between exposure and outcome but may affect its precision. We use causal diagrams and an empirical example (the effect of maternal smoking on neonatal mortality) to illustrate and clarify the definition of overadjustment bias, and to distinguish overadjustment bias from unnecessary adjustment. Using simulations, we quantify the amount of bias associated with overadjustment. Moreover, we show that this bias is based on a different causal structure from confounding or selection biases. Overadjustment bias is not a finite sample bias, while inefficiencies due to control for unnecessary variables are a function of sample size.","container-title":"Epidemiology (Cambridge, Mass.)","DOI":"10.1097/EDE.0b013e3181a819a1","ISSN":"1531-5487","issue":"4","journalAbbreviation":"Epidemiology","language":"eng","note":"PMID: 19525685\nPMCID: PMC2744485","page":"488-495","source":"PubMed","title":"Overadjustment bias and unnecessary adjustment in epidemiologic studies","volume":"20","author":[{"family":"Schisterman","given":"Enrique F."},{"family":"Cole","given":"Stephen R."},{"family":"Platt","given":"Robert W."}],"issued":{"date-parts":[["2009",7]]}}}],"schema":"https://github.com/citation-style-language/schema/raw/master/csl-citation.json"} </w:instrText>
      </w:r>
      <w:r w:rsidR="0027017F" w:rsidRPr="0027017F">
        <w:rPr>
          <w:b/>
          <w:bCs/>
          <w:color w:val="000000" w:themeColor="text1"/>
        </w:rPr>
        <w:fldChar w:fldCharType="separate"/>
      </w:r>
      <w:r w:rsidR="0027017F" w:rsidRPr="0027017F">
        <w:rPr>
          <w:b/>
          <w:bCs/>
          <w:noProof/>
          <w:color w:val="000000" w:themeColor="text1"/>
        </w:rPr>
        <w:t>(Schisterman et al., 2009)</w:t>
      </w:r>
      <w:r w:rsidR="0027017F" w:rsidRPr="0027017F">
        <w:rPr>
          <w:b/>
          <w:bCs/>
          <w:color w:val="000000" w:themeColor="text1"/>
        </w:rPr>
        <w:fldChar w:fldCharType="end"/>
      </w:r>
      <w:r w:rsidR="0027017F" w:rsidRPr="0027017F">
        <w:rPr>
          <w:b/>
          <w:bCs/>
          <w:color w:val="000000" w:themeColor="text1"/>
        </w:rPr>
        <w:t>, we also conducted a sensitivity analysis where we removed all covariates from both the main model, as well as that restricted to counties with a single hurricane exposure over the study period</w:t>
      </w:r>
      <w:r w:rsidRPr="0027017F">
        <w:rPr>
          <w:b/>
          <w:bCs/>
        </w:rPr>
        <w:t>.</w:t>
      </w:r>
      <w:r w:rsidRPr="0027017F">
        <w:rPr>
          <w:b/>
          <w:bCs/>
        </w:rPr>
        <w:t>”</w:t>
      </w:r>
    </w:p>
    <w:p w14:paraId="3C171F2D" w14:textId="77777777" w:rsidR="00CF42FE" w:rsidRDefault="00CF42FE" w:rsidP="001F6186">
      <w:pPr>
        <w:rPr>
          <w:b/>
          <w:bCs/>
        </w:rPr>
      </w:pPr>
    </w:p>
    <w:p w14:paraId="38542E90" w14:textId="4262EAEA" w:rsidR="00CF42FE" w:rsidRDefault="00CF42FE" w:rsidP="001F6186">
      <w:pPr>
        <w:rPr>
          <w:b/>
          <w:bCs/>
        </w:rPr>
      </w:pPr>
      <w:r>
        <w:rPr>
          <w:b/>
          <w:bCs/>
        </w:rPr>
        <w:t xml:space="preserve">We also added a Sensitivity Analysis section within the Results describing the </w:t>
      </w:r>
      <w:r w:rsidR="00F25921">
        <w:rPr>
          <w:b/>
          <w:bCs/>
        </w:rPr>
        <w:t xml:space="preserve">sole </w:t>
      </w:r>
      <w:r>
        <w:rPr>
          <w:b/>
          <w:bCs/>
        </w:rPr>
        <w:t xml:space="preserve">association we observed: </w:t>
      </w:r>
    </w:p>
    <w:p w14:paraId="13E04FCE" w14:textId="77777777" w:rsidR="00CF42FE" w:rsidRDefault="00CF42FE" w:rsidP="001F6186">
      <w:pPr>
        <w:rPr>
          <w:b/>
          <w:bCs/>
        </w:rPr>
      </w:pPr>
    </w:p>
    <w:p w14:paraId="1988FC25" w14:textId="04EBDE1A" w:rsidR="00CF42FE" w:rsidRPr="00814126" w:rsidRDefault="00CF42FE" w:rsidP="001F6186">
      <w:pPr>
        <w:rPr>
          <w:b/>
          <w:bCs/>
          <w:color w:val="000000" w:themeColor="text1"/>
        </w:rPr>
      </w:pPr>
      <w:r w:rsidRPr="00814126">
        <w:rPr>
          <w:b/>
          <w:bCs/>
        </w:rPr>
        <w:t>“</w:t>
      </w:r>
      <w:r w:rsidR="00814126" w:rsidRPr="00814126">
        <w:rPr>
          <w:b/>
          <w:bCs/>
          <w:color w:val="000000" w:themeColor="text1"/>
        </w:rPr>
        <w:t>Most of the sensitivity analyses we conducted showed similar results to the main model with some exceptions. In the main, state-specific model excluding all covariates, we observed a negative association between counties exposed to hurricane-force tropical cyclone exposure and RLA scores in Texas (</w:t>
      </w:r>
      <w:r w:rsidR="00814126" w:rsidRPr="00814126">
        <w:rPr>
          <w:b/>
          <w:bCs/>
          <w:color w:val="000000" w:themeColor="text1"/>
        </w:rPr>
        <w:sym w:font="Symbol" w:char="F062"/>
      </w:r>
      <w:r w:rsidR="00814126" w:rsidRPr="00814126">
        <w:rPr>
          <w:b/>
          <w:bCs/>
          <w:color w:val="000000" w:themeColor="text1"/>
        </w:rPr>
        <w:t xml:space="preserve"> = -0.11; 95% </w:t>
      </w:r>
      <w:proofErr w:type="spellStart"/>
      <w:r w:rsidR="00814126" w:rsidRPr="00814126">
        <w:rPr>
          <w:b/>
          <w:bCs/>
          <w:color w:val="000000" w:themeColor="text1"/>
        </w:rPr>
        <w:t>CrI</w:t>
      </w:r>
      <w:proofErr w:type="spellEnd"/>
      <w:r w:rsidR="00814126" w:rsidRPr="00814126">
        <w:rPr>
          <w:b/>
          <w:bCs/>
          <w:color w:val="000000" w:themeColor="text1"/>
        </w:rPr>
        <w:t xml:space="preserve">: -0.22, -0.01; </w:t>
      </w:r>
      <w:proofErr w:type="gramStart"/>
      <w:r w:rsidR="00814126" w:rsidRPr="00814126">
        <w:rPr>
          <w:b/>
          <w:bCs/>
          <w:color w:val="000000" w:themeColor="text1"/>
        </w:rPr>
        <w:t>PP[</w:t>
      </w:r>
      <w:proofErr w:type="gramEnd"/>
      <w:r w:rsidR="00814126" w:rsidRPr="00814126">
        <w:rPr>
          <w:b/>
          <w:bCs/>
          <w:color w:val="000000" w:themeColor="text1"/>
        </w:rPr>
        <w:sym w:font="Symbol" w:char="F062"/>
      </w:r>
      <w:r w:rsidR="00814126" w:rsidRPr="00814126">
        <w:rPr>
          <w:b/>
          <w:bCs/>
          <w:color w:val="000000" w:themeColor="text1"/>
        </w:rPr>
        <w:t>&lt;0] = 98%).</w:t>
      </w:r>
      <w:r w:rsidRPr="00814126">
        <w:rPr>
          <w:b/>
          <w:bCs/>
        </w:rPr>
        <w:t xml:space="preserve">” </w:t>
      </w:r>
    </w:p>
    <w:p w14:paraId="2B02E4FB" w14:textId="77777777" w:rsidR="001F6186" w:rsidRDefault="001F6186" w:rsidP="001F6186"/>
    <w:p w14:paraId="6DF28647" w14:textId="77777777" w:rsidR="001F6186" w:rsidRPr="001F6186" w:rsidRDefault="001F6186" w:rsidP="001F6186">
      <w:r w:rsidRPr="001F6186">
        <w:t>It would be very useful to incorporate any available information on school</w:t>
      </w:r>
    </w:p>
    <w:p w14:paraId="0C1643EA" w14:textId="77777777" w:rsidR="001F6186" w:rsidRPr="001F6186" w:rsidRDefault="001F6186" w:rsidP="001F6186">
      <w:r w:rsidRPr="001F6186">
        <w:t>closures into this analysis. Grouping together all counties that have high wind</w:t>
      </w:r>
    </w:p>
    <w:p w14:paraId="4D380DB2" w14:textId="77777777" w:rsidR="001F6186" w:rsidRPr="001F6186" w:rsidRDefault="001F6186" w:rsidP="001F6186">
      <w:r w:rsidRPr="001F6186">
        <w:t>speeds as being exposed may smooth over associations you wish to observe</w:t>
      </w:r>
    </w:p>
    <w:p w14:paraId="7A724D83" w14:textId="77777777" w:rsidR="001F6186" w:rsidRPr="001F6186" w:rsidRDefault="001F6186" w:rsidP="001F6186">
      <w:r w:rsidRPr="001F6186">
        <w:t>because the impacts may be much worse for counties that experienced actual</w:t>
      </w:r>
    </w:p>
    <w:p w14:paraId="0E14915B" w14:textId="77777777" w:rsidR="001F6186" w:rsidRPr="001F6186" w:rsidRDefault="001F6186" w:rsidP="001F6186">
      <w:r w:rsidRPr="001F6186">
        <w:t xml:space="preserve">school closures during the </w:t>
      </w:r>
      <w:proofErr w:type="gramStart"/>
      <w:r w:rsidRPr="001F6186">
        <w:t>time period</w:t>
      </w:r>
      <w:proofErr w:type="gramEnd"/>
      <w:r w:rsidRPr="001F6186">
        <w:t xml:space="preserve"> as a result of the hurricanes. With this, I</w:t>
      </w:r>
    </w:p>
    <w:p w14:paraId="4618FFCA" w14:textId="77777777" w:rsidR="001F6186" w:rsidRPr="001F6186" w:rsidRDefault="001F6186" w:rsidP="001F6186">
      <w:r w:rsidRPr="001F6186">
        <w:t>think the authors should also explain more why wind speed is the measure they</w:t>
      </w:r>
    </w:p>
    <w:p w14:paraId="4819B6E8" w14:textId="77777777" w:rsidR="001F6186" w:rsidRPr="001F6186" w:rsidRDefault="001F6186" w:rsidP="001F6186">
      <w:r w:rsidRPr="001F6186">
        <w:t>decided to use as a proxy for hurricane exposure. Wind speed is only one small</w:t>
      </w:r>
    </w:p>
    <w:p w14:paraId="1D8AC9E9" w14:textId="77777777" w:rsidR="001F6186" w:rsidRPr="001F6186" w:rsidRDefault="001F6186" w:rsidP="001F6186">
      <w:r w:rsidRPr="001F6186">
        <w:t>part of a hurricane’s impacts and it is no surprise that by using that as the</w:t>
      </w:r>
    </w:p>
    <w:p w14:paraId="7070AB23" w14:textId="77777777" w:rsidR="001F6186" w:rsidRPr="001F6186" w:rsidRDefault="001F6186" w:rsidP="001F6186">
      <w:r w:rsidRPr="001F6186">
        <w:t xml:space="preserve">exposure, </w:t>
      </w:r>
      <w:proofErr w:type="gramStart"/>
      <w:r w:rsidRPr="001F6186">
        <w:t>the majority of</w:t>
      </w:r>
      <w:proofErr w:type="gramEnd"/>
      <w:r w:rsidRPr="001F6186">
        <w:t xml:space="preserve"> the counties included in the analysis are mostly directly</w:t>
      </w:r>
    </w:p>
    <w:p w14:paraId="2D624019" w14:textId="77777777" w:rsidR="001F6186" w:rsidRPr="001F6186" w:rsidRDefault="001F6186" w:rsidP="001F6186">
      <w:r w:rsidRPr="001F6186">
        <w:t>along the coast because hurricanes lose speed as they are on land longer.</w:t>
      </w:r>
    </w:p>
    <w:p w14:paraId="2D41C597" w14:textId="77777777" w:rsidR="001F6186" w:rsidRPr="001F6186" w:rsidRDefault="001F6186" w:rsidP="001F6186">
      <w:r w:rsidRPr="001F6186">
        <w:t>However, it is important to note that in examples like Hurricane Florence, larger</w:t>
      </w:r>
    </w:p>
    <w:p w14:paraId="4F4608C6" w14:textId="77777777" w:rsidR="001F6186" w:rsidRPr="001F6186" w:rsidRDefault="001F6186" w:rsidP="001F6186">
      <w:r w:rsidRPr="001F6186">
        <w:t>impacts were observed further inland in North Carolina due to extreme flooding</w:t>
      </w:r>
    </w:p>
    <w:p w14:paraId="4CCB6261" w14:textId="77777777" w:rsidR="001F6186" w:rsidRPr="001F6186" w:rsidRDefault="001F6186" w:rsidP="001F6186">
      <w:r w:rsidRPr="001F6186">
        <w:t xml:space="preserve">that occurred </w:t>
      </w:r>
      <w:proofErr w:type="gramStart"/>
      <w:r w:rsidRPr="001F6186">
        <w:t>as a result of</w:t>
      </w:r>
      <w:proofErr w:type="gramEnd"/>
      <w:r w:rsidRPr="001F6186">
        <w:t xml:space="preserve"> the hurricane. These counties that were impacted</w:t>
      </w:r>
    </w:p>
    <w:p w14:paraId="318A03E6" w14:textId="77777777" w:rsidR="001F6186" w:rsidRPr="001F6186" w:rsidRDefault="001F6186" w:rsidP="001F6186">
      <w:r w:rsidRPr="001F6186">
        <w:t>with things like school and hospital closures further inland due to hurricane-</w:t>
      </w:r>
    </w:p>
    <w:p w14:paraId="16C44E2C" w14:textId="77777777" w:rsidR="001F6186" w:rsidRPr="001F6186" w:rsidRDefault="001F6186" w:rsidP="001F6186">
      <w:r w:rsidRPr="001F6186">
        <w:t>related flooding would be included in your control group in this analysis when you</w:t>
      </w:r>
    </w:p>
    <w:p w14:paraId="03F7A9A2" w14:textId="77777777" w:rsidR="001F6186" w:rsidRDefault="001F6186" w:rsidP="001F6186">
      <w:r w:rsidRPr="001F6186">
        <w:t>use wind speed as the exposure determinant.</w:t>
      </w:r>
    </w:p>
    <w:p w14:paraId="2482669C" w14:textId="77777777" w:rsidR="00AA6AFD" w:rsidRDefault="00AA6AFD" w:rsidP="001F6186"/>
    <w:p w14:paraId="5D376D91" w14:textId="60A520C0" w:rsidR="00AA6AFD" w:rsidRDefault="00AA6AFD" w:rsidP="001F6186">
      <w:pPr>
        <w:rPr>
          <w:b/>
          <w:bCs/>
        </w:rPr>
      </w:pPr>
      <w:r>
        <w:rPr>
          <w:b/>
          <w:bCs/>
        </w:rPr>
        <w:t xml:space="preserve">Thank you for this very insightful feedback. We agree with you that information on school closures would have enhanced our analysis, but we unfortunately did not have </w:t>
      </w:r>
      <w:r w:rsidR="00F200CC">
        <w:rPr>
          <w:b/>
          <w:bCs/>
        </w:rPr>
        <w:t xml:space="preserve">access to this </w:t>
      </w:r>
      <w:r>
        <w:rPr>
          <w:b/>
          <w:bCs/>
        </w:rPr>
        <w:t xml:space="preserve">data. We have added language about this in the Limitations: </w:t>
      </w:r>
    </w:p>
    <w:p w14:paraId="77DC702E" w14:textId="77777777" w:rsidR="00AA6AFD" w:rsidRDefault="00AA6AFD" w:rsidP="001F6186">
      <w:pPr>
        <w:rPr>
          <w:b/>
          <w:bCs/>
        </w:rPr>
      </w:pPr>
    </w:p>
    <w:p w14:paraId="4D8D4335" w14:textId="042D6F6B" w:rsidR="00AA6AFD" w:rsidRDefault="00AA6AFD" w:rsidP="001F6186">
      <w:pPr>
        <w:rPr>
          <w:b/>
          <w:bCs/>
        </w:rPr>
      </w:pPr>
      <w:r>
        <w:rPr>
          <w:b/>
          <w:bCs/>
        </w:rPr>
        <w:t>“</w:t>
      </w:r>
      <w:r w:rsidRPr="00AA6AFD">
        <w:rPr>
          <w:b/>
          <w:bCs/>
        </w:rPr>
        <w:t>Sixth, we did not have any data available to us on school closures.</w:t>
      </w:r>
      <w:r w:rsidRPr="001F6186">
        <w:rPr>
          <w:b/>
          <w:bCs/>
        </w:rPr>
        <w:t xml:space="preserve"> </w:t>
      </w:r>
      <w:r w:rsidRPr="005A376A">
        <w:rPr>
          <w:b/>
          <w:bCs/>
        </w:rPr>
        <w:t xml:space="preserve">Grouping together all counties that </w:t>
      </w:r>
      <w:r w:rsidRPr="00AA6AFD">
        <w:rPr>
          <w:b/>
          <w:bCs/>
        </w:rPr>
        <w:t>experienced</w:t>
      </w:r>
      <w:r w:rsidRPr="005A376A">
        <w:rPr>
          <w:b/>
          <w:bCs/>
        </w:rPr>
        <w:t xml:space="preserve"> high wind</w:t>
      </w:r>
      <w:r w:rsidRPr="00AA6AFD">
        <w:rPr>
          <w:b/>
          <w:bCs/>
        </w:rPr>
        <w:t xml:space="preserve"> </w:t>
      </w:r>
      <w:r w:rsidRPr="005A376A">
        <w:rPr>
          <w:b/>
          <w:bCs/>
        </w:rPr>
        <w:t xml:space="preserve">speeds </w:t>
      </w:r>
      <w:r w:rsidRPr="00AA6AFD">
        <w:rPr>
          <w:b/>
          <w:bCs/>
        </w:rPr>
        <w:t xml:space="preserve">irrespective of whether their schools closed may have attenuated the association of interest. Hurricane impacts on educational outcomes may have been far worse in those counties </w:t>
      </w:r>
      <w:r w:rsidRPr="005A376A">
        <w:rPr>
          <w:b/>
          <w:bCs/>
        </w:rPr>
        <w:t>that experienced actual</w:t>
      </w:r>
      <w:r w:rsidRPr="00AA6AFD">
        <w:rPr>
          <w:b/>
          <w:bCs/>
        </w:rPr>
        <w:t xml:space="preserve"> </w:t>
      </w:r>
      <w:r w:rsidRPr="001F6186">
        <w:rPr>
          <w:b/>
          <w:bCs/>
        </w:rPr>
        <w:t>school closures</w:t>
      </w:r>
      <w:r w:rsidRPr="00AA6AFD">
        <w:rPr>
          <w:b/>
          <w:bCs/>
        </w:rPr>
        <w:t xml:space="preserve"> in the aftermath of hurricanes </w:t>
      </w:r>
      <w:r w:rsidRPr="001F6186">
        <w:rPr>
          <w:b/>
          <w:bCs/>
        </w:rPr>
        <w:t xml:space="preserve">during </w:t>
      </w:r>
      <w:r w:rsidRPr="00AA6AFD">
        <w:rPr>
          <w:b/>
          <w:bCs/>
        </w:rPr>
        <w:t>our</w:t>
      </w:r>
      <w:r w:rsidRPr="001F6186">
        <w:rPr>
          <w:b/>
          <w:bCs/>
        </w:rPr>
        <w:t xml:space="preserve"> </w:t>
      </w:r>
      <w:r w:rsidRPr="00AA6AFD">
        <w:rPr>
          <w:b/>
          <w:bCs/>
        </w:rPr>
        <w:t>study period</w:t>
      </w:r>
      <w:r w:rsidRPr="001F6186">
        <w:rPr>
          <w:b/>
          <w:bCs/>
        </w:rPr>
        <w:t>.</w:t>
      </w:r>
      <w:r>
        <w:rPr>
          <w:b/>
          <w:bCs/>
        </w:rPr>
        <w:t>”</w:t>
      </w:r>
    </w:p>
    <w:p w14:paraId="539AB913" w14:textId="77777777" w:rsidR="00F200CC" w:rsidRDefault="00F200CC" w:rsidP="001F6186">
      <w:pPr>
        <w:rPr>
          <w:b/>
          <w:bCs/>
        </w:rPr>
      </w:pPr>
    </w:p>
    <w:p w14:paraId="2C645E29" w14:textId="031022B7" w:rsidR="00F200CC" w:rsidRDefault="00F200CC" w:rsidP="001F6186">
      <w:pPr>
        <w:rPr>
          <w:b/>
          <w:bCs/>
        </w:rPr>
      </w:pPr>
      <w:r>
        <w:rPr>
          <w:b/>
          <w:bCs/>
        </w:rPr>
        <w:t xml:space="preserve">We also appreciate your comment about using wind speed as a proxy for hurricane exposure. In our analysis, wind speed </w:t>
      </w:r>
      <w:r w:rsidRPr="00F200CC">
        <w:rPr>
          <w:b/>
          <w:bCs/>
        </w:rPr>
        <w:t>is an indication of hurricane</w:t>
      </w:r>
      <w:r>
        <w:rPr>
          <w:b/>
          <w:bCs/>
        </w:rPr>
        <w:t xml:space="preserve"> </w:t>
      </w:r>
      <w:r w:rsidRPr="00F200CC">
        <w:rPr>
          <w:b/>
          <w:bCs/>
          <w:i/>
          <w:iCs/>
        </w:rPr>
        <w:t>occurrence</w:t>
      </w:r>
      <w:r w:rsidRPr="00F200CC">
        <w:rPr>
          <w:b/>
          <w:bCs/>
        </w:rPr>
        <w:t xml:space="preserve"> rather than </w:t>
      </w:r>
      <w:r>
        <w:rPr>
          <w:b/>
          <w:bCs/>
        </w:rPr>
        <w:t xml:space="preserve">an </w:t>
      </w:r>
      <w:r w:rsidRPr="00F200CC">
        <w:rPr>
          <w:b/>
          <w:bCs/>
        </w:rPr>
        <w:t>exposure variable itself</w:t>
      </w:r>
      <w:r>
        <w:rPr>
          <w:b/>
          <w:bCs/>
        </w:rPr>
        <w:t>. W</w:t>
      </w:r>
      <w:r w:rsidRPr="00F200CC">
        <w:rPr>
          <w:b/>
          <w:bCs/>
        </w:rPr>
        <w:t>e recognize that hurricanes bring along precipitation and storm surge</w:t>
      </w:r>
      <w:r>
        <w:rPr>
          <w:b/>
          <w:bCs/>
        </w:rPr>
        <w:t xml:space="preserve"> in addition to high winds. With that said, most</w:t>
      </w:r>
      <w:r w:rsidRPr="00F200CC">
        <w:rPr>
          <w:b/>
          <w:bCs/>
        </w:rPr>
        <w:t xml:space="preserve"> </w:t>
      </w:r>
      <w:r>
        <w:rPr>
          <w:b/>
          <w:bCs/>
        </w:rPr>
        <w:t xml:space="preserve">hurricane </w:t>
      </w:r>
      <w:r>
        <w:rPr>
          <w:b/>
          <w:bCs/>
        </w:rPr>
        <w:lastRenderedPageBreak/>
        <w:t xml:space="preserve">related </w:t>
      </w:r>
      <w:r w:rsidRPr="00F200CC">
        <w:rPr>
          <w:b/>
          <w:bCs/>
        </w:rPr>
        <w:t>flooding occur</w:t>
      </w:r>
      <w:r>
        <w:rPr>
          <w:b/>
          <w:bCs/>
        </w:rPr>
        <w:t>s</w:t>
      </w:r>
      <w:r w:rsidRPr="00F200CC">
        <w:rPr>
          <w:b/>
          <w:bCs/>
        </w:rPr>
        <w:t xml:space="preserve"> with high wind speeds</w:t>
      </w:r>
      <w:r>
        <w:rPr>
          <w:b/>
          <w:bCs/>
        </w:rPr>
        <w:t>, and</w:t>
      </w:r>
      <w:r w:rsidRPr="00F200CC">
        <w:rPr>
          <w:b/>
          <w:bCs/>
        </w:rPr>
        <w:t xml:space="preserve"> storm surges </w:t>
      </w:r>
      <w:r>
        <w:rPr>
          <w:b/>
          <w:bCs/>
        </w:rPr>
        <w:t>inflicting the</w:t>
      </w:r>
      <w:r w:rsidRPr="00F200CC">
        <w:rPr>
          <w:b/>
          <w:bCs/>
        </w:rPr>
        <w:t xml:space="preserve"> most damage are largely coastal </w:t>
      </w:r>
      <w:r>
        <w:rPr>
          <w:b/>
          <w:bCs/>
        </w:rPr>
        <w:t xml:space="preserve">and </w:t>
      </w:r>
      <w:r w:rsidRPr="00F200CC">
        <w:rPr>
          <w:b/>
          <w:bCs/>
        </w:rPr>
        <w:t>aligned with wind speed</w:t>
      </w:r>
      <w:r>
        <w:rPr>
          <w:b/>
          <w:bCs/>
        </w:rPr>
        <w:t xml:space="preserve">. We have therefore added the following </w:t>
      </w:r>
      <w:r w:rsidR="00F46308">
        <w:rPr>
          <w:b/>
          <w:bCs/>
        </w:rPr>
        <w:t>sentence</w:t>
      </w:r>
      <w:r>
        <w:rPr>
          <w:b/>
          <w:bCs/>
        </w:rPr>
        <w:t xml:space="preserve"> to our description of this variable in the Methods: </w:t>
      </w:r>
      <w:r w:rsidR="00F46308">
        <w:rPr>
          <w:b/>
          <w:bCs/>
        </w:rPr>
        <w:t>“</w:t>
      </w:r>
      <w:r w:rsidR="00F46308" w:rsidRPr="00F46308">
        <w:rPr>
          <w:b/>
          <w:bCs/>
        </w:rPr>
        <w:t xml:space="preserve">Research has shown that high wind speeds during hurricanes are strongly correlated with flooding, high storm surge, and structural damage, especially in coastal areas </w:t>
      </w:r>
      <w:r w:rsidR="00F46308" w:rsidRPr="00F46308">
        <w:rPr>
          <w:b/>
          <w:bCs/>
        </w:rPr>
        <w:fldChar w:fldCharType="begin"/>
      </w:r>
      <w:r w:rsidR="00F46308" w:rsidRPr="00F46308">
        <w:rPr>
          <w:b/>
          <w:bCs/>
        </w:rPr>
        <w:instrText xml:space="preserve"> ADDIN ZOTERO_ITEM CSL_CITATION {"citationID":"e08fb7b6","properties":{"formattedCitation":"(Chavas et al., 2013; Murnane and Elsner, 2012; Musinguzi and Akbar, 2021)","plainCitation":"(Chavas et al., 2013; Murnane and Elsner, 2012; Musinguzi and Akbar, 2021)","noteIndex":0},"citationItems":[{"id":4487,"uris":["http://zotero.org/groups/4923355/items/B2YRYYJU"],"itemData":{"id":4487,"type":"article-journal","abstract":"The historical record of U.S. hurricane damage is analyzed using a peaks-over-threshold approach in which the generalized Pareto distribution (GPD) is applied to model excesses above a specified threshold for a given damage metric. In addition to absolute hurricane damages (total damage), this paper defines a damage index as the ratio of base-year economic damages to the available economic value in the affected region. The paper then incorporates physical covariates at the individual hurricane level into the GPD model, namely, maximum wind speed and a simple yet novel measure of the mean bathymetric slope at landfall, and applies the analysis to both the total damage and the damage index. The parameters of the GPD models with physical covariates are estimated with maximum-likelihood estimation. The results show that for total damage, the only useful covariate is maximum wind speed. However, for the damage index, both the mean bathymetric slope and the maximum wind speed are found to be useful, with coefficients that are consistent with the known physics of each covariate in causing damage. Moreover, inclusion of covariates in the damage index reduces the maximum-likelihood estimate of the shape parameter to zero, transforming the fat tail for the distribution of total damage to a skinny (exponential) tail for the distribution of the damage index. These results suggest that damage measured as a fraction of estimated potential damage may help to remove the local economic signal from the damage database, leaving a data set that better captures the physical relationship between hurricanes and damage. Finally, as an illustrative example of the potential utility of this new methodology within a risk-assessment framework, it is applied to data sets of simulated hurricane tracks corresponding to current and future Intergovernmental Panel on Climate Change (IPCC) A1B-scenario climate states as modeled by two different climate models.","container-title":"Natural Hazards Review","DOI":"10.1061/(asce)nh.1527-6996.0000102","issue":"4","language":"en","source":"scite.ai","title":"U.S. Hurricanes and Economic Damage: Extreme Value Perspective","title-short":"U.S. Hurricanes and Economic Damage","URL":"https://doi.org/10.1061/(asce)nh.1527-6996.0000102","volume":"14","author":[{"family":"Chavas","given":"Daniel R."},{"family":"Yonekura","given":"Emmi"},{"family":"Karamperidou","given":"C."},{"family":"Cavanaugh","given":"Nicholas R."},{"family":"Serafin","given":"Katherine A."}],"accessed":{"date-parts":[["2025",1,11]]},"issued":{"date-parts":[["2013"]]}}},{"id":4491,"uris":["http://zotero.org/groups/4923355/items/D7EPCAN8"],"itemData":{"id":4491,"type":"article-journal","abstract":"[1] There is academic, commercial, and public interest in estimating loss from hurricanes striking land and understanding how loss might change as a result of future variations in climate. Here we show that the relationship between wind speed and loss is exponential and that loss increases with wind speed at a rate of 5% per m s À1 . The relationship is derived using quantile regression and a data set comprising wind speeds of hurricanes hitting the United States and normalized economic losses. We suggest that the \"centercepts\" for the different quantiles account for exposure-related factors such as population density, precipitation, and surface roughness, and that once these effects are accounted for, the increase in loss with wind speed is consistent across quantiles. An out-of-sample test of this relationship correctly predicts economic losses from Hurricane Irene in 2011. The exponential relationship suggests that increased wind speeds will produce significantly higher losses; however, increases in exposed property and population are expected to be a more important factor for near future losses. Citation: Murnane, R.","container-title":"Geophysical Research Letters","DOI":"10.1029/2012gl052740","issue":"16","language":"en","source":"scite.ai","title":"Maximum wind speeds and US hurricane losses","URL":"https://doi.org/10.1029/2012gl052740","volume":"39","author":[{"family":"Murnane","given":"R. J."},{"family":"Elsner","given":"James B."}],"accessed":{"date-parts":[["2025",1,11]]},"issued":{"date-parts":[["2012"]]}}},{"id":4485,"uris":["http://zotero.org/groups/4923355/items/WBPVJS6S"],"itemData":{"id":4485,"type":"article-journal","abstract":"Hurricane storm surges are influenced by several factors, including wind intensity, surface pressure, forward speed, size, angle of approach, ocean bottom depth and slope, shape and geographical features of the coastline. The relative influence of each factor may be amplified or abated by other factors that are acting at the time of the hurricane’s approach to the land. To understand the individual and combined influence of wind intensity, surface pressure and forward speed, a numerical experiment is conducted using Advanced CIRCulation + Simulating Waves Nearshore (ADCIRC + SWAN) by performing hindcasts of Hurricane Rita storm surges. The wind field generated by Ocean Weather Inc. (OWI) is used as the base meteorological forcing in ADCIRC + SWAN. All parameters are varied by certain percentages from those in the OWI wind field. Simulation results are analyzed for maximum wind intensity, wind vector pattern, minimum surface pressure, forward speed, maximum water elevation, station water elevation time series, and high water marks. The results for different cases are compared against each other, as well as with observed data. Changes in the wind intensity have the greatest impact, followed by the forward speed and surface pressure. The combined effects of the wind intensity and forward speed are noticeably different than their individual effects.","container-title":"Journal of Marine Science and Engineering","DOI":"10.3390/jmse9020128","ISSN":"2077-1312","issue":"2","language":"en","license":"http://creativecommons.org/licenses/by/3.0/","note":"number: 2\npublisher: Multidisciplinary Digital Publishing Institute","page":"128","source":"www.mdpi.com","title":"Effect of Varying Wind Intensity, Forward Speed, and Surface Pressure on Storm Surges of Hurricane Rita","URL":"https://www.mdpi.com/2077-1312/9/2/128","volume":"9","author":[{"family":"Musinguzi","given":"Abram"},{"family":"Akbar","given":"Muhammad K."}],"accessed":{"date-parts":[["2025",1,11]]},"issued":{"date-parts":[["2021",2]]}}}],"schema":"https://github.com/citation-style-language/schema/raw/master/csl-citation.json"} </w:instrText>
      </w:r>
      <w:r w:rsidR="00F46308" w:rsidRPr="00F46308">
        <w:rPr>
          <w:b/>
          <w:bCs/>
        </w:rPr>
        <w:fldChar w:fldCharType="separate"/>
      </w:r>
      <w:r w:rsidR="00F46308" w:rsidRPr="00F46308">
        <w:rPr>
          <w:b/>
          <w:bCs/>
        </w:rPr>
        <w:t xml:space="preserve">(Chavas et al., 2013; Murnane and Elsner, 2012; </w:t>
      </w:r>
      <w:proofErr w:type="spellStart"/>
      <w:r w:rsidR="00F46308" w:rsidRPr="00F46308">
        <w:rPr>
          <w:b/>
          <w:bCs/>
        </w:rPr>
        <w:t>Musinguzi</w:t>
      </w:r>
      <w:proofErr w:type="spellEnd"/>
      <w:r w:rsidR="00F46308" w:rsidRPr="00F46308">
        <w:rPr>
          <w:b/>
          <w:bCs/>
        </w:rPr>
        <w:t xml:space="preserve"> and Akbar, 2021)</w:t>
      </w:r>
      <w:r w:rsidR="00F46308" w:rsidRPr="00F46308">
        <w:rPr>
          <w:b/>
          <w:bCs/>
        </w:rPr>
        <w:fldChar w:fldCharType="end"/>
      </w:r>
      <w:r w:rsidR="00F46308" w:rsidRPr="00F46308">
        <w:rPr>
          <w:b/>
          <w:bCs/>
        </w:rPr>
        <w:t>.</w:t>
      </w:r>
      <w:r w:rsidR="00F46308">
        <w:rPr>
          <w:b/>
          <w:bCs/>
        </w:rPr>
        <w:t>”</w:t>
      </w:r>
    </w:p>
    <w:p w14:paraId="7D5B3A36" w14:textId="77777777" w:rsidR="001F6186" w:rsidRDefault="001F6186" w:rsidP="001F6186"/>
    <w:p w14:paraId="1FA06B7F" w14:textId="77777777" w:rsidR="001F6186" w:rsidRPr="001F6186" w:rsidRDefault="001F6186" w:rsidP="001F6186">
      <w:r w:rsidRPr="001F6186">
        <w:t>Similarly, I think the authors should consider doing additional analyses examining</w:t>
      </w:r>
    </w:p>
    <w:p w14:paraId="6848B8F5" w14:textId="77777777" w:rsidR="001F6186" w:rsidRPr="001F6186" w:rsidRDefault="001F6186" w:rsidP="001F6186">
      <w:r w:rsidRPr="001F6186">
        <w:t>the impacts of repeated exposures as some of these may be areas that</w:t>
      </w:r>
    </w:p>
    <w:p w14:paraId="48EC7654" w14:textId="77777777" w:rsidR="001F6186" w:rsidRDefault="001F6186" w:rsidP="001F6186">
      <w:r w:rsidRPr="001F6186">
        <w:t xml:space="preserve">experience more than one hurricane in the </w:t>
      </w:r>
      <w:proofErr w:type="gramStart"/>
      <w:r w:rsidRPr="001F6186">
        <w:t>time period</w:t>
      </w:r>
      <w:proofErr w:type="gramEnd"/>
      <w:r w:rsidRPr="001F6186">
        <w:t xml:space="preserve"> studied.</w:t>
      </w:r>
    </w:p>
    <w:p w14:paraId="2A6487B2" w14:textId="77777777" w:rsidR="0027017F" w:rsidRDefault="0027017F" w:rsidP="001F6186"/>
    <w:p w14:paraId="0DD81C0C" w14:textId="1DCA8F5D" w:rsidR="0027017F" w:rsidRDefault="0027017F" w:rsidP="001F6186">
      <w:pPr>
        <w:rPr>
          <w:b/>
          <w:bCs/>
        </w:rPr>
      </w:pPr>
      <w:r w:rsidRPr="0027017F">
        <w:rPr>
          <w:b/>
          <w:bCs/>
        </w:rPr>
        <w:t xml:space="preserve">Thank you for this suggestion. As mentioned in the Sensitivity Analysis section of the Methods, we already conducted a sensitivity analysis </w:t>
      </w:r>
      <w:r>
        <w:rPr>
          <w:b/>
          <w:bCs/>
        </w:rPr>
        <w:t>running the model in only</w:t>
      </w:r>
      <w:r w:rsidRPr="0027017F">
        <w:rPr>
          <w:b/>
          <w:bCs/>
        </w:rPr>
        <w:t xml:space="preserve"> those counties </w:t>
      </w:r>
      <w:r>
        <w:rPr>
          <w:b/>
          <w:bCs/>
        </w:rPr>
        <w:t>that experienced a single hurricane</w:t>
      </w:r>
      <w:r w:rsidRPr="0027017F">
        <w:rPr>
          <w:b/>
          <w:bCs/>
        </w:rPr>
        <w:t xml:space="preserve"> </w:t>
      </w:r>
      <w:r>
        <w:rPr>
          <w:b/>
          <w:bCs/>
        </w:rPr>
        <w:t>over the course of the study period.</w:t>
      </w:r>
      <w:r w:rsidRPr="0027017F">
        <w:rPr>
          <w:b/>
          <w:bCs/>
        </w:rPr>
        <w:t xml:space="preserve"> </w:t>
      </w:r>
      <w:r>
        <w:rPr>
          <w:b/>
          <w:bCs/>
        </w:rPr>
        <w:t>T</w:t>
      </w:r>
      <w:r w:rsidRPr="0027017F">
        <w:rPr>
          <w:b/>
          <w:bCs/>
        </w:rPr>
        <w:t xml:space="preserve">he results did not differ from those of the main model. However, considering your comment above, we conducted an additional sensitivity analysis where we repeated this removing all covariates. </w:t>
      </w:r>
    </w:p>
    <w:p w14:paraId="095F70D5" w14:textId="77777777" w:rsidR="0027017F" w:rsidRDefault="0027017F" w:rsidP="001F6186">
      <w:pPr>
        <w:rPr>
          <w:b/>
          <w:bCs/>
        </w:rPr>
      </w:pPr>
    </w:p>
    <w:p w14:paraId="7D8CA12C" w14:textId="7E3E8D66" w:rsidR="0027017F" w:rsidRDefault="0027017F" w:rsidP="001F6186">
      <w:pPr>
        <w:rPr>
          <w:b/>
          <w:bCs/>
        </w:rPr>
      </w:pPr>
      <w:r>
        <w:rPr>
          <w:b/>
          <w:bCs/>
        </w:rPr>
        <w:t xml:space="preserve">We have revised the Sensitivity Analysis section of the Methods to read as follows: </w:t>
      </w:r>
    </w:p>
    <w:p w14:paraId="24D98D36" w14:textId="77777777" w:rsidR="0027017F" w:rsidRDefault="0027017F" w:rsidP="001F6186">
      <w:pPr>
        <w:rPr>
          <w:b/>
          <w:bCs/>
        </w:rPr>
      </w:pPr>
    </w:p>
    <w:p w14:paraId="4A77528C" w14:textId="3F8F20EE" w:rsidR="0027017F" w:rsidRDefault="0027017F" w:rsidP="001F6186">
      <w:pPr>
        <w:rPr>
          <w:b/>
          <w:bCs/>
        </w:rPr>
      </w:pPr>
      <w:r>
        <w:rPr>
          <w:b/>
          <w:bCs/>
        </w:rPr>
        <w:t>“</w:t>
      </w:r>
      <w:r w:rsidRPr="0027017F">
        <w:rPr>
          <w:b/>
          <w:bCs/>
        </w:rPr>
        <w:t xml:space="preserve">Given that the addition of county-level and grade cohort-level covariates may have attenuated the association between hurricane-force tropical cyclone exposure and standardized test scores </w:t>
      </w:r>
      <w:r w:rsidRPr="0027017F">
        <w:rPr>
          <w:b/>
          <w:bCs/>
        </w:rPr>
        <w:fldChar w:fldCharType="begin"/>
      </w:r>
      <w:r w:rsidRPr="0027017F">
        <w:rPr>
          <w:b/>
          <w:bCs/>
        </w:rPr>
        <w:instrText xml:space="preserve"> ADDIN ZOTERO_ITEM CSL_CITATION {"citationID":"G4f6Qwi8","properties":{"formattedCitation":"(Schisterman et al., 2009)","plainCitation":"(Schisterman et al., 2009)","noteIndex":0},"citationItems":[{"id":4482,"uris":["http://zotero.org/groups/4923355/items/AQ8DGWUR"],"itemData":{"id":4482,"type":"article-journal","abstract":"Overadjustment is defined inconsistently. This term is meant to describe control (eg, by regression adjustment, stratification, or restriction) for a variable that either increases net bias or decreases precision without affecting bias. We define overadjustment bias as control for an intermediate variable (or a descending proxy for an intermediate variable) on a causal path from exposure to outcome. We define unnecessary adjustment as control for a variable that does not affect bias of the causal relation between exposure and outcome but may affect its precision. We use causal diagrams and an empirical example (the effect of maternal smoking on neonatal mortality) to illustrate and clarify the definition of overadjustment bias, and to distinguish overadjustment bias from unnecessary adjustment. Using simulations, we quantify the amount of bias associated with overadjustment. Moreover, we show that this bias is based on a different causal structure from confounding or selection biases. Overadjustment bias is not a finite sample bias, while inefficiencies due to control for unnecessary variables are a function of sample size.","container-title":"Epidemiology (Cambridge, Mass.)","DOI":"10.1097/EDE.0b013e3181a819a1","ISSN":"1531-5487","issue":"4","journalAbbreviation":"Epidemiology","language":"eng","note":"PMID: 19525685\nPMCID: PMC2744485","page":"488-495","source":"PubMed","title":"Overadjustment bias and unnecessary adjustment in epidemiologic studies","volume":"20","author":[{"family":"Schisterman","given":"Enrique F."},{"family":"Cole","given":"Stephen R."},{"family":"Platt","given":"Robert W."}],"issued":{"date-parts":[["2009",7]]}}}],"schema":"https://github.com/citation-style-language/schema/raw/master/csl-citation.json"} </w:instrText>
      </w:r>
      <w:r w:rsidRPr="0027017F">
        <w:rPr>
          <w:b/>
          <w:bCs/>
        </w:rPr>
        <w:fldChar w:fldCharType="separate"/>
      </w:r>
      <w:r w:rsidRPr="0027017F">
        <w:rPr>
          <w:b/>
          <w:bCs/>
        </w:rPr>
        <w:t>(</w:t>
      </w:r>
      <w:proofErr w:type="spellStart"/>
      <w:r w:rsidRPr="0027017F">
        <w:rPr>
          <w:b/>
          <w:bCs/>
        </w:rPr>
        <w:t>Schisterman</w:t>
      </w:r>
      <w:proofErr w:type="spellEnd"/>
      <w:r w:rsidRPr="0027017F">
        <w:rPr>
          <w:b/>
          <w:bCs/>
        </w:rPr>
        <w:t xml:space="preserve"> et al., 2009)</w:t>
      </w:r>
      <w:r w:rsidRPr="0027017F">
        <w:rPr>
          <w:b/>
          <w:bCs/>
        </w:rPr>
        <w:fldChar w:fldCharType="end"/>
      </w:r>
      <w:r w:rsidRPr="0027017F">
        <w:rPr>
          <w:b/>
          <w:bCs/>
        </w:rPr>
        <w:t>, we also conducted a sensitivity analysis where we removed all covariates from both the main model, as well as that restricted to counties with a single hurricane exposure over the study period.</w:t>
      </w:r>
      <w:r>
        <w:rPr>
          <w:b/>
          <w:bCs/>
        </w:rPr>
        <w:t>”</w:t>
      </w:r>
    </w:p>
    <w:p w14:paraId="23B1C859" w14:textId="77777777" w:rsidR="0027017F" w:rsidRDefault="0027017F" w:rsidP="001F6186">
      <w:pPr>
        <w:rPr>
          <w:b/>
          <w:bCs/>
        </w:rPr>
      </w:pPr>
    </w:p>
    <w:p w14:paraId="55036C85" w14:textId="777A4FCC" w:rsidR="0027017F" w:rsidRDefault="0027017F" w:rsidP="001F6186">
      <w:pPr>
        <w:rPr>
          <w:b/>
          <w:bCs/>
        </w:rPr>
      </w:pPr>
      <w:r>
        <w:rPr>
          <w:b/>
          <w:bCs/>
        </w:rPr>
        <w:t xml:space="preserve">We also reported the results we observed in the Sensitivity Analysis section within the Results: </w:t>
      </w:r>
    </w:p>
    <w:p w14:paraId="7BC918B1" w14:textId="77777777" w:rsidR="0027017F" w:rsidRDefault="0027017F" w:rsidP="001F6186">
      <w:pPr>
        <w:rPr>
          <w:b/>
          <w:bCs/>
        </w:rPr>
      </w:pPr>
    </w:p>
    <w:p w14:paraId="60F20123" w14:textId="63C49BF2" w:rsidR="00814126" w:rsidRPr="00814126" w:rsidRDefault="00814126" w:rsidP="00814126">
      <w:pPr>
        <w:rPr>
          <w:b/>
          <w:bCs/>
        </w:rPr>
      </w:pPr>
      <w:r>
        <w:rPr>
          <w:b/>
          <w:bCs/>
        </w:rPr>
        <w:t>“</w:t>
      </w:r>
      <w:r w:rsidRPr="00814126">
        <w:rPr>
          <w:b/>
          <w:bCs/>
        </w:rPr>
        <w:t>In the state-specific model restricted to those counties that experienced only one hurricane in the study period excluding all covariates, we observed a positive association between hurricane exposure and RLA scores in counties in North Carolina (</w:t>
      </w:r>
      <w:r w:rsidRPr="00814126">
        <w:rPr>
          <w:b/>
          <w:bCs/>
        </w:rPr>
        <w:sym w:font="Symbol" w:char="F062"/>
      </w:r>
      <w:r w:rsidRPr="00814126">
        <w:rPr>
          <w:b/>
          <w:bCs/>
        </w:rPr>
        <w:t xml:space="preserve"> = 0.20; 95% </w:t>
      </w:r>
      <w:proofErr w:type="spellStart"/>
      <w:r w:rsidRPr="00814126">
        <w:rPr>
          <w:b/>
          <w:bCs/>
        </w:rPr>
        <w:t>CrI</w:t>
      </w:r>
      <w:proofErr w:type="spellEnd"/>
      <w:r w:rsidRPr="00814126">
        <w:rPr>
          <w:b/>
          <w:bCs/>
        </w:rPr>
        <w:t>: 0.09, 0.32; PP[</w:t>
      </w:r>
      <w:r w:rsidRPr="00814126">
        <w:rPr>
          <w:b/>
          <w:bCs/>
        </w:rPr>
        <w:sym w:font="Symbol" w:char="F062"/>
      </w:r>
      <w:r w:rsidRPr="00814126">
        <w:rPr>
          <w:b/>
          <w:bCs/>
        </w:rPr>
        <w:t>&gt;0] = 99.9% ), and a negative association in counties in Texas (</w:t>
      </w:r>
      <w:r w:rsidRPr="00814126">
        <w:rPr>
          <w:b/>
          <w:bCs/>
        </w:rPr>
        <w:sym w:font="Symbol" w:char="F062"/>
      </w:r>
      <w:r w:rsidRPr="00814126">
        <w:rPr>
          <w:b/>
          <w:bCs/>
        </w:rPr>
        <w:t xml:space="preserve"> = -0.17; 95% </w:t>
      </w:r>
      <w:proofErr w:type="spellStart"/>
      <w:r w:rsidRPr="00814126">
        <w:rPr>
          <w:b/>
          <w:bCs/>
        </w:rPr>
        <w:t>CrI</w:t>
      </w:r>
      <w:proofErr w:type="spellEnd"/>
      <w:r w:rsidRPr="00814126">
        <w:rPr>
          <w:b/>
          <w:bCs/>
        </w:rPr>
        <w:t>: -0.26, -0.09; PP[</w:t>
      </w:r>
      <w:r w:rsidRPr="00814126">
        <w:rPr>
          <w:b/>
          <w:bCs/>
        </w:rPr>
        <w:sym w:font="Symbol" w:char="F062"/>
      </w:r>
      <w:r w:rsidRPr="00814126">
        <w:rPr>
          <w:b/>
          <w:bCs/>
        </w:rPr>
        <w:t>&lt;0] = 99.9%)</w:t>
      </w:r>
      <w:r>
        <w:rPr>
          <w:b/>
          <w:bCs/>
        </w:rPr>
        <w:t>.”</w:t>
      </w:r>
    </w:p>
    <w:p w14:paraId="64609F07" w14:textId="77777777" w:rsidR="0027017F" w:rsidRPr="001F6186" w:rsidRDefault="0027017F" w:rsidP="001F6186">
      <w:pPr>
        <w:rPr>
          <w:b/>
          <w:bCs/>
        </w:rPr>
      </w:pPr>
    </w:p>
    <w:p w14:paraId="5A7083D2" w14:textId="77777777" w:rsidR="001F6186" w:rsidRDefault="001F6186" w:rsidP="001F6186"/>
    <w:p w14:paraId="38F5D221" w14:textId="77777777" w:rsidR="001F6186" w:rsidRPr="001F6186" w:rsidRDefault="001F6186" w:rsidP="001F6186">
      <w:r w:rsidRPr="001F6186">
        <w:t>A lot of descriptive information that is useful for interpreting these results is</w:t>
      </w:r>
    </w:p>
    <w:p w14:paraId="498B1275" w14:textId="77777777" w:rsidR="001F6186" w:rsidRPr="001F6186" w:rsidRDefault="001F6186" w:rsidP="001F6186">
      <w:r w:rsidRPr="001F6186">
        <w:t>missing and making it difficult to interpret these results. The authors should</w:t>
      </w:r>
    </w:p>
    <w:p w14:paraId="774FDD81" w14:textId="77777777" w:rsidR="001F6186" w:rsidRPr="001F6186" w:rsidRDefault="001F6186" w:rsidP="001F6186">
      <w:r w:rsidRPr="001F6186">
        <w:t>report baseline standardized test scores. The authors state that scores go up in</w:t>
      </w:r>
    </w:p>
    <w:p w14:paraId="4DF1973F" w14:textId="77777777" w:rsidR="001F6186" w:rsidRPr="001F6186" w:rsidRDefault="001F6186" w:rsidP="001F6186">
      <w:proofErr w:type="spellStart"/>
      <w:r w:rsidRPr="001F6186">
        <w:t>florida</w:t>
      </w:r>
      <w:proofErr w:type="spellEnd"/>
      <w:r w:rsidRPr="001F6186">
        <w:t xml:space="preserve"> and down in North Carolina, but the baseline scores are not reported so it</w:t>
      </w:r>
    </w:p>
    <w:p w14:paraId="48442F9E" w14:textId="77777777" w:rsidR="001F6186" w:rsidRPr="001F6186" w:rsidRDefault="001F6186" w:rsidP="001F6186">
      <w:r w:rsidRPr="001F6186">
        <w:t>is hard to understand what this means in comparison to each other. Additionally,</w:t>
      </w:r>
    </w:p>
    <w:p w14:paraId="7AE3912B" w14:textId="77777777" w:rsidR="001F6186" w:rsidRPr="001F6186" w:rsidRDefault="001F6186" w:rsidP="001F6186">
      <w:r w:rsidRPr="001F6186">
        <w:t>if I understand the methods correctly, the authors assume that the baseline</w:t>
      </w:r>
    </w:p>
    <w:p w14:paraId="0745177C" w14:textId="77777777" w:rsidR="001F6186" w:rsidRPr="001F6186" w:rsidRDefault="001F6186" w:rsidP="001F6186">
      <w:r w:rsidRPr="001F6186">
        <w:t>scores are the same across all states, but the baseline scores are not reported</w:t>
      </w:r>
    </w:p>
    <w:p w14:paraId="00A2A314" w14:textId="77777777" w:rsidR="001F6186" w:rsidRDefault="001F6186" w:rsidP="001F6186">
      <w:proofErr w:type="gramStart"/>
      <w:r w:rsidRPr="001F6186">
        <w:t>so</w:t>
      </w:r>
      <w:proofErr w:type="gramEnd"/>
      <w:r w:rsidRPr="001F6186">
        <w:t xml:space="preserve"> this cannot be confirmed.</w:t>
      </w:r>
    </w:p>
    <w:p w14:paraId="59AF21A5" w14:textId="36308315" w:rsidR="00491DBB" w:rsidRPr="001F6186" w:rsidRDefault="00491DBB" w:rsidP="001F6186">
      <w:pPr>
        <w:rPr>
          <w:b/>
          <w:bCs/>
        </w:rPr>
      </w:pPr>
      <w:r w:rsidRPr="00491DBB">
        <w:rPr>
          <w:b/>
          <w:bCs/>
        </w:rPr>
        <w:lastRenderedPageBreak/>
        <w:t xml:space="preserve">Thank you so much for pointing this out. We report the distribution of standardized test scores at baseline in 2009 and at the end of the study period 2018 for all the states included in our analysis in Supplementary Table 1. </w:t>
      </w:r>
      <w:r>
        <w:rPr>
          <w:b/>
          <w:bCs/>
        </w:rPr>
        <w:t>We also made this clearer to the reader at the beginning of the Results, writing, “</w:t>
      </w:r>
      <w:r w:rsidRPr="00491DBB">
        <w:rPr>
          <w:b/>
          <w:bCs/>
        </w:rPr>
        <w:t>The distributions of standardized test scores for each state included in our analysis at baseline in 2009 and the conclusion of the study period in 2018 are shown in Table S1</w:t>
      </w:r>
      <w:r>
        <w:rPr>
          <w:b/>
          <w:bCs/>
        </w:rPr>
        <w:t>.”</w:t>
      </w:r>
    </w:p>
    <w:p w14:paraId="45B47A9B" w14:textId="77777777" w:rsidR="001F6186" w:rsidRDefault="001F6186" w:rsidP="001F6186"/>
    <w:p w14:paraId="273F9E82" w14:textId="77777777" w:rsidR="001F6186" w:rsidRPr="001F6186" w:rsidRDefault="001F6186" w:rsidP="001F6186">
      <w:r w:rsidRPr="001F6186">
        <w:t>In the figure 2A the authors report associations that seem to be associations with</w:t>
      </w:r>
    </w:p>
    <w:p w14:paraId="4EB0A556" w14:textId="77777777" w:rsidR="001F6186" w:rsidRPr="001F6186" w:rsidRDefault="001F6186" w:rsidP="001F6186">
      <w:r w:rsidRPr="001F6186">
        <w:t>demographic groups and test scores which is not the objective of this research</w:t>
      </w:r>
    </w:p>
    <w:p w14:paraId="69C3B25A" w14:textId="77777777" w:rsidR="001F6186" w:rsidRPr="001F6186" w:rsidRDefault="001F6186" w:rsidP="001F6186">
      <w:r w:rsidRPr="001F6186">
        <w:t>study. I do not understand why these are reported as these should be covariates,</w:t>
      </w:r>
    </w:p>
    <w:p w14:paraId="139E05EF" w14:textId="77777777" w:rsidR="001F6186" w:rsidRPr="001F6186" w:rsidRDefault="001F6186" w:rsidP="001F6186">
      <w:r w:rsidRPr="001F6186">
        <w:t>not the exposure of interest. I recommend refencing this paper on the table 2</w:t>
      </w:r>
    </w:p>
    <w:p w14:paraId="30565022" w14:textId="77777777" w:rsidR="001F6186" w:rsidRPr="001F6186" w:rsidRDefault="001F6186" w:rsidP="001F6186">
      <w:r w:rsidRPr="001F6186">
        <w:t>fallacy.</w:t>
      </w:r>
    </w:p>
    <w:p w14:paraId="7A4CE591" w14:textId="77777777" w:rsidR="001F6186" w:rsidRPr="001F6186" w:rsidRDefault="001F6186" w:rsidP="001F6186">
      <w:r w:rsidRPr="001F6186">
        <w:t xml:space="preserve">Daniel </w:t>
      </w:r>
      <w:proofErr w:type="spellStart"/>
      <w:r w:rsidRPr="001F6186">
        <w:t>Westreich</w:t>
      </w:r>
      <w:proofErr w:type="spellEnd"/>
      <w:r w:rsidRPr="001F6186">
        <w:t>, Sander Greenland, The Table 2 Fallacy: Presenting and</w:t>
      </w:r>
    </w:p>
    <w:p w14:paraId="730FD4DF" w14:textId="77777777" w:rsidR="001F6186" w:rsidRPr="001F6186" w:rsidRDefault="001F6186" w:rsidP="001F6186">
      <w:r w:rsidRPr="001F6186">
        <w:t xml:space="preserve">Interpreting Confounder and Modifier Coefficients, </w:t>
      </w:r>
      <w:r w:rsidRPr="001F6186">
        <w:rPr>
          <w:i/>
          <w:iCs/>
        </w:rPr>
        <w:t>American Journal of</w:t>
      </w:r>
    </w:p>
    <w:p w14:paraId="4166701D" w14:textId="77777777" w:rsidR="001F6186" w:rsidRPr="001F6186" w:rsidRDefault="001F6186" w:rsidP="001F6186">
      <w:r w:rsidRPr="001F6186">
        <w:rPr>
          <w:i/>
          <w:iCs/>
        </w:rPr>
        <w:t>Epidemiology</w:t>
      </w:r>
      <w:r w:rsidRPr="001F6186">
        <w:t>, Volume 177, Issue 4, 15 February 2013, Pages 292–</w:t>
      </w:r>
    </w:p>
    <w:p w14:paraId="11E7E12E" w14:textId="34D12144" w:rsidR="001F6186" w:rsidRDefault="001F6186" w:rsidP="001F6186">
      <w:r w:rsidRPr="001F6186">
        <w:t xml:space="preserve">298, </w:t>
      </w:r>
      <w:hyperlink r:id="rId5" w:history="1">
        <w:r w:rsidR="00491DBB" w:rsidRPr="001F6186">
          <w:rPr>
            <w:rStyle w:val="Hyperlink"/>
          </w:rPr>
          <w:t>https://doi.org/10.1093/aje/kws412</w:t>
        </w:r>
      </w:hyperlink>
    </w:p>
    <w:p w14:paraId="6900D1FD" w14:textId="77777777" w:rsidR="00491DBB" w:rsidRDefault="00491DBB" w:rsidP="001F6186"/>
    <w:p w14:paraId="5675E03E" w14:textId="0B4568D9" w:rsidR="00491DBB" w:rsidRPr="001F6186" w:rsidRDefault="00491DBB" w:rsidP="001F6186">
      <w:pPr>
        <w:rPr>
          <w:b/>
          <w:bCs/>
        </w:rPr>
      </w:pPr>
      <w:r>
        <w:rPr>
          <w:b/>
          <w:bCs/>
        </w:rPr>
        <w:t xml:space="preserve">We have moved the figures showing the covariates to the Supplement. </w:t>
      </w:r>
    </w:p>
    <w:p w14:paraId="29BA83C3" w14:textId="77777777" w:rsidR="001F6186" w:rsidRDefault="001F6186" w:rsidP="001F6186"/>
    <w:p w14:paraId="1C3576D4" w14:textId="77777777" w:rsidR="001F6186" w:rsidRPr="001F6186" w:rsidRDefault="001F6186" w:rsidP="001F6186">
      <w:r w:rsidRPr="001F6186">
        <w:t>The authors should provide more background literature on why this outcome</w:t>
      </w:r>
    </w:p>
    <w:p w14:paraId="4A1C6BB2" w14:textId="77777777" w:rsidR="001F6186" w:rsidRPr="001F6186" w:rsidRDefault="001F6186" w:rsidP="001F6186">
      <w:r w:rsidRPr="001F6186">
        <w:t>matters for health. Especially given the comments made in the limitation section,</w:t>
      </w:r>
    </w:p>
    <w:p w14:paraId="3F5C6CD9" w14:textId="77777777" w:rsidR="001F6186" w:rsidRPr="001F6186" w:rsidRDefault="001F6186" w:rsidP="001F6186">
      <w:r w:rsidRPr="001F6186">
        <w:t>it is known that standardized test scores do not do the best job giving a fair</w:t>
      </w:r>
    </w:p>
    <w:p w14:paraId="57C88ADC" w14:textId="77777777" w:rsidR="001F6186" w:rsidRPr="001F6186" w:rsidRDefault="001F6186" w:rsidP="001F6186">
      <w:r w:rsidRPr="001F6186">
        <w:t>assessment of student’s performance and it is unclear what the impacts are on</w:t>
      </w:r>
    </w:p>
    <w:p w14:paraId="43840572" w14:textId="77777777" w:rsidR="001F6186" w:rsidRPr="001F6186" w:rsidRDefault="001F6186" w:rsidP="001F6186">
      <w:r w:rsidRPr="001F6186">
        <w:t>health of children. More background literature on what this means for health</w:t>
      </w:r>
    </w:p>
    <w:p w14:paraId="3AD1B2FE" w14:textId="77777777" w:rsidR="001F6186" w:rsidRDefault="001F6186" w:rsidP="001F6186">
      <w:r w:rsidRPr="001F6186">
        <w:t>would be useful if this paper is to be published in a health journal.</w:t>
      </w:r>
    </w:p>
    <w:p w14:paraId="36F6DEE7" w14:textId="77777777" w:rsidR="00680055" w:rsidRDefault="00680055" w:rsidP="001F6186"/>
    <w:p w14:paraId="0EFDF8FE" w14:textId="2CFA8824" w:rsidR="00680055" w:rsidRDefault="00680055" w:rsidP="001F6186">
      <w:pPr>
        <w:rPr>
          <w:b/>
          <w:bCs/>
        </w:rPr>
      </w:pPr>
      <w:r>
        <w:rPr>
          <w:b/>
          <w:bCs/>
        </w:rPr>
        <w:t xml:space="preserve">Thank you for this suggestion. We have added the following language to the Introduction to emphasize the importance of academic achievement for concurrent and future health behaviors and outcomes: </w:t>
      </w:r>
    </w:p>
    <w:p w14:paraId="022112AE" w14:textId="77777777" w:rsidR="00680055" w:rsidRDefault="00680055" w:rsidP="001F6186">
      <w:pPr>
        <w:rPr>
          <w:b/>
          <w:bCs/>
        </w:rPr>
      </w:pPr>
    </w:p>
    <w:p w14:paraId="3C4FD3B8" w14:textId="57D67162" w:rsidR="00680055" w:rsidRDefault="00680055" w:rsidP="001F6186">
      <w:pPr>
        <w:rPr>
          <w:b/>
          <w:bCs/>
        </w:rPr>
      </w:pPr>
      <w:r>
        <w:rPr>
          <w:b/>
          <w:bCs/>
        </w:rPr>
        <w:t>“</w:t>
      </w:r>
      <w:r w:rsidRPr="00680055">
        <w:rPr>
          <w:b/>
          <w:bCs/>
        </w:rPr>
        <w:t xml:space="preserve">Academic achievement during childhood and adolescence has been shown to shown to be strongly associated with concurrent health risk behaviors including violence, tobacco use, alcohol and drug use, unsafe sex practice, sedentariness, and poor eating </w:t>
      </w:r>
      <w:r w:rsidRPr="00680055">
        <w:rPr>
          <w:b/>
          <w:bCs/>
        </w:rPr>
        <w:fldChar w:fldCharType="begin"/>
      </w:r>
      <w:r w:rsidRPr="00680055">
        <w:rPr>
          <w:b/>
          <w:bCs/>
        </w:rPr>
        <w:instrText xml:space="preserve"> ADDIN ZOTERO_ITEM CSL_CITATION {"citationID":"zxxbsmYl","properties":{"formattedCitation":"(Bradley and Greene, 2013; Skalamera and Hummer, 2016)","plainCitation":"(Bradley and Greene, 2013; Skalamera and Hummer, 2016)","noteIndex":0},"citationItems":[{"id":4468,"uris":["http://zotero.org/groups/4923355/items/TFEH5DH6"],"itemData":{"id":4468,"type":"article-journal","abstract":"Purpose\nThe United States Centers for Disease Control and Prevention monitors health-risk behaviors of adolescents in United States, which include (1) violence; (2) tobacco use; (3) alcohol and other drug use; (4) sexual behaviors contributing to unintended pregnancy and sexually transmitted diseases; (5) inadequate physical activity; and (6) unhealthy dietary behaviors. We reviewed original research published in peer-reviewed journals between 1985 and 2010 to synthesize evidence about the association of adolescent health-risk behaviors and academic achievement.\nMethods\nUsing predetermined selection criteria, 122 articles were included that used at least one variable for health-risk behaviors and also for academic achievement.\nResults\nFor all six health-risk behaviors, 96.6% of the studies reported statistically significant inverse relationships between health-risk behaviors and academic achievement.\nConclusions\nWith this persuasive evidence about the interrelationship of health-risk behaviors and academic achievement, it is imperative that leaders in education and health act together to make wise investments in our nation's school-age youth that will benefit the entire population. A unified system that addresses both health behavior and academic achievement would have reciprocal and synergistic effects on the health and academic achievement not only of children and adolescents, but also of adults in the United States.","container-title":"Journal of Adolescent Health","DOI":"10.1016/j.jadohealth.2013.01.008","ISSN":"1054-139X","issue":"5","journalAbbreviation":"Journal of Adolescent Health","page":"523-532","source":"ScienceDirect","title":"Do Health and Education Agencies in the United States Share Responsibility for Academic Achievement and Health? A Review of 25 Years of Evidence About the Relationship of Adolescents' Academic Achievement and Health Behaviors","title-short":"Do Health and Education Agencies in the United States Share Responsibility for Academic Achievement and Health?","URL":"https://www.sciencedirect.com/science/article/pii/S1054139X13000505","volume":"52","author":[{"family":"Bradley","given":"Beverly J."},{"family":"Greene","given":"Amy C."}],"accessed":{"date-parts":[["2025",1,8]]},"issued":{"date-parts":[["2013",5,1]]}}},{"id":4476,"uris":["http://zotero.org/groups/4923355/items/SMU6M9UZ"],"itemData":{"id":4476,"type":"article-journal","abstract":"Objective. We documented health-related behavior clustering among US young adults and assessed the extent to which educational attainment was associated with the identified clusters. Methods. Using data from Wave IV of the National Longitudinal Study of Adolescent to Adult Health (Add Health), we performed latent class analysis on 8 health-related behaviors (n=14,338), documenting clustering of behavior separately by gender. Subsequently, we used multinomial logistic regression and estimated associations between educational attainment and the health-related behavior clusters. Results. Twenty-eight percent of young women grouped into the most favorable health behavior cluster, while 22% grouped into a very high-risk cluster. A larger percentage of young men (40%) grouped into the highest risk cluster. Individuals with educational attainment at the college and advanced degree levels exhibited much lower risk of being in the unhealthy behavioral clusters than individuals with lower educational attainment, net of a range of confounders. Conclusion. Substantial fractions of US young adults, particularly those with less than college degrees, exhibit unhealthy behavior profiles. Efforts to improve health among young adults should focus particular attention on the clustering of poor health-related behavior, especially among individuals who have less than a college degree.","container-title":"Preventive Medicine","DOI":"10.1016/j.ypmed.2015.12.011","ISSN":"0091-7435","journalAbbreviation":"Preventive Medicine","page":"83-89","source":"ScienceDirect","title":"Educational attainment and the clustering of health-related behavior among U.S. young adults","URL":"https://www.sciencedirect.com/science/article/pii/S0091743515003849","volume":"84","author":[{"family":"Skalamera","given":"Julie"},{"family":"Hummer","given":"Robert A."}],"accessed":{"date-parts":[["2025",1,8]]},"issued":{"date-parts":[["2016",3,1]]}}}],"schema":"https://github.com/citation-style-language/schema/raw/master/csl-citation.json"} </w:instrText>
      </w:r>
      <w:r w:rsidRPr="00680055">
        <w:rPr>
          <w:b/>
          <w:bCs/>
        </w:rPr>
        <w:fldChar w:fldCharType="separate"/>
      </w:r>
      <w:r w:rsidRPr="00680055">
        <w:rPr>
          <w:b/>
          <w:bCs/>
        </w:rPr>
        <w:t xml:space="preserve">(Bradley and Greene, 2013; </w:t>
      </w:r>
      <w:proofErr w:type="spellStart"/>
      <w:r w:rsidRPr="00680055">
        <w:rPr>
          <w:b/>
          <w:bCs/>
        </w:rPr>
        <w:t>Skalamera</w:t>
      </w:r>
      <w:proofErr w:type="spellEnd"/>
      <w:r w:rsidRPr="00680055">
        <w:rPr>
          <w:b/>
          <w:bCs/>
        </w:rPr>
        <w:t xml:space="preserve"> and Hummer, 2016)</w:t>
      </w:r>
      <w:r w:rsidRPr="00680055">
        <w:rPr>
          <w:b/>
          <w:bCs/>
        </w:rPr>
        <w:fldChar w:fldCharType="end"/>
      </w:r>
      <w:r w:rsidRPr="00680055">
        <w:rPr>
          <w:b/>
          <w:bCs/>
        </w:rPr>
        <w:t xml:space="preserve">. Educational attainment is also a strong predictor of mental health </w:t>
      </w:r>
      <w:r w:rsidRPr="00680055">
        <w:rPr>
          <w:b/>
          <w:bCs/>
        </w:rPr>
        <w:fldChar w:fldCharType="begin"/>
      </w:r>
      <w:r w:rsidRPr="00680055">
        <w:rPr>
          <w:b/>
          <w:bCs/>
        </w:rPr>
        <w:instrText xml:space="preserve"> ADDIN ZOTERO_ITEM CSL_CITATION {"citationID":"km3bl5Ud","properties":{"formattedCitation":"(Jareebi and Alqassim, 2024)","plainCitation":"(Jareebi and Alqassim, 2024)","noteIndex":0},"citationItems":[{"id":4470,"uris":["http://zotero.org/groups/4923355/items/HKUF9A3B"],"itemData":{"id":4470,"type":"article-journal","abstract":"Observational studies report inverse associations between educational attainment and depression/anxiety risks, but confounding hinders causal inference. This study aimed to assess potential causal relationships using Mendelian randomization (MR). Two-sample MR analysis was conducted using genetic instruments for education, smoking, body mass index, and physical activity from published genome-wide association studies. Depression and anxiety data came from the UK Biobank ([UKB] 117,782 individuals) and FinnGen (215,644 individuals) cohorts. Inverse variance weighted regression determined associations between exposures and mental health outcomes. Increased educational attainment was causally associated with reduced risks of depression (odds ratio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0.99 per year, 95% confidence interval [CI]: 0.990–0.996, P</w:instrText>
      </w:r>
      <w:r w:rsidRPr="00680055">
        <w:rPr>
          <w:rFonts w:ascii="Arial" w:hAnsi="Arial" w:cs="Arial"/>
          <w:b/>
          <w:bCs/>
        </w:rPr>
        <w:instrText> </w:instrText>
      </w:r>
      <w:r w:rsidRPr="00680055">
        <w:rPr>
          <w:b/>
          <w:bCs/>
        </w:rPr>
        <w:instrText>&lt;</w:instrText>
      </w:r>
      <w:r w:rsidRPr="00680055">
        <w:rPr>
          <w:rFonts w:ascii="Arial" w:hAnsi="Arial" w:cs="Arial"/>
          <w:b/>
          <w:bCs/>
        </w:rPr>
        <w:instrText> </w:instrText>
      </w:r>
      <w:r w:rsidRPr="00680055">
        <w:rPr>
          <w:b/>
          <w:bCs/>
        </w:rPr>
        <w:instrText>.001) and anxiety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0.99, CI: 0.98–0.991, P</w:instrText>
      </w:r>
      <w:r w:rsidRPr="00680055">
        <w:rPr>
          <w:rFonts w:ascii="Arial" w:hAnsi="Arial" w:cs="Arial"/>
          <w:b/>
          <w:bCs/>
        </w:rPr>
        <w:instrText> </w:instrText>
      </w:r>
      <w:r w:rsidRPr="00680055">
        <w:rPr>
          <w:b/>
          <w:bCs/>
        </w:rPr>
        <w:instrText>&lt;</w:instrText>
      </w:r>
      <w:r w:rsidRPr="00680055">
        <w:rPr>
          <w:rFonts w:ascii="Arial" w:hAnsi="Arial" w:cs="Arial"/>
          <w:b/>
          <w:bCs/>
        </w:rPr>
        <w:instrText> </w:instrText>
      </w:r>
      <w:r w:rsidRPr="00680055">
        <w:rPr>
          <w:b/>
          <w:bCs/>
        </w:rPr>
        <w:instrText>.001) in both cohorts. Smoking initiation conferred higher risks of depression (UKB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1.05, CI: 1.03–1.06, P</w:instrText>
      </w:r>
      <w:r w:rsidRPr="00680055">
        <w:rPr>
          <w:rFonts w:ascii="Arial" w:hAnsi="Arial" w:cs="Arial"/>
          <w:b/>
          <w:bCs/>
        </w:rPr>
        <w:instrText> </w:instrText>
      </w:r>
      <w:r w:rsidRPr="00680055">
        <w:rPr>
          <w:b/>
          <w:bCs/>
        </w:rPr>
        <w:instrText>&lt;</w:instrText>
      </w:r>
      <w:r w:rsidRPr="00680055">
        <w:rPr>
          <w:rFonts w:ascii="Arial" w:hAnsi="Arial" w:cs="Arial"/>
          <w:b/>
          <w:bCs/>
        </w:rPr>
        <w:instrText> </w:instrText>
      </w:r>
      <w:r w:rsidRPr="00680055">
        <w:rPr>
          <w:b/>
          <w:bCs/>
        </w:rPr>
        <w:instrText>.001; FinnGen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1.20, CI: 1.10–1.32, P</w:instrText>
      </w:r>
      <w:r w:rsidRPr="00680055">
        <w:rPr>
          <w:rFonts w:ascii="Arial" w:hAnsi="Arial" w:cs="Arial"/>
          <w:b/>
          <w:bCs/>
        </w:rPr>
        <w:instrText> </w:instrText>
      </w:r>
      <w:r w:rsidRPr="00680055">
        <w:rPr>
          <w:b/>
          <w:bCs/>
        </w:rPr>
        <w:instrText>&lt;</w:instrText>
      </w:r>
      <w:r w:rsidRPr="00680055">
        <w:rPr>
          <w:rFonts w:ascii="Arial" w:hAnsi="Arial" w:cs="Arial"/>
          <w:b/>
          <w:bCs/>
        </w:rPr>
        <w:instrText> </w:instrText>
      </w:r>
      <w:r w:rsidRPr="00680055">
        <w:rPr>
          <w:b/>
          <w:bCs/>
        </w:rPr>
        <w:instrText>.001) and anxiety (FinnGen only,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1.10, CI: 1.01–1.21, P</w:instrText>
      </w:r>
      <w:r w:rsidRPr="00680055">
        <w:rPr>
          <w:rFonts w:ascii="Arial" w:hAnsi="Arial" w:cs="Arial"/>
          <w:b/>
          <w:bCs/>
        </w:rPr>
        <w:instrText> </w:instrText>
      </w:r>
      <w:r w:rsidRPr="00680055">
        <w:rPr>
          <w:b/>
          <w:bCs/>
        </w:rPr>
        <w:instrText>&lt;</w:instrText>
      </w:r>
      <w:r w:rsidRPr="00680055">
        <w:rPr>
          <w:rFonts w:ascii="Arial" w:hAnsi="Arial" w:cs="Arial"/>
          <w:b/>
          <w:bCs/>
        </w:rPr>
        <w:instrText> </w:instrText>
      </w:r>
      <w:r w:rsidRPr="00680055">
        <w:rPr>
          <w:b/>
          <w:bCs/>
        </w:rPr>
        <w:instrText>.05). Likewise, maternal smoking history associated with greater depression (UKB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1.15, CI: 1.10–1.35, P</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.027) and anxiety susceptibility (FinnGen OR</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3.02, CI: 1.67–5.46, P</w:instrText>
      </w:r>
      <w:r w:rsidRPr="00680055">
        <w:rPr>
          <w:rFonts w:ascii="Arial" w:hAnsi="Arial" w:cs="Arial"/>
          <w:b/>
          <w:bCs/>
        </w:rPr>
        <w:instrText> </w:instrText>
      </w:r>
      <w:r w:rsidRPr="00680055">
        <w:rPr>
          <w:b/>
          <w:bCs/>
        </w:rPr>
        <w:instrText>=</w:instrText>
      </w:r>
      <w:r w:rsidRPr="00680055">
        <w:rPr>
          <w:rFonts w:ascii="Arial" w:hAnsi="Arial" w:cs="Arial"/>
          <w:b/>
          <w:bCs/>
        </w:rPr>
        <w:instrText> </w:instrText>
      </w:r>
      <w:r w:rsidRPr="00680055">
        <w:rPr>
          <w:b/>
          <w:bCs/>
        </w:rPr>
        <w:instrText xml:space="preserve">.011). Higher body mass index elevated depression risk in both cohorts. Physical activity showed no clear associations. This MR study provides evidence that education may causally reduce mental health disorder risk. Smoking, obesity, and low activity appear detrimentally linked to depression and anxiety. Improving access to education could offer effective strategies for lowering population psychiatric burden.","container-title":"Medicine","DOI":"10.1097/MD.0000000000038602","issue":"26","language":"en-US","page":"e38602","source":"journals.lww.com","title":"The impact of educational attainment on mental health: A Causal Assessment from the UKB and FinnGen Cohorts","title-short":"The impact of educational attainment on mental health","URL":"https://journals.lww.com/md-journal/fulltext/2024/06280/the_impact_of_educational_attainment_on_mental.33.aspx","volume":"103","author":[{"family":"Jareebi","given":"Mohammad A."},{"family":"Alqassim","given":"Ahmad Y."}],"accessed":{"date-parts":[["2025",1,8]]},"issued":{"date-parts":[["2024",6,28]]}}}],"schema":"https://github.com/citation-style-language/schema/raw/master/csl-citation.json"} </w:instrText>
      </w:r>
      <w:r w:rsidRPr="00680055">
        <w:rPr>
          <w:b/>
          <w:bCs/>
        </w:rPr>
        <w:fldChar w:fldCharType="separate"/>
      </w:r>
      <w:r w:rsidRPr="00680055">
        <w:rPr>
          <w:b/>
          <w:bCs/>
        </w:rPr>
        <w:t>(</w:t>
      </w:r>
      <w:proofErr w:type="spellStart"/>
      <w:r w:rsidRPr="00680055">
        <w:rPr>
          <w:b/>
          <w:bCs/>
        </w:rPr>
        <w:t>Jareebi</w:t>
      </w:r>
      <w:proofErr w:type="spellEnd"/>
      <w:r w:rsidRPr="00680055">
        <w:rPr>
          <w:b/>
          <w:bCs/>
        </w:rPr>
        <w:t xml:space="preserve"> and </w:t>
      </w:r>
      <w:proofErr w:type="spellStart"/>
      <w:r w:rsidRPr="00680055">
        <w:rPr>
          <w:b/>
          <w:bCs/>
        </w:rPr>
        <w:t>Alqassim</w:t>
      </w:r>
      <w:proofErr w:type="spellEnd"/>
      <w:r w:rsidRPr="00680055">
        <w:rPr>
          <w:b/>
          <w:bCs/>
        </w:rPr>
        <w:t>, 2024)</w:t>
      </w:r>
      <w:r w:rsidRPr="00680055">
        <w:rPr>
          <w:b/>
          <w:bCs/>
        </w:rPr>
        <w:fldChar w:fldCharType="end"/>
      </w:r>
      <w:r w:rsidRPr="00680055">
        <w:rPr>
          <w:b/>
          <w:bCs/>
        </w:rPr>
        <w:t xml:space="preserve">, self-rated health </w:t>
      </w:r>
      <w:r w:rsidRPr="00680055">
        <w:rPr>
          <w:b/>
          <w:bCs/>
        </w:rPr>
        <w:fldChar w:fldCharType="begin"/>
      </w:r>
      <w:r w:rsidRPr="00680055">
        <w:rPr>
          <w:b/>
          <w:bCs/>
        </w:rPr>
        <w:instrText xml:space="preserve"> ADDIN ZOTERO_ITEM CSL_CITATION {"citationID":"EHlsnMyK","properties":{"formattedCitation":"(Elovainio et al., 2016; L\\uc0\\u234{}-Scherban et al., 2014)","plainCitation":"(Elovainio et al., 2016; Lê-Scherban et al., 2014)","noteIndex":0},"citationItems":[{"id":4474,"uris":["http://zotero.org/groups/4923355/items/4I4GY8EG"],"itemData":{"id":4474,"type":"article-journal","abstract":"It has been shown that higher education associates with health outcomes, but the less is known about the specific mechanisms mediating this association. We examined whether higher education would associate with long-term health transitions from childhood to adulthood and whether health behaviors, self-esteem, social support and work-related health hazards could mediate or confound this association.The participants were from a population-based sample of 3596 men and women from the Young Finns study aged 3–18 years at the beginning of the study in 1980, and who responded to repeated surveys of educational attainment and self-rated health in four study phases from 1997 to 2012. The associations were tested using multistate Markov models for the health-state transition intensities.Our results suggested that a 1-year difference in education was related to a 16% higher transition probability from mediocre to good self-rated health over the 5-year follow-up. Depressive symptoms and job strain seemed to partly mediate or confound the association, but self-esteem and social support did not.These results suggest that educational attainment is associated with good self-rated health transitions from childhood to adulthood, and multiple processes rather than a single underlying mechanism are likely to drive the educational differences in self-rated health.","container-title":"Journal of Public Health","DOI":"10.1093/pubmed/fdv124","ISSN":"1741-3842","issue":"3","journalAbbreviation":"Journal of Public Health","page":"e254-e262","source":"Silverchair","title":"Educational attainment and health transitions over the life course: testing the potential mechanisms","title-short":"Educational attainment and health transitions over the life course","URL":"https://doi.org/10.1093/pubmed/fdv124","volume":"38","author":[{"family":"Elovainio","given":"Marko"},{"family":"Rosenström","given":"Tom"},{"family":"Hakulinen","given":"Christian"},{"family":"Pulkki-Råback","given":"Laura"},{"family":"Mullola","given":"Sari"},{"family":"Jokela","given":"Markus"},{"family":"Josefsson","given":"Kim"},{"family":"Raitakari","given":"Olli T."},{"family":"Keltikangas-Järvinen","given":"Liisa"}],"accessed":{"date-parts":[["2025",1,8]]},"issued":{"date-parts":[["2016",9,17]]}}},{"id":4465,"uris":["http://zotero.org/groups/4923355/items/SMQZ7ZB8"],"itemData":{"id":4465,"type":"article-journal","abstract":"Purpose\nEducational disparities in health persist after adjustment for income and occupation, suggesting that other purely cognitive and psychosocial mechanisms may be involved. Unlike occupation- or income-mediated effects, effects of cognitive and psychosocial gains—as reflected in academic achievement—may be apparent even before schooling is completed.\nMethods\nWe used data spanning 10 years on a national U.S. cohort of 2546 children aged 3–14 years at baseline to estimate the effects of academic achievement, measured by standardized tests of cognitive achievement, on future health. We used marginal structural models to address potential mutual influence of achievement and health on each other over time.\nResults\nOne SD higher academic achievement 1997–2002 was associated with a lower prevalence of poorer health status in 2007 in girls (prevalence ratio = 0.87 [(95% confidence interval) 0.78–0.97]) but not in boys (prevalence ratio = 0.96 [0.86–1.08]). Higher achievement was also weakly associated with lower body mass index and less psychological distress among girls only.\nConclusions\nAcademic achievement may benefit future health but a number of questions remain unanswered, including reasons for the gender differences and how academic achievement–related health disparities may progress over the life course and interact with other social determinants of health.","container-title":"Annals of Epidemiology","DOI":"10.1016/j.annepidem.2014.02.008","ISSN":"1047-2797","issue":"5","journalAbbreviation":"Annals of Epidemiology","page":"344-355","source":"ScienceDirect","title":"Does academic achievement during childhood and adolescence benefit later health?","URL":"https://www.sciencedirect.com/science/article/pii/S1047279714000702","volume":"24","author":[{"family":"Lê-Scherban","given":"Félice"},{"family":"Diez Roux","given":"Ana V."},{"family":"Li","given":"Yun"},{"family":"Morgenstern","given":"Hal"}],"accessed":{"date-parts":[["2025",1,8]]},"issued":{"date-parts":[["2014",5,1]]}}}],"schema":"https://github.com/citation-style-language/schema/raw/master/csl-citation.json"} </w:instrText>
      </w:r>
      <w:r w:rsidRPr="00680055">
        <w:rPr>
          <w:b/>
          <w:bCs/>
        </w:rPr>
        <w:fldChar w:fldCharType="separate"/>
      </w:r>
      <w:r w:rsidRPr="00680055">
        <w:rPr>
          <w:b/>
          <w:bCs/>
        </w:rPr>
        <w:t>(</w:t>
      </w:r>
      <w:proofErr w:type="spellStart"/>
      <w:r w:rsidRPr="00680055">
        <w:rPr>
          <w:b/>
          <w:bCs/>
        </w:rPr>
        <w:t>Elovainio</w:t>
      </w:r>
      <w:proofErr w:type="spellEnd"/>
      <w:r w:rsidRPr="00680055">
        <w:rPr>
          <w:b/>
          <w:bCs/>
        </w:rPr>
        <w:t xml:space="preserve"> et al., 2016; Lê-</w:t>
      </w:r>
      <w:proofErr w:type="spellStart"/>
      <w:r w:rsidRPr="00680055">
        <w:rPr>
          <w:b/>
          <w:bCs/>
        </w:rPr>
        <w:t>Scherban</w:t>
      </w:r>
      <w:proofErr w:type="spellEnd"/>
      <w:r w:rsidRPr="00680055">
        <w:rPr>
          <w:b/>
          <w:bCs/>
        </w:rPr>
        <w:t xml:space="preserve"> et al., 2014)</w:t>
      </w:r>
      <w:r w:rsidRPr="00680055">
        <w:rPr>
          <w:b/>
          <w:bCs/>
        </w:rPr>
        <w:fldChar w:fldCharType="end"/>
      </w:r>
      <w:r w:rsidRPr="00680055">
        <w:rPr>
          <w:b/>
          <w:bCs/>
        </w:rPr>
        <w:t xml:space="preserve">, risk of chronic disease </w:t>
      </w:r>
      <w:r w:rsidRPr="00680055">
        <w:rPr>
          <w:b/>
          <w:bCs/>
        </w:rPr>
        <w:fldChar w:fldCharType="begin"/>
      </w:r>
      <w:r w:rsidRPr="00680055">
        <w:rPr>
          <w:b/>
          <w:bCs/>
        </w:rPr>
        <w:instrText xml:space="preserve"> ADDIN ZOTERO_ITEM CSL_CITATION {"citationID":"mVOgAcCA","properties":{"formattedCitation":"(Choi et al., 2011; Magnani et al., 2024)","plainCitation":"(Choi et al., 2011; Magnani et al., 2024)","noteIndex":0},"citationItems":[{"id":4495,"uris":["http://zotero.org/groups/4923355/items/GYXJG2NC"],"itemData":{"id":4495,"type":"article-journal","abstract":"Background\nRecent reports have suggested a close relationship between education and health, including mortality, in the United States.\nStudy Design\nObservational cohort.\nSetting &amp; Participants\nWe studied 61,457 participants enrolled in a national health screening initiative, the National Kidney Foundation's Kidney Early Evaluation Program (KEEP).\nPredictor\nSelf-reported educational attainment.\nOutcomes\nChronic diseases (hypertension, diabetes, cardiovascular disease, reduced kidney function, and albuminuria) and mortality.\nMeasurements\nWe evaluated cross-sectional associations between self-reported educational attainment with the chronic diseases listed using logistic regression models adjusted for demographics, access to care, behaviors, and comorbid conditions. The association of educational attainment with survival was determined using multivariable Cox proportional hazards regression.\nResults\nHigher educational attainment was associated with a lower prevalence of each of the chronic conditions listed. In multivariable models, compared with persons not completing high school, college graduates had a lower risk of each chronic condition, ranging from 11% lower odds of decreased kidney function to 37% lower odds of cardiovascular disease. During a mean follow-up of 3.9 (median, 3.7) years, 2,384 (4%) deaths occurred. In the fully adjusted Cox model, those who had completed college had 24% lower mortality compared with participants who had completed at least some high school.\nLimitations\nLack of income data does not allow us to disentangle the independent effects of education from income.\nConclusions\nIn this diverse contemporary cohort, higher educational attainment was associated independently with a lower prevalence of chronic diseases and short-term mortality in all age and race/ethnicity groups.","container-title":"American Journal of Kidney Diseases","DOI":"10.1053/j.ajkd.2011.02.388","ISSN":"0272-6386","issue":"2","journalAbbreviation":"American Journal of Kidney Diseases","page":"228-234","source":"ScienceDirect","title":"Association of Educational Attainment With Chronic Disease and Mortality: The Kidney Early Evaluation Program (KEEP)","title-short":"Association of Educational Attainment With Chronic Disease and Mortality","URL":"https://www.sciencedirect.com/science/article/pii/S0272638611006974","volume":"58","author":[{"family":"Choi","given":"Andy I."},{"family":"Weekley","given":"Cristin C."},{"family":"Chen","given":"Shu-Cheng"},{"family":"Li","given":"Suying"},{"family":"Kurella Tamura","given":"Manjula"},{"family":"Norris","given":"Keith C."},{"family":"Shlipak","given":"Michael G."}],"accessed":{"date-parts":[["2025",1,12]]},"issued":{"date-parts":[["2011",8,1]]}}},{"id":4493,"uris":["http://zotero.org/groups/4923355/items/FFICDWZC"],"itemData":{"id":4493,"type":"article-journal","abstract":"Education is a social determinant of health. Quantifying its association with lifetime cardiovascular disease (CVD) risk has public health importance.To calculate lifetime risk estimates of incident CVD and CVD subtypes and estimate years lived with and without CVD by education.Included community-based cohort studies with adjudicated cardiovascular events used pooled individual-level data from 1985 to 2015 of 6 prospective cohort studies. The study team assessed the association between education and lifetime CVD risk with modified Kaplan-Meier and Cox models accounting for competing risk of noncardiovascular death. The study team estimated years lived with and without CVD by education with the Irwin restricted mean and the utility of adding educational attainment to CVD risk assessment. Participants (baseline 40 to 59 years old and 60 to 79 years old) were without CVD at baseline and had complete education, cardiovascular risk factors, and prospective CVD outcomes data. Data were analyzed from January 2022 to September 2022.Educational attainment (less than high school, high school completion, some college, or college graduate).Cardiovascular events (fatal and nonfatal coronary heart disease, heart failure, and stroke; CVD-related deaths; and total CVD encompassing any of these events).There were 40</w:instrText>
      </w:r>
      <w:r w:rsidRPr="00680055">
        <w:rPr>
          <w:rFonts w:ascii="Arial" w:hAnsi="Arial" w:cs="Arial"/>
          <w:b/>
          <w:bCs/>
        </w:rPr>
        <w:instrText> </w:instrText>
      </w:r>
      <w:r w:rsidRPr="00680055">
        <w:rPr>
          <w:b/>
          <w:bCs/>
        </w:rPr>
        <w:instrText>998 participants (23</w:instrText>
      </w:r>
      <w:r w:rsidRPr="00680055">
        <w:rPr>
          <w:rFonts w:ascii="Arial" w:hAnsi="Arial" w:cs="Arial"/>
          <w:b/>
          <w:bCs/>
        </w:rPr>
        <w:instrText> </w:instrText>
      </w:r>
      <w:r w:rsidRPr="00680055">
        <w:rPr>
          <w:b/>
          <w:bCs/>
        </w:rPr>
        <w:instrText xml:space="preserve">305 female [56.2%]) with a mean (SD) age of 58.1 (9.7) years for males and 58.3 (9.9) years for females. Compared with college graduates, those with less than high school or high school completion had higher lifetime CVD risks. Among middle-aged men, the competing hazard ratios (HRs) for a CVD event were 1.58 (95% CI, 1.38-1.80), 1.30 (95% CI, 1.10-1.46), and 1.16 (95% CI, 1.00-1.34) in those with less than high school, high school, and some college, respectively, compared with those with college completion. Among women, these competing HRs were 1.70 (95% CI, 1.49-1.95), 1.19 (95% CI, 1.05-1.35), and 0.98 (95% CI, 0.83-1.15). Individuals with higher education had longer duration of life prior to incident CVD. Education provided limited contribution toward enhancing CVD risk prediction.Lower education was associated with lifetime CVD risk across adulthood; higher education translated to healthy longevity. Educational policy initiatives may associate with long-term health benefits.","container-title":"JAMA Cardiology","DOI":"10.1001/jamacardio.2023.3990","ISSN":"2380-6583","issue":"1","journalAbbreviation":"JAMA Cardiology","page":"45-54","source":"Silverchair","title":"Educational Attainment and Lifetime Risk of Cardiovascular Disease","URL":"https://doi.org/10.1001/jamacardio.2023.3990","volume":"9","author":[{"family":"Magnani","given":"Jared W."},{"family":"Ning","given":"Hongyan"},{"family":"Wilkins","given":"John T."},{"family":"Lloyd-Jones","given":"Donald M."},{"family":"Allen","given":"Norrina B."}],"accessed":{"date-parts":[["2025",1,12]]},"issued":{"date-parts":[["2024",1,1]]}}}],"schema":"https://github.com/citation-style-language/schema/raw/master/csl-citation.json"} </w:instrText>
      </w:r>
      <w:r w:rsidRPr="00680055">
        <w:rPr>
          <w:b/>
          <w:bCs/>
        </w:rPr>
        <w:fldChar w:fldCharType="separate"/>
      </w:r>
      <w:r w:rsidRPr="00680055">
        <w:rPr>
          <w:b/>
          <w:bCs/>
        </w:rPr>
        <w:t>(Choi et al., 2011; Magnani et al., 2024)</w:t>
      </w:r>
      <w:r w:rsidRPr="00680055">
        <w:rPr>
          <w:b/>
          <w:bCs/>
        </w:rPr>
        <w:fldChar w:fldCharType="end"/>
      </w:r>
      <w:r w:rsidRPr="00680055">
        <w:rPr>
          <w:b/>
          <w:bCs/>
        </w:rPr>
        <w:t xml:space="preserve">, and overall mortality and life expectancy </w:t>
      </w:r>
      <w:r w:rsidRPr="00680055">
        <w:rPr>
          <w:b/>
          <w:bCs/>
        </w:rPr>
        <w:fldChar w:fldCharType="begin"/>
      </w:r>
      <w:r w:rsidRPr="00680055">
        <w:rPr>
          <w:b/>
          <w:bCs/>
        </w:rPr>
        <w:instrText xml:space="preserve"> ADDIN ZOTERO_ITEM CSL_CITATION {"citationID":"v04BcB4j","properties":{"formattedCitation":"(Kaplan et al., 2014; Puka et al., 2022)","plainCitation":"(Kaplan et al., 2014; Puka et al., 2022)","noteIndex":0},"citationItems":[{"id":4473,"uris":["http://zotero.org/groups/4923355/items/I5NMN4W8"],"itemData":{"id":4473,"type":"article-journal","abstract":"National objectives for health concentrate on improving life expectancy and enhancing health-related quality of life. Although U.S. life expectancy has seen significant extensions over the last century, the rate of increase has been falling behind other wealthy countries, and these trends have been worsening over the last 30 years. In addition, the United States spends considerably more on health care in comparison with major trading competitors. Most policy approaches for enhancing health focus on increasing expenditures for medical care. Yet, medical care explains only about 10% of the variance in health outcomes, whereas behavioral and social factors outside of health care explain nearly 50%. Evidence suggests that educational attainment may be one of the strongest correlates of life expectancy. As a baseline, cancer screening and optimizing established risk factors for premature death typically extend life expectancy by less than 1 year. In contrast, remediating the health disparity associated with low educational attainment might enhance life expectancy by up to a decade. Amassing persuasive evidence on the health benefits of interventions to improve educational attainment will be challenging. To address this issue, a robust program of systematic research is needed.","container-title":"Policy Insights from the Behavioral and Brain Sciences","DOI":"10.1177/2372732214549754","ISSN":"2372-7322","issue":"1","language":"en","note":"publisher: SAGE Publications","page":"189-194","source":"SAGE Journals","title":"Educational Attainment and Life Expectancy","URL":"https://doi.org/10.1177/2372732214549754","volume":"1","author":[{"family":"Kaplan","given":"Robert M."},{"family":"Spittel","given":"Michael L."},{"family":"Zeno","given":"Tia L."}],"accessed":{"date-parts":[["2025",1,8]]},"issued":{"date-parts":[["2014",10,1]]}}},{"id":4479,"uris":["http://zotero.org/groups/4923355/items/EJ39ITYG"],"itemData":{"id":4479,"type":"article-journal","abstract":"The US has experienced increasing socioeconomic inequalities and stagnating life expectancy. Past studies have not disentangled 2 mechanisms thought to underlie socioeconomic inequalities in health, differential exposure and differential vulnerability, that have different policy implications.To evaluate the extent to which the association between socioeconomic status (SES) and all-cause mortality can be decomposed into a direct effect of SES, indirect effects through lifestyle factors (differential exposure), and joint effects of SES with lifestyle factors (differential vulnerability).This nationwide, population-based cohort study used the cross-sectional US National Health Interview Survey linked to the National Death Index. Civilian, noninstitutionalized US adults aged 25 to 84 years were included from the 1997 to 2014 National Health Interview Survey and were followed up until December 31, 2015. Data were analyzed from May 1 to October 31, 2021. A causal mediation model using an additive hazard and marginal structural approach was used.Both SES (operationalized as educational attainment) and lifestyle risk factors (smoking, alcohol use, obesity, and physical inactivity) were assessed using self-reported questionnaires.Time to all-cause mortality.Participants included 415</w:instrText>
      </w:r>
      <w:r w:rsidRPr="00680055">
        <w:rPr>
          <w:rFonts w:ascii="Arial" w:hAnsi="Arial" w:cs="Arial"/>
          <w:b/>
          <w:bCs/>
        </w:rPr>
        <w:instrText> </w:instrText>
      </w:r>
      <w:r w:rsidRPr="00680055">
        <w:rPr>
          <w:b/>
          <w:bCs/>
        </w:rPr>
        <w:instrText>764 adults (mean [SD] age, 49.4 [15.8] years; 55% women; 64% non-Hispanic White), of whom 45% had low educational attainment and 27% had high educational attainment. Participants were followed up for a mean (SD) of 8.8 (5.2) years during which 49</w:instrText>
      </w:r>
      <w:r w:rsidRPr="00680055">
        <w:rPr>
          <w:rFonts w:ascii="Arial" w:hAnsi="Arial" w:cs="Arial"/>
          <w:b/>
          <w:bCs/>
        </w:rPr>
        <w:instrText> </w:instrText>
      </w:r>
      <w:r w:rsidRPr="00680055">
        <w:rPr>
          <w:b/>
          <w:bCs/>
        </w:rPr>
        <w:instrText>096 deaths (12%) were observed. Low educational attainment (compared with high) was associated with 83.6 (men; 95% CI, 81.8-85.5) and 54.8 (women; 95% CI, 53.4-56.2) additional deaths per 10</w:instrText>
      </w:r>
      <w:r w:rsidRPr="00680055">
        <w:rPr>
          <w:rFonts w:ascii="Arial" w:hAnsi="Arial" w:cs="Arial"/>
          <w:b/>
          <w:bCs/>
        </w:rPr>
        <w:instrText> </w:instrText>
      </w:r>
      <w:r w:rsidRPr="00680055">
        <w:rPr>
          <w:b/>
          <w:bCs/>
        </w:rPr>
        <w:instrText xml:space="preserve">000 person-years, of which 66% (men) and 80% (women) were explained by lifestyle factors. Inequalities in mortality were primarily a result of greater exposure and clustering of unhealthy lifestyle factors among low SES groups; with some exceptions among women, little evidence of differential vulnerability was identified.In this cohort study, differential exposure to lifestyle risk factors was an important mediator of socioeconomic inequalities in mortality. Public health interventions are needed, particularly among low SES groups, to address smoking, physical inactivity, alcohol use, and the socioenvironmental contexts within which these risk factors develop.","container-title":"JAMA Health Forum","DOI":"10.1001/jamahealthforum.2022.0401","ISSN":"2689-0186","issue":"4","journalAbbreviation":"JAMA Health Forum","page":"e220401","source":"Silverchair","title":"Educational Attainment and Lifestyle Risk Factors Associated With All-Cause Mortality in the US","URL":"https://doi.org/10.1001/jamahealthforum.2022.0401","volume":"3","author":[{"family":"Puka","given":"Klajdi"},{"family":"Buckley","given":"Charlotte"},{"family":"Mulia","given":"Nina"},{"family":"Lasserre","given":"Aurélie M."},{"family":"Rehm","given":"Jürgen"},{"family":"Probst","given":"Charlotte"}],"accessed":{"date-parts":[["2025",1,8]]},"issued":{"date-parts":[["2022",4,8]]}}}],"schema":"https://github.com/citation-style-language/schema/raw/master/csl-citation.json"} </w:instrText>
      </w:r>
      <w:r w:rsidRPr="00680055">
        <w:rPr>
          <w:b/>
          <w:bCs/>
        </w:rPr>
        <w:fldChar w:fldCharType="separate"/>
      </w:r>
      <w:r w:rsidRPr="00680055">
        <w:rPr>
          <w:b/>
          <w:bCs/>
        </w:rPr>
        <w:t>(Kaplan et al., 2014; Puka et al., 2022)</w:t>
      </w:r>
      <w:r w:rsidRPr="00680055">
        <w:rPr>
          <w:b/>
          <w:bCs/>
        </w:rPr>
        <w:fldChar w:fldCharType="end"/>
      </w:r>
      <w:r w:rsidRPr="00680055">
        <w:rPr>
          <w:b/>
          <w:bCs/>
        </w:rPr>
        <w:t>.</w:t>
      </w:r>
      <w:r>
        <w:rPr>
          <w:b/>
          <w:bCs/>
        </w:rPr>
        <w:t>”</w:t>
      </w:r>
    </w:p>
    <w:p w14:paraId="6E7479D8" w14:textId="77777777" w:rsidR="00680055" w:rsidRDefault="00680055" w:rsidP="001F6186">
      <w:pPr>
        <w:rPr>
          <w:b/>
          <w:bCs/>
        </w:rPr>
      </w:pPr>
    </w:p>
    <w:p w14:paraId="30EB46DC" w14:textId="77777777" w:rsidR="00680055" w:rsidRPr="001F6186" w:rsidRDefault="00680055" w:rsidP="001F6186">
      <w:pPr>
        <w:rPr>
          <w:b/>
          <w:bCs/>
        </w:rPr>
      </w:pPr>
    </w:p>
    <w:p w14:paraId="1B9C1FB0" w14:textId="77777777" w:rsidR="001F6186" w:rsidRPr="001F6186" w:rsidRDefault="001F6186" w:rsidP="001F6186"/>
    <w:p w14:paraId="276BA74B" w14:textId="77777777" w:rsidR="001F6186" w:rsidRDefault="001F6186" w:rsidP="001F6186"/>
    <w:p w14:paraId="3B365DD3" w14:textId="77777777" w:rsidR="001F6186" w:rsidRPr="001F6186" w:rsidRDefault="001F6186" w:rsidP="001F6186"/>
    <w:sectPr w:rsidR="001F6186" w:rsidRPr="001F6186" w:rsidSect="0008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07C83"/>
    <w:multiLevelType w:val="hybridMultilevel"/>
    <w:tmpl w:val="8C0A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93CE8"/>
    <w:multiLevelType w:val="hybridMultilevel"/>
    <w:tmpl w:val="C1B8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658434">
    <w:abstractNumId w:val="2"/>
  </w:num>
  <w:num w:numId="2" w16cid:durableId="1337996232">
    <w:abstractNumId w:val="1"/>
  </w:num>
  <w:num w:numId="3" w16cid:durableId="63598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6"/>
    <w:rsid w:val="000029CD"/>
    <w:rsid w:val="000062B6"/>
    <w:rsid w:val="00007735"/>
    <w:rsid w:val="00011AEF"/>
    <w:rsid w:val="000120E6"/>
    <w:rsid w:val="00012353"/>
    <w:rsid w:val="0001344F"/>
    <w:rsid w:val="000169E6"/>
    <w:rsid w:val="00016AC1"/>
    <w:rsid w:val="00016DEC"/>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3BF0"/>
    <w:rsid w:val="00044479"/>
    <w:rsid w:val="00044CD1"/>
    <w:rsid w:val="000453D6"/>
    <w:rsid w:val="00051E84"/>
    <w:rsid w:val="00052CA3"/>
    <w:rsid w:val="00060E06"/>
    <w:rsid w:val="00061693"/>
    <w:rsid w:val="00064E00"/>
    <w:rsid w:val="00067D11"/>
    <w:rsid w:val="000706DB"/>
    <w:rsid w:val="00070BB5"/>
    <w:rsid w:val="00074127"/>
    <w:rsid w:val="00076B1E"/>
    <w:rsid w:val="000779CB"/>
    <w:rsid w:val="00083326"/>
    <w:rsid w:val="00084342"/>
    <w:rsid w:val="00084C27"/>
    <w:rsid w:val="00084FBE"/>
    <w:rsid w:val="00086D37"/>
    <w:rsid w:val="000A2779"/>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D7A3A"/>
    <w:rsid w:val="000E048E"/>
    <w:rsid w:val="000E17DB"/>
    <w:rsid w:val="000E1D07"/>
    <w:rsid w:val="000E5221"/>
    <w:rsid w:val="000F2382"/>
    <w:rsid w:val="000F72DE"/>
    <w:rsid w:val="00100966"/>
    <w:rsid w:val="00105009"/>
    <w:rsid w:val="00106E18"/>
    <w:rsid w:val="00111DF2"/>
    <w:rsid w:val="00113468"/>
    <w:rsid w:val="00115202"/>
    <w:rsid w:val="00117E13"/>
    <w:rsid w:val="00120D58"/>
    <w:rsid w:val="00121AE6"/>
    <w:rsid w:val="00123778"/>
    <w:rsid w:val="001256AE"/>
    <w:rsid w:val="001256C6"/>
    <w:rsid w:val="00126BBF"/>
    <w:rsid w:val="00130A4C"/>
    <w:rsid w:val="00137534"/>
    <w:rsid w:val="0013761B"/>
    <w:rsid w:val="00141AD9"/>
    <w:rsid w:val="001421B6"/>
    <w:rsid w:val="001423BE"/>
    <w:rsid w:val="001520AB"/>
    <w:rsid w:val="0015592A"/>
    <w:rsid w:val="00155B29"/>
    <w:rsid w:val="00155E3F"/>
    <w:rsid w:val="00157896"/>
    <w:rsid w:val="00157FC3"/>
    <w:rsid w:val="00163946"/>
    <w:rsid w:val="00164822"/>
    <w:rsid w:val="00164B37"/>
    <w:rsid w:val="00170205"/>
    <w:rsid w:val="00170635"/>
    <w:rsid w:val="00170A4B"/>
    <w:rsid w:val="001720BB"/>
    <w:rsid w:val="00172AD9"/>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050F"/>
    <w:rsid w:val="001B31D5"/>
    <w:rsid w:val="001B4B95"/>
    <w:rsid w:val="001B5BDF"/>
    <w:rsid w:val="001B750D"/>
    <w:rsid w:val="001C44CD"/>
    <w:rsid w:val="001C67F7"/>
    <w:rsid w:val="001C7256"/>
    <w:rsid w:val="001C7F29"/>
    <w:rsid w:val="001D2187"/>
    <w:rsid w:val="001D6707"/>
    <w:rsid w:val="001D6D2C"/>
    <w:rsid w:val="001E11BF"/>
    <w:rsid w:val="001E50EF"/>
    <w:rsid w:val="001E7879"/>
    <w:rsid w:val="001E7FCD"/>
    <w:rsid w:val="001F14C0"/>
    <w:rsid w:val="001F154C"/>
    <w:rsid w:val="001F327F"/>
    <w:rsid w:val="001F6186"/>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191"/>
    <w:rsid w:val="00232C1B"/>
    <w:rsid w:val="00253434"/>
    <w:rsid w:val="00257121"/>
    <w:rsid w:val="002573B2"/>
    <w:rsid w:val="0026094C"/>
    <w:rsid w:val="0026364A"/>
    <w:rsid w:val="00264C2D"/>
    <w:rsid w:val="0026525C"/>
    <w:rsid w:val="00266449"/>
    <w:rsid w:val="002674BC"/>
    <w:rsid w:val="0027017F"/>
    <w:rsid w:val="002708A4"/>
    <w:rsid w:val="00271DDC"/>
    <w:rsid w:val="00274C7E"/>
    <w:rsid w:val="00275054"/>
    <w:rsid w:val="00275BA5"/>
    <w:rsid w:val="0027602B"/>
    <w:rsid w:val="00280D22"/>
    <w:rsid w:val="00281945"/>
    <w:rsid w:val="002857DE"/>
    <w:rsid w:val="00290BAF"/>
    <w:rsid w:val="00290F39"/>
    <w:rsid w:val="00291ADC"/>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A79"/>
    <w:rsid w:val="002F29D7"/>
    <w:rsid w:val="002F6E39"/>
    <w:rsid w:val="00300683"/>
    <w:rsid w:val="0030084A"/>
    <w:rsid w:val="003040FC"/>
    <w:rsid w:val="00305171"/>
    <w:rsid w:val="0030535B"/>
    <w:rsid w:val="00305665"/>
    <w:rsid w:val="003058D1"/>
    <w:rsid w:val="00305E47"/>
    <w:rsid w:val="003133A7"/>
    <w:rsid w:val="00313F8A"/>
    <w:rsid w:val="00316AEC"/>
    <w:rsid w:val="00317999"/>
    <w:rsid w:val="00331D99"/>
    <w:rsid w:val="00331F40"/>
    <w:rsid w:val="003329DF"/>
    <w:rsid w:val="0033486B"/>
    <w:rsid w:val="003351B4"/>
    <w:rsid w:val="0033717B"/>
    <w:rsid w:val="003414B8"/>
    <w:rsid w:val="00343D84"/>
    <w:rsid w:val="00347804"/>
    <w:rsid w:val="00350AA4"/>
    <w:rsid w:val="00350BFA"/>
    <w:rsid w:val="0035158F"/>
    <w:rsid w:val="003529D3"/>
    <w:rsid w:val="00355189"/>
    <w:rsid w:val="00356638"/>
    <w:rsid w:val="00357EE2"/>
    <w:rsid w:val="0036200B"/>
    <w:rsid w:val="00362E49"/>
    <w:rsid w:val="003675E9"/>
    <w:rsid w:val="00367921"/>
    <w:rsid w:val="00372943"/>
    <w:rsid w:val="00374231"/>
    <w:rsid w:val="003831D1"/>
    <w:rsid w:val="00383B0B"/>
    <w:rsid w:val="00385166"/>
    <w:rsid w:val="00390481"/>
    <w:rsid w:val="00390F98"/>
    <w:rsid w:val="003919DA"/>
    <w:rsid w:val="00392444"/>
    <w:rsid w:val="0039346A"/>
    <w:rsid w:val="00393A7C"/>
    <w:rsid w:val="003946BE"/>
    <w:rsid w:val="003A092C"/>
    <w:rsid w:val="003A1DEB"/>
    <w:rsid w:val="003A262D"/>
    <w:rsid w:val="003A6E3E"/>
    <w:rsid w:val="003B0ECB"/>
    <w:rsid w:val="003B130E"/>
    <w:rsid w:val="003B41D3"/>
    <w:rsid w:val="003C11D0"/>
    <w:rsid w:val="003C2177"/>
    <w:rsid w:val="003C2972"/>
    <w:rsid w:val="003C7479"/>
    <w:rsid w:val="003C7C7C"/>
    <w:rsid w:val="003E1F18"/>
    <w:rsid w:val="003E461D"/>
    <w:rsid w:val="003E4AB5"/>
    <w:rsid w:val="003E4DEB"/>
    <w:rsid w:val="003E532C"/>
    <w:rsid w:val="003F24DB"/>
    <w:rsid w:val="003F4AAB"/>
    <w:rsid w:val="003F56FE"/>
    <w:rsid w:val="003F70C7"/>
    <w:rsid w:val="00400DF6"/>
    <w:rsid w:val="00405498"/>
    <w:rsid w:val="004078DF"/>
    <w:rsid w:val="00412AFC"/>
    <w:rsid w:val="00414A61"/>
    <w:rsid w:val="004163A0"/>
    <w:rsid w:val="0041679C"/>
    <w:rsid w:val="0042388A"/>
    <w:rsid w:val="00425E72"/>
    <w:rsid w:val="00426168"/>
    <w:rsid w:val="00427006"/>
    <w:rsid w:val="004311D6"/>
    <w:rsid w:val="004344B6"/>
    <w:rsid w:val="00437177"/>
    <w:rsid w:val="00440822"/>
    <w:rsid w:val="00442383"/>
    <w:rsid w:val="0044255B"/>
    <w:rsid w:val="0044441F"/>
    <w:rsid w:val="004461BD"/>
    <w:rsid w:val="004465A5"/>
    <w:rsid w:val="00450E42"/>
    <w:rsid w:val="00451077"/>
    <w:rsid w:val="00453361"/>
    <w:rsid w:val="004575DB"/>
    <w:rsid w:val="00457784"/>
    <w:rsid w:val="004608F4"/>
    <w:rsid w:val="0046317E"/>
    <w:rsid w:val="004657C1"/>
    <w:rsid w:val="00465FC6"/>
    <w:rsid w:val="0046615C"/>
    <w:rsid w:val="00472BA5"/>
    <w:rsid w:val="00473E7F"/>
    <w:rsid w:val="004800CD"/>
    <w:rsid w:val="004815E4"/>
    <w:rsid w:val="00483812"/>
    <w:rsid w:val="00485E62"/>
    <w:rsid w:val="00487334"/>
    <w:rsid w:val="00490159"/>
    <w:rsid w:val="00491DBB"/>
    <w:rsid w:val="00492164"/>
    <w:rsid w:val="00492344"/>
    <w:rsid w:val="0049260A"/>
    <w:rsid w:val="00493591"/>
    <w:rsid w:val="004939AD"/>
    <w:rsid w:val="00495839"/>
    <w:rsid w:val="004A2384"/>
    <w:rsid w:val="004A42D7"/>
    <w:rsid w:val="004A53CE"/>
    <w:rsid w:val="004A565C"/>
    <w:rsid w:val="004A629D"/>
    <w:rsid w:val="004A6E67"/>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1391"/>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3884"/>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964"/>
    <w:rsid w:val="005B6DDF"/>
    <w:rsid w:val="005B74FF"/>
    <w:rsid w:val="005B76B7"/>
    <w:rsid w:val="005B776B"/>
    <w:rsid w:val="005C0555"/>
    <w:rsid w:val="005C3411"/>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1995"/>
    <w:rsid w:val="005F3C7D"/>
    <w:rsid w:val="005F43CC"/>
    <w:rsid w:val="005F5722"/>
    <w:rsid w:val="00600700"/>
    <w:rsid w:val="006010BC"/>
    <w:rsid w:val="00601372"/>
    <w:rsid w:val="00602B65"/>
    <w:rsid w:val="00603088"/>
    <w:rsid w:val="00604AB0"/>
    <w:rsid w:val="0060718C"/>
    <w:rsid w:val="006104B4"/>
    <w:rsid w:val="00616877"/>
    <w:rsid w:val="006174B4"/>
    <w:rsid w:val="00620476"/>
    <w:rsid w:val="00622C3A"/>
    <w:rsid w:val="006242CC"/>
    <w:rsid w:val="00624645"/>
    <w:rsid w:val="00630816"/>
    <w:rsid w:val="006308F9"/>
    <w:rsid w:val="00630B4F"/>
    <w:rsid w:val="0063430B"/>
    <w:rsid w:val="006354C6"/>
    <w:rsid w:val="00643200"/>
    <w:rsid w:val="00644F17"/>
    <w:rsid w:val="006501F4"/>
    <w:rsid w:val="00653DF0"/>
    <w:rsid w:val="00653F17"/>
    <w:rsid w:val="00660C20"/>
    <w:rsid w:val="0066209D"/>
    <w:rsid w:val="006645BF"/>
    <w:rsid w:val="00665343"/>
    <w:rsid w:val="006706FC"/>
    <w:rsid w:val="00670F1C"/>
    <w:rsid w:val="006716FB"/>
    <w:rsid w:val="00673CB3"/>
    <w:rsid w:val="00680055"/>
    <w:rsid w:val="00681873"/>
    <w:rsid w:val="00682BFB"/>
    <w:rsid w:val="00683990"/>
    <w:rsid w:val="00683DF9"/>
    <w:rsid w:val="00684056"/>
    <w:rsid w:val="00685DB4"/>
    <w:rsid w:val="006871E5"/>
    <w:rsid w:val="00690BB3"/>
    <w:rsid w:val="00690E02"/>
    <w:rsid w:val="006916FF"/>
    <w:rsid w:val="006937B0"/>
    <w:rsid w:val="00695ABE"/>
    <w:rsid w:val="00695CF9"/>
    <w:rsid w:val="00696529"/>
    <w:rsid w:val="006971BB"/>
    <w:rsid w:val="00697DD5"/>
    <w:rsid w:val="006A2263"/>
    <w:rsid w:val="006A6E3C"/>
    <w:rsid w:val="006A77D8"/>
    <w:rsid w:val="006B02D6"/>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D8B"/>
    <w:rsid w:val="00733CA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2FF6"/>
    <w:rsid w:val="007735AB"/>
    <w:rsid w:val="00774C6E"/>
    <w:rsid w:val="0078307E"/>
    <w:rsid w:val="007860A4"/>
    <w:rsid w:val="0079558E"/>
    <w:rsid w:val="007969AA"/>
    <w:rsid w:val="007A56FB"/>
    <w:rsid w:val="007A7F18"/>
    <w:rsid w:val="007B23F6"/>
    <w:rsid w:val="007B377D"/>
    <w:rsid w:val="007B3F19"/>
    <w:rsid w:val="007B4638"/>
    <w:rsid w:val="007C0F45"/>
    <w:rsid w:val="007C5345"/>
    <w:rsid w:val="007C68F8"/>
    <w:rsid w:val="007C6A4A"/>
    <w:rsid w:val="007D329C"/>
    <w:rsid w:val="007D4053"/>
    <w:rsid w:val="007D4DEE"/>
    <w:rsid w:val="007E2369"/>
    <w:rsid w:val="007E268D"/>
    <w:rsid w:val="007E2F34"/>
    <w:rsid w:val="007E3E2A"/>
    <w:rsid w:val="007E6787"/>
    <w:rsid w:val="007F0B09"/>
    <w:rsid w:val="007F0F63"/>
    <w:rsid w:val="007F347D"/>
    <w:rsid w:val="007F7D9E"/>
    <w:rsid w:val="008003B4"/>
    <w:rsid w:val="00801DF1"/>
    <w:rsid w:val="008030AE"/>
    <w:rsid w:val="008031C5"/>
    <w:rsid w:val="00805D26"/>
    <w:rsid w:val="00806704"/>
    <w:rsid w:val="00814126"/>
    <w:rsid w:val="00831219"/>
    <w:rsid w:val="00832137"/>
    <w:rsid w:val="00832511"/>
    <w:rsid w:val="0083387F"/>
    <w:rsid w:val="00833F79"/>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25AB"/>
    <w:rsid w:val="008A3CC5"/>
    <w:rsid w:val="008A4072"/>
    <w:rsid w:val="008A44CB"/>
    <w:rsid w:val="008A7785"/>
    <w:rsid w:val="008B0192"/>
    <w:rsid w:val="008B1D64"/>
    <w:rsid w:val="008B26E7"/>
    <w:rsid w:val="008B28DC"/>
    <w:rsid w:val="008B50CC"/>
    <w:rsid w:val="008C026E"/>
    <w:rsid w:val="008C06F5"/>
    <w:rsid w:val="008C12DF"/>
    <w:rsid w:val="008C1AD0"/>
    <w:rsid w:val="008C7721"/>
    <w:rsid w:val="008D0E94"/>
    <w:rsid w:val="008D138E"/>
    <w:rsid w:val="008D64C9"/>
    <w:rsid w:val="008E1F8D"/>
    <w:rsid w:val="008E24EC"/>
    <w:rsid w:val="008E3C69"/>
    <w:rsid w:val="008E49AA"/>
    <w:rsid w:val="008E52E3"/>
    <w:rsid w:val="008E6D86"/>
    <w:rsid w:val="008F0743"/>
    <w:rsid w:val="008F107F"/>
    <w:rsid w:val="008F13CC"/>
    <w:rsid w:val="008F27E8"/>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4EB"/>
    <w:rsid w:val="0098055B"/>
    <w:rsid w:val="00980685"/>
    <w:rsid w:val="0098301F"/>
    <w:rsid w:val="0098394B"/>
    <w:rsid w:val="00984315"/>
    <w:rsid w:val="00984935"/>
    <w:rsid w:val="00994984"/>
    <w:rsid w:val="009957CC"/>
    <w:rsid w:val="00995E79"/>
    <w:rsid w:val="009A41EB"/>
    <w:rsid w:val="009A73FE"/>
    <w:rsid w:val="009A75C4"/>
    <w:rsid w:val="009B0681"/>
    <w:rsid w:val="009C0006"/>
    <w:rsid w:val="009C13A0"/>
    <w:rsid w:val="009C157E"/>
    <w:rsid w:val="009C2646"/>
    <w:rsid w:val="009C60EE"/>
    <w:rsid w:val="009C7EC3"/>
    <w:rsid w:val="009D01C4"/>
    <w:rsid w:val="009D03D1"/>
    <w:rsid w:val="009D3FA8"/>
    <w:rsid w:val="009D5809"/>
    <w:rsid w:val="009D7B57"/>
    <w:rsid w:val="009E1D6F"/>
    <w:rsid w:val="009E73DE"/>
    <w:rsid w:val="009F03AC"/>
    <w:rsid w:val="009F0D80"/>
    <w:rsid w:val="009F12AA"/>
    <w:rsid w:val="009F1E5F"/>
    <w:rsid w:val="009F25C4"/>
    <w:rsid w:val="009F28CB"/>
    <w:rsid w:val="009F36C7"/>
    <w:rsid w:val="009F3E7D"/>
    <w:rsid w:val="00A01043"/>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2CE4"/>
    <w:rsid w:val="00A3692C"/>
    <w:rsid w:val="00A3703A"/>
    <w:rsid w:val="00A41987"/>
    <w:rsid w:val="00A43AF9"/>
    <w:rsid w:val="00A44A44"/>
    <w:rsid w:val="00A4713B"/>
    <w:rsid w:val="00A47940"/>
    <w:rsid w:val="00A50D15"/>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67E1B"/>
    <w:rsid w:val="00A70F2F"/>
    <w:rsid w:val="00A724DB"/>
    <w:rsid w:val="00A73166"/>
    <w:rsid w:val="00A74294"/>
    <w:rsid w:val="00A74EBE"/>
    <w:rsid w:val="00A80289"/>
    <w:rsid w:val="00A819CB"/>
    <w:rsid w:val="00A8275E"/>
    <w:rsid w:val="00A84821"/>
    <w:rsid w:val="00A85AEB"/>
    <w:rsid w:val="00A93942"/>
    <w:rsid w:val="00A95606"/>
    <w:rsid w:val="00A9642A"/>
    <w:rsid w:val="00AA1F0E"/>
    <w:rsid w:val="00AA3D54"/>
    <w:rsid w:val="00AA5B67"/>
    <w:rsid w:val="00AA6AFD"/>
    <w:rsid w:val="00AB06C1"/>
    <w:rsid w:val="00AB1167"/>
    <w:rsid w:val="00AB16F2"/>
    <w:rsid w:val="00AB343C"/>
    <w:rsid w:val="00AB3EF7"/>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04B9D"/>
    <w:rsid w:val="00B124D9"/>
    <w:rsid w:val="00B133EC"/>
    <w:rsid w:val="00B14A56"/>
    <w:rsid w:val="00B1576F"/>
    <w:rsid w:val="00B17CA5"/>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0707"/>
    <w:rsid w:val="00B72B08"/>
    <w:rsid w:val="00B74267"/>
    <w:rsid w:val="00B769AA"/>
    <w:rsid w:val="00B76BB0"/>
    <w:rsid w:val="00B7744B"/>
    <w:rsid w:val="00B7778F"/>
    <w:rsid w:val="00B83747"/>
    <w:rsid w:val="00B853DD"/>
    <w:rsid w:val="00B859EA"/>
    <w:rsid w:val="00B9283A"/>
    <w:rsid w:val="00B95D0B"/>
    <w:rsid w:val="00B973C3"/>
    <w:rsid w:val="00BA3B67"/>
    <w:rsid w:val="00BA6296"/>
    <w:rsid w:val="00BA65A4"/>
    <w:rsid w:val="00BA6862"/>
    <w:rsid w:val="00BB1150"/>
    <w:rsid w:val="00BB1EE0"/>
    <w:rsid w:val="00BB3BBD"/>
    <w:rsid w:val="00BB4BA9"/>
    <w:rsid w:val="00BB5C97"/>
    <w:rsid w:val="00BB759D"/>
    <w:rsid w:val="00BB7A3E"/>
    <w:rsid w:val="00BC0B97"/>
    <w:rsid w:val="00BC1543"/>
    <w:rsid w:val="00BC32D0"/>
    <w:rsid w:val="00BC5F96"/>
    <w:rsid w:val="00BD2079"/>
    <w:rsid w:val="00BD2A1A"/>
    <w:rsid w:val="00BD2D0F"/>
    <w:rsid w:val="00BD704F"/>
    <w:rsid w:val="00BD7EF3"/>
    <w:rsid w:val="00BE118A"/>
    <w:rsid w:val="00BE3300"/>
    <w:rsid w:val="00BE4AF6"/>
    <w:rsid w:val="00BE5B7D"/>
    <w:rsid w:val="00BF0301"/>
    <w:rsid w:val="00BF21B9"/>
    <w:rsid w:val="00BF2F75"/>
    <w:rsid w:val="00BF4247"/>
    <w:rsid w:val="00BF4B9F"/>
    <w:rsid w:val="00BF58FA"/>
    <w:rsid w:val="00BF6513"/>
    <w:rsid w:val="00C05B1B"/>
    <w:rsid w:val="00C14F4E"/>
    <w:rsid w:val="00C20D33"/>
    <w:rsid w:val="00C25A4C"/>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2542"/>
    <w:rsid w:val="00C62564"/>
    <w:rsid w:val="00C63967"/>
    <w:rsid w:val="00C63CC4"/>
    <w:rsid w:val="00C66684"/>
    <w:rsid w:val="00C728B9"/>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49DB"/>
    <w:rsid w:val="00CB5FF2"/>
    <w:rsid w:val="00CB7E2A"/>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2FE"/>
    <w:rsid w:val="00CF4F91"/>
    <w:rsid w:val="00CF6E83"/>
    <w:rsid w:val="00D01351"/>
    <w:rsid w:val="00D03080"/>
    <w:rsid w:val="00D037ED"/>
    <w:rsid w:val="00D05B9D"/>
    <w:rsid w:val="00D05F45"/>
    <w:rsid w:val="00D06482"/>
    <w:rsid w:val="00D069DB"/>
    <w:rsid w:val="00D06D2B"/>
    <w:rsid w:val="00D11123"/>
    <w:rsid w:val="00D11E71"/>
    <w:rsid w:val="00D12B0B"/>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429"/>
    <w:rsid w:val="00D83675"/>
    <w:rsid w:val="00D83B23"/>
    <w:rsid w:val="00D84DA3"/>
    <w:rsid w:val="00D84DD1"/>
    <w:rsid w:val="00D8620D"/>
    <w:rsid w:val="00D90521"/>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330"/>
    <w:rsid w:val="00DC36EE"/>
    <w:rsid w:val="00DD2ED3"/>
    <w:rsid w:val="00DD498E"/>
    <w:rsid w:val="00DD4D87"/>
    <w:rsid w:val="00DD4FBB"/>
    <w:rsid w:val="00DD624A"/>
    <w:rsid w:val="00DD7C50"/>
    <w:rsid w:val="00DD7F16"/>
    <w:rsid w:val="00DE01F3"/>
    <w:rsid w:val="00DE38F5"/>
    <w:rsid w:val="00DE5D19"/>
    <w:rsid w:val="00DE6B80"/>
    <w:rsid w:val="00DE7912"/>
    <w:rsid w:val="00DE7ED8"/>
    <w:rsid w:val="00DE7FA1"/>
    <w:rsid w:val="00DF02CD"/>
    <w:rsid w:val="00DF324B"/>
    <w:rsid w:val="00DF32F5"/>
    <w:rsid w:val="00DF695A"/>
    <w:rsid w:val="00DF7E80"/>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6D07"/>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0CE1"/>
    <w:rsid w:val="00EE1383"/>
    <w:rsid w:val="00EE2DD9"/>
    <w:rsid w:val="00EE350C"/>
    <w:rsid w:val="00EE542D"/>
    <w:rsid w:val="00EE5F9B"/>
    <w:rsid w:val="00EF290E"/>
    <w:rsid w:val="00F029D0"/>
    <w:rsid w:val="00F04C3C"/>
    <w:rsid w:val="00F0616B"/>
    <w:rsid w:val="00F0649E"/>
    <w:rsid w:val="00F10475"/>
    <w:rsid w:val="00F10A9A"/>
    <w:rsid w:val="00F10DEE"/>
    <w:rsid w:val="00F11929"/>
    <w:rsid w:val="00F11B0F"/>
    <w:rsid w:val="00F12600"/>
    <w:rsid w:val="00F12BF5"/>
    <w:rsid w:val="00F13B46"/>
    <w:rsid w:val="00F200CC"/>
    <w:rsid w:val="00F206FF"/>
    <w:rsid w:val="00F2223D"/>
    <w:rsid w:val="00F22693"/>
    <w:rsid w:val="00F231E3"/>
    <w:rsid w:val="00F23A02"/>
    <w:rsid w:val="00F25921"/>
    <w:rsid w:val="00F25A4B"/>
    <w:rsid w:val="00F2639D"/>
    <w:rsid w:val="00F27C54"/>
    <w:rsid w:val="00F30E5F"/>
    <w:rsid w:val="00F32932"/>
    <w:rsid w:val="00F347CE"/>
    <w:rsid w:val="00F36D88"/>
    <w:rsid w:val="00F374BB"/>
    <w:rsid w:val="00F379D4"/>
    <w:rsid w:val="00F40322"/>
    <w:rsid w:val="00F45314"/>
    <w:rsid w:val="00F46308"/>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1EB6"/>
    <w:rsid w:val="00F82BF0"/>
    <w:rsid w:val="00F8716D"/>
    <w:rsid w:val="00F912E0"/>
    <w:rsid w:val="00F91652"/>
    <w:rsid w:val="00F92526"/>
    <w:rsid w:val="00F92C03"/>
    <w:rsid w:val="00F92E8C"/>
    <w:rsid w:val="00F94450"/>
    <w:rsid w:val="00F9497E"/>
    <w:rsid w:val="00F9535E"/>
    <w:rsid w:val="00F9589D"/>
    <w:rsid w:val="00F979C2"/>
    <w:rsid w:val="00FA034A"/>
    <w:rsid w:val="00FA0FAF"/>
    <w:rsid w:val="00FA36C0"/>
    <w:rsid w:val="00FA4521"/>
    <w:rsid w:val="00FA5AD4"/>
    <w:rsid w:val="00FA6CB3"/>
    <w:rsid w:val="00FA7DB4"/>
    <w:rsid w:val="00FB183C"/>
    <w:rsid w:val="00FB72CC"/>
    <w:rsid w:val="00FC2973"/>
    <w:rsid w:val="00FC31AC"/>
    <w:rsid w:val="00FC340C"/>
    <w:rsid w:val="00FC58C3"/>
    <w:rsid w:val="00FD108A"/>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72745"/>
  <w15:chartTrackingRefBased/>
  <w15:docId w15:val="{099D2407-4C2B-DE40-9DBA-7B7CB0D7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1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1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1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1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186"/>
    <w:rPr>
      <w:rFonts w:eastAsiaTheme="majorEastAsia" w:cstheme="majorBidi"/>
      <w:color w:val="272727" w:themeColor="text1" w:themeTint="D8"/>
    </w:rPr>
  </w:style>
  <w:style w:type="paragraph" w:styleId="Title">
    <w:name w:val="Title"/>
    <w:basedOn w:val="Normal"/>
    <w:next w:val="Normal"/>
    <w:link w:val="TitleChar"/>
    <w:uiPriority w:val="10"/>
    <w:qFormat/>
    <w:rsid w:val="001F61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1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1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186"/>
    <w:rPr>
      <w:i/>
      <w:iCs/>
      <w:color w:val="404040" w:themeColor="text1" w:themeTint="BF"/>
    </w:rPr>
  </w:style>
  <w:style w:type="paragraph" w:styleId="ListParagraph">
    <w:name w:val="List Paragraph"/>
    <w:basedOn w:val="Normal"/>
    <w:uiPriority w:val="34"/>
    <w:qFormat/>
    <w:rsid w:val="001F6186"/>
    <w:pPr>
      <w:ind w:left="720"/>
      <w:contextualSpacing/>
    </w:pPr>
  </w:style>
  <w:style w:type="character" w:styleId="IntenseEmphasis">
    <w:name w:val="Intense Emphasis"/>
    <w:basedOn w:val="DefaultParagraphFont"/>
    <w:uiPriority w:val="21"/>
    <w:qFormat/>
    <w:rsid w:val="001F6186"/>
    <w:rPr>
      <w:i/>
      <w:iCs/>
      <w:color w:val="0F4761" w:themeColor="accent1" w:themeShade="BF"/>
    </w:rPr>
  </w:style>
  <w:style w:type="paragraph" w:styleId="IntenseQuote">
    <w:name w:val="Intense Quote"/>
    <w:basedOn w:val="Normal"/>
    <w:next w:val="Normal"/>
    <w:link w:val="IntenseQuoteChar"/>
    <w:uiPriority w:val="30"/>
    <w:qFormat/>
    <w:rsid w:val="001F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186"/>
    <w:rPr>
      <w:i/>
      <w:iCs/>
      <w:color w:val="0F4761" w:themeColor="accent1" w:themeShade="BF"/>
    </w:rPr>
  </w:style>
  <w:style w:type="character" w:styleId="IntenseReference">
    <w:name w:val="Intense Reference"/>
    <w:basedOn w:val="DefaultParagraphFont"/>
    <w:uiPriority w:val="32"/>
    <w:qFormat/>
    <w:rsid w:val="001F6186"/>
    <w:rPr>
      <w:b/>
      <w:bCs/>
      <w:smallCaps/>
      <w:color w:val="0F4761" w:themeColor="accent1" w:themeShade="BF"/>
      <w:spacing w:val="5"/>
    </w:rPr>
  </w:style>
  <w:style w:type="character" w:styleId="Hyperlink">
    <w:name w:val="Hyperlink"/>
    <w:basedOn w:val="DefaultParagraphFont"/>
    <w:uiPriority w:val="99"/>
    <w:unhideWhenUsed/>
    <w:rsid w:val="00491DBB"/>
    <w:rPr>
      <w:color w:val="467886" w:themeColor="hyperlink"/>
      <w:u w:val="single"/>
    </w:rPr>
  </w:style>
  <w:style w:type="character" w:styleId="UnresolvedMention">
    <w:name w:val="Unresolved Mention"/>
    <w:basedOn w:val="DefaultParagraphFont"/>
    <w:uiPriority w:val="99"/>
    <w:semiHidden/>
    <w:unhideWhenUsed/>
    <w:rsid w:val="00491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5499">
      <w:bodyDiv w:val="1"/>
      <w:marLeft w:val="0"/>
      <w:marRight w:val="0"/>
      <w:marTop w:val="0"/>
      <w:marBottom w:val="0"/>
      <w:divBdr>
        <w:top w:val="none" w:sz="0" w:space="0" w:color="auto"/>
        <w:left w:val="none" w:sz="0" w:space="0" w:color="auto"/>
        <w:bottom w:val="none" w:sz="0" w:space="0" w:color="auto"/>
        <w:right w:val="none" w:sz="0" w:space="0" w:color="auto"/>
      </w:divBdr>
    </w:div>
    <w:div w:id="126708202">
      <w:bodyDiv w:val="1"/>
      <w:marLeft w:val="0"/>
      <w:marRight w:val="0"/>
      <w:marTop w:val="0"/>
      <w:marBottom w:val="0"/>
      <w:divBdr>
        <w:top w:val="none" w:sz="0" w:space="0" w:color="auto"/>
        <w:left w:val="none" w:sz="0" w:space="0" w:color="auto"/>
        <w:bottom w:val="none" w:sz="0" w:space="0" w:color="auto"/>
        <w:right w:val="none" w:sz="0" w:space="0" w:color="auto"/>
      </w:divBdr>
    </w:div>
    <w:div w:id="848831546">
      <w:bodyDiv w:val="1"/>
      <w:marLeft w:val="0"/>
      <w:marRight w:val="0"/>
      <w:marTop w:val="0"/>
      <w:marBottom w:val="0"/>
      <w:divBdr>
        <w:top w:val="none" w:sz="0" w:space="0" w:color="auto"/>
        <w:left w:val="none" w:sz="0" w:space="0" w:color="auto"/>
        <w:bottom w:val="none" w:sz="0" w:space="0" w:color="auto"/>
        <w:right w:val="none" w:sz="0" w:space="0" w:color="auto"/>
      </w:divBdr>
    </w:div>
    <w:div w:id="1391729405">
      <w:bodyDiv w:val="1"/>
      <w:marLeft w:val="0"/>
      <w:marRight w:val="0"/>
      <w:marTop w:val="0"/>
      <w:marBottom w:val="0"/>
      <w:divBdr>
        <w:top w:val="none" w:sz="0" w:space="0" w:color="auto"/>
        <w:left w:val="none" w:sz="0" w:space="0" w:color="auto"/>
        <w:bottom w:val="none" w:sz="0" w:space="0" w:color="auto"/>
        <w:right w:val="none" w:sz="0" w:space="0" w:color="auto"/>
      </w:divBdr>
    </w:div>
    <w:div w:id="1557937763">
      <w:bodyDiv w:val="1"/>
      <w:marLeft w:val="0"/>
      <w:marRight w:val="0"/>
      <w:marTop w:val="0"/>
      <w:marBottom w:val="0"/>
      <w:divBdr>
        <w:top w:val="none" w:sz="0" w:space="0" w:color="auto"/>
        <w:left w:val="none" w:sz="0" w:space="0" w:color="auto"/>
        <w:bottom w:val="none" w:sz="0" w:space="0" w:color="auto"/>
        <w:right w:val="none" w:sz="0" w:space="0" w:color="auto"/>
      </w:divBdr>
    </w:div>
    <w:div w:id="1896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aje/kws4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6850</Words>
  <Characters>39048</Characters>
  <Application>Microsoft Office Word</Application>
  <DocSecurity>0</DocSecurity>
  <Lines>325</Lines>
  <Paragraphs>91</Paragraphs>
  <ScaleCrop>false</ScaleCrop>
  <Company/>
  <LinksUpToDate>false</LinksUpToDate>
  <CharactersWithSpaces>45807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15</cp:revision>
  <dcterms:created xsi:type="dcterms:W3CDTF">2025-01-09T02:45:00Z</dcterms:created>
  <dcterms:modified xsi:type="dcterms:W3CDTF">2025-01-12T21:48:00Z</dcterms:modified>
</cp:coreProperties>
</file>