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28"/>
          <w:szCs w:val="28"/>
        </w:rPr>
        <w:t xml:space="preserve">OWNER’S HANDOFF &amp; OPERATING MANUAL</w:t>
      </w:r>
    </w:p>
    <w:p>
      <w:pPr>
        <w:spacing w:after="30"/>
      </w:pPr>
      <w:r>
        <w:rPr>
          <w:b/>
          <w:bCs/>
          <w:color w:val="C9A227"/>
          <w:sz w:val="19"/>
          <w:szCs w:val="19"/>
        </w:rPr>
        <w:t xml:space="preserve">Your Carrier-in-a-Box — how to run the company we built for you</w:t>
      </w:r>
    </w:p>
    <w:p>
      <w:pPr>
        <w:spacing w:after="150"/>
      </w:pPr>
      <w:r>
        <w:rPr>
          <w:color w:val="6b6450"/>
          <w:sz w:val="18"/>
          <w:szCs w:val="18"/>
        </w:rPr>
        <w:t xml:space="preserve">Owner: ____________________   Company: ____________________   Handoff date: __________</w:t>
      </w:r>
    </w:p>
    <w:p>
      <w:pPr>
        <w:spacing w:after="110"/>
      </w:pPr>
      <w:r>
        <w:rPr>
          <w:b/>
          <w:bCs/>
        </w:rPr>
        <w:t xml:space="preserve">Welcome, owner. </w:t>
      </w:r>
      <w:r>
        <w:t xml:space="preserve">You now own a complete, legal, funded, insured, and staffed motor carrier. This manual tells you what you have, who does what, how the money flows, and the simple rhythm that keeps it running. You don’t need to be a freight expert — you need to follow this.</w:t>
      </w:r>
    </w:p>
    <w:p>
      <w:pPr>
        <w:pBdr>
          <w:bottom w:val="single" w:color="C9A227" w:sz="6" w:space="3"/>
        </w:pBdr>
        <w:spacing w:after="90" w:before="220"/>
      </w:pPr>
      <w:r>
        <w:rPr>
          <w:b/>
          <w:bCs/>
          <w:color w:val="1F3864"/>
          <w:sz w:val="25"/>
          <w:szCs w:val="25"/>
        </w:rPr>
        <w:t xml:space="preserve">1. What You Own</w:t>
      </w:r>
    </w:p>
    <w:p>
      <w:pPr>
        <w:pStyle w:val="ListParagraph"/>
        <w:numPr>
          <w:ilvl w:val="0"/>
          <w:numId w:val="2"/>
        </w:numPr>
        <w:spacing w:after="60"/>
      </w:pPr>
      <w:r>
        <w:rPr>
          <w:sz w:val="21"/>
          <w:szCs w:val="21"/>
        </w:rPr>
        <w:t xml:space="preserve">Your LLC/Corp + EIN, operating agreement, and registered address.</w:t>
      </w:r>
    </w:p>
    <w:p>
      <w:pPr>
        <w:pStyle w:val="ListParagraph"/>
        <w:numPr>
          <w:ilvl w:val="0"/>
          <w:numId w:val="2"/>
        </w:numPr>
        <w:spacing w:after="60"/>
      </w:pPr>
      <w:r>
        <w:rPr>
          <w:sz w:val="21"/>
          <w:szCs w:val="21"/>
        </w:rPr>
        <w:t xml:space="preserve">Active USDOT + MC authority; BOC-3, UCR, IRP/IFTA on file.</w:t>
      </w:r>
    </w:p>
    <w:p>
      <w:pPr>
        <w:pStyle w:val="ListParagraph"/>
        <w:numPr>
          <w:ilvl w:val="0"/>
          <w:numId w:val="2"/>
        </w:numPr>
        <w:spacing w:after="60"/>
      </w:pPr>
      <w:r>
        <w:rPr>
          <w:sz w:val="21"/>
          <w:szCs w:val="21"/>
        </w:rPr>
        <w:t xml:space="preserve">Commercial auto + cargo insurance (keep it active — it gates everything).</w:t>
      </w:r>
    </w:p>
    <w:p>
      <w:pPr>
        <w:pStyle w:val="ListParagraph"/>
        <w:numPr>
          <w:ilvl w:val="0"/>
          <w:numId w:val="2"/>
        </w:numPr>
        <w:spacing w:after="60"/>
      </w:pPr>
      <w:r>
        <w:rPr>
          <w:sz w:val="21"/>
          <w:szCs w:val="21"/>
        </w:rPr>
        <w:t xml:space="preserve">Business operating + reserve bank accounts (you are the signer).</w:t>
      </w:r>
    </w:p>
    <w:p>
      <w:pPr>
        <w:pStyle w:val="ListParagraph"/>
        <w:numPr>
          <w:ilvl w:val="0"/>
          <w:numId w:val="2"/>
        </w:numPr>
        <w:spacing w:after="60"/>
      </w:pPr>
      <w:r>
        <w:rPr>
          <w:sz w:val="21"/>
          <w:szCs w:val="21"/>
        </w:rPr>
        <w:t xml:space="preserve">Your truck (financed) with ELD, fuel card, and toll transponder.</w:t>
      </w:r>
    </w:p>
    <w:p>
      <w:pPr>
        <w:pStyle w:val="ListParagraph"/>
        <w:numPr>
          <w:ilvl w:val="0"/>
          <w:numId w:val="2"/>
        </w:numPr>
        <w:spacing w:after="60"/>
      </w:pPr>
      <w:r>
        <w:rPr>
          <w:sz w:val="21"/>
          <w:szCs w:val="21"/>
        </w:rPr>
        <w:t xml:space="preserve">Business credit profile started (D-U-N-S + tradelines).</w:t>
      </w:r>
    </w:p>
    <w:p>
      <w:pPr>
        <w:pStyle w:val="ListParagraph"/>
        <w:numPr>
          <w:ilvl w:val="0"/>
          <w:numId w:val="2"/>
        </w:numPr>
        <w:spacing w:after="60"/>
      </w:pPr>
      <w:r>
        <w:rPr>
          <w:sz w:val="21"/>
          <w:szCs w:val="21"/>
        </w:rPr>
        <w:t xml:space="preserve">Your operating portal — loads, settlements, driver pay, driver upload, AI assistant.</w:t>
      </w:r>
    </w:p>
    <w:p>
      <w:pPr>
        <w:pBdr>
          <w:bottom w:val="single" w:color="C9A227" w:sz="6" w:space="3"/>
        </w:pBdr>
        <w:spacing w:after="90" w:before="220"/>
      </w:pPr>
      <w:r>
        <w:rPr>
          <w:b/>
          <w:bCs/>
          <w:color w:val="1F3864"/>
          <w:sz w:val="25"/>
          <w:szCs w:val="25"/>
        </w:rPr>
        <w:t xml:space="preserve">IMPORTANT — What the Package Does NOT Include</w:t>
      </w:r>
    </w:p>
    <w:p>
      <w:pPr>
        <w:spacing w:after="110"/>
      </w:pPr>
      <w:r>
        <w:rPr>
          <w:b/>
          <w:bCs/>
          <w:color w:val="9C2A2A"/>
        </w:rPr>
        <w:t xml:space="preserve">Read this before anything else. </w:t>
      </w:r>
      <w:r>
        <w:t xml:space="preserve">The package fee covers our work to set up, structure, and launch your company. It does NOT include the truck or the costs of acquiring it. Those are separate and paid by you.</w:t>
      </w:r>
    </w:p>
    <w:p>
      <w:pPr>
        <w:spacing w:after="70" w:before="150"/>
      </w:pPr>
      <w:r>
        <w:rPr>
          <w:b/>
          <w:bCs/>
          <w:color w:val="2E4A78"/>
          <w:sz w:val="21"/>
          <w:szCs w:val="21"/>
        </w:rPr>
        <w:t xml:space="preserve">To finance a truck, YOU (or a qualified signer) must have:</w:t>
      </w:r>
    </w:p>
    <w:p>
      <w:pPr>
        <w:pStyle w:val="ListParagraph"/>
        <w:numPr>
          <w:ilvl w:val="0"/>
          <w:numId w:val="2"/>
        </w:numPr>
        <w:spacing w:after="60"/>
      </w:pPr>
      <w:r>
        <w:rPr>
          <w:sz w:val="21"/>
          <w:szCs w:val="21"/>
        </w:rPr>
        <w:t xml:space="preserve">A personal credit score of 700+ (higher is better for rate and approval).</w:t>
      </w:r>
    </w:p>
    <w:p>
      <w:pPr>
        <w:pStyle w:val="ListParagraph"/>
        <w:numPr>
          <w:ilvl w:val="0"/>
          <w:numId w:val="2"/>
        </w:numPr>
        <w:spacing w:after="60"/>
      </w:pPr>
      <w:r>
        <w:rPr>
          <w:sz w:val="21"/>
          <w:szCs w:val="21"/>
        </w:rPr>
        <w:t xml:space="preserve">Verifiable income / business revenue acceptable to the lender.</w:t>
      </w:r>
    </w:p>
    <w:p>
      <w:pPr>
        <w:pStyle w:val="ListParagraph"/>
        <w:numPr>
          <w:ilvl w:val="0"/>
          <w:numId w:val="2"/>
        </w:numPr>
        <w:spacing w:after="60"/>
      </w:pPr>
      <w:r>
        <w:rPr>
          <w:sz w:val="21"/>
          <w:szCs w:val="21"/>
        </w:rPr>
        <w:t xml:space="preserve">Personal and/or business tax returns (typically last 1–2 years).</w:t>
      </w:r>
    </w:p>
    <w:p>
      <w:pPr>
        <w:pStyle w:val="ListParagraph"/>
        <w:numPr>
          <w:ilvl w:val="0"/>
          <w:numId w:val="2"/>
        </w:numPr>
        <w:spacing w:after="60"/>
      </w:pPr>
      <w:r>
        <w:rPr>
          <w:sz w:val="21"/>
          <w:szCs w:val="21"/>
        </w:rPr>
        <w:t xml:space="preserve">Bank statements and proof of funds for the down payment.</w:t>
      </w:r>
    </w:p>
    <w:p>
      <w:pPr>
        <w:pStyle w:val="ListParagraph"/>
        <w:numPr>
          <w:ilvl w:val="0"/>
          <w:numId w:val="2"/>
        </w:numPr>
        <w:spacing w:after="60"/>
      </w:pPr>
      <w:r>
        <w:rPr>
          <w:sz w:val="21"/>
          <w:szCs w:val="21"/>
        </w:rPr>
        <w:t xml:space="preserve">A personal guarantee — the truck loan is YOUR (or your signer’s) liability.</w:t>
      </w:r>
    </w:p>
    <w:p>
      <w:pPr>
        <w:spacing w:after="110"/>
      </w:pPr>
      <w:r>
        <w:rPr>
          <w:b/>
          <w:bCs/>
        </w:rPr>
        <w:t xml:space="preserve">If you do not personally qualify, </w:t>
      </w:r>
      <w:r>
        <w:t xml:space="preserve">you must bring a signer/guarantor who does (like an investor or partner who puts up their credit). We help structure and package the application — we do not lend, and approval is the lender’s decision.</w:t>
      </w:r>
    </w:p>
    <w:p>
      <w:pPr>
        <w:spacing w:after="70" w:before="150"/>
      </w:pPr>
      <w:r>
        <w:rPr>
          <w:b/>
          <w:bCs/>
          <w:color w:val="2E4A78"/>
          <w:sz w:val="21"/>
          <w:szCs w:val="21"/>
        </w:rPr>
        <w:t xml:space="preserve">Separate costs you pay (not in the package price):</w:t>
      </w:r>
    </w:p>
    <w:p>
      <w:pPr>
        <w:pStyle w:val="ListParagraph"/>
        <w:numPr>
          <w:ilvl w:val="0"/>
          <w:numId w:val="2"/>
        </w:numPr>
        <w:spacing w:after="60"/>
      </w:pPr>
      <w:r>
        <w:rPr>
          <w:sz w:val="21"/>
          <w:szCs w:val="21"/>
        </w:rPr>
        <w:t xml:space="preserve">The truck — down payment + financed balance + monthly payment.</w:t>
      </w:r>
    </w:p>
    <w:p>
      <w:pPr>
        <w:pStyle w:val="ListParagraph"/>
        <w:numPr>
          <w:ilvl w:val="0"/>
          <w:numId w:val="2"/>
        </w:numPr>
        <w:spacing w:after="60"/>
      </w:pPr>
      <w:r>
        <w:rPr>
          <w:sz w:val="21"/>
          <w:szCs w:val="21"/>
        </w:rPr>
        <w:t xml:space="preserve">Commercial insurance premiums and down payment.</w:t>
      </w:r>
    </w:p>
    <w:p>
      <w:pPr>
        <w:pStyle w:val="ListParagraph"/>
        <w:numPr>
          <w:ilvl w:val="0"/>
          <w:numId w:val="2"/>
        </w:numPr>
        <w:spacing w:after="60"/>
      </w:pPr>
      <w:r>
        <w:rPr>
          <w:sz w:val="21"/>
          <w:szCs w:val="21"/>
        </w:rPr>
        <w:t xml:space="preserve">Government &amp; filing fees (state, FMCSA/USDOT/MC, BOC-3, UCR, IRP/IFTA).</w:t>
      </w:r>
    </w:p>
    <w:p>
      <w:pPr>
        <w:pStyle w:val="ListParagraph"/>
        <w:numPr>
          <w:ilvl w:val="0"/>
          <w:numId w:val="2"/>
        </w:numPr>
        <w:spacing w:after="60"/>
      </w:pPr>
      <w:r>
        <w:rPr>
          <w:sz w:val="21"/>
          <w:szCs w:val="21"/>
        </w:rPr>
        <w:t xml:space="preserve">Fuel, maintenance, repairs, tolls, and ongoing operating costs.</w:t>
      </w:r>
    </w:p>
    <w:p>
      <w:pPr>
        <w:pStyle w:val="ListParagraph"/>
        <w:numPr>
          <w:ilvl w:val="0"/>
          <w:numId w:val="2"/>
        </w:numPr>
        <w:spacing w:after="60"/>
      </w:pPr>
      <w:r>
        <w:rPr>
          <w:sz w:val="21"/>
          <w:szCs w:val="21"/>
        </w:rPr>
        <w:t xml:space="preserve">Drug &amp; alcohol consortium enrollment and ongoing software/subscriptions.</w:t>
      </w:r>
    </w:p>
    <w:p>
      <w:pPr>
        <w:spacing w:after="140" w:before="80"/>
      </w:pPr>
      <w:r>
        <w:rPr>
          <w:b/>
          <w:bCs/>
          <w:color w:val="1F3864"/>
          <w:sz w:val="19"/>
          <w:szCs w:val="19"/>
        </w:rPr>
        <w:t xml:space="preserve">Bottom line: the package buys our expertise and the built, launched company. The truck and all operating costs are yours, and truck financing depends on your (or a signer’s) credit, income, and documents.</w:t>
      </w:r>
    </w:p>
    <w:p>
      <w:pPr>
        <w:pBdr>
          <w:bottom w:val="single" w:color="C9A227" w:sz="6" w:space="3"/>
        </w:pBdr>
        <w:spacing w:after="90" w:before="220"/>
      </w:pPr>
      <w:r>
        <w:rPr>
          <w:b/>
          <w:bCs/>
          <w:color w:val="1F3864"/>
          <w:sz w:val="25"/>
          <w:szCs w:val="25"/>
        </w:rPr>
        <w:t xml:space="preserve">2. Your Team — Who Does What</w:t>
      </w:r>
    </w:p>
    <w:p>
      <w:pPr>
        <w:spacing w:after="110"/>
      </w:pPr>
      <w:r>
        <w:rPr>
          <w:sz w:val="21"/>
          <w:szCs w:val="21"/>
        </w:rPr>
        <w:t xml:space="preserve">Every job is filled. Here is who handles what, so you know who to call and what you personally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300"/>
        <w:gridCol w:w="18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55"/>
              <w:left w:type="dxa" w:w="95"/>
              <w:bottom w:type="dxa" w:w="55"/>
              <w:right w:type="dxa" w:w="95"/>
            </w:tcMar>
          </w:tcPr>
          <w:p>
            <w:r>
              <w:rPr>
                <w:b/>
                <w:bCs/>
                <w:color w:val="FFFFFF"/>
                <w:sz w:val="16"/>
                <w:szCs w:val="16"/>
              </w:rPr>
              <w:t xml:space="preserve">Role</w:t>
            </w:r>
          </w:p>
        </w:tc>
        <w:tc>
          <w:tcPr>
            <w:tcW w:type="dxa" w:w="3000"/>
            <w:tcBorders>
              <w:top w:val="single" w:color="CCCCCC" w:sz="1"/>
              <w:left w:val="single" w:color="CCCCCC" w:sz="1"/>
              <w:bottom w:val="single" w:color="CCCCCC" w:sz="1"/>
              <w:right w:val="single" w:color="CCCCCC" w:sz="1"/>
            </w:tcBorders>
            <w:shd w:fill="1F3864" w:val="clear"/>
            <w:tcMar>
              <w:top w:type="dxa" w:w="55"/>
              <w:left w:type="dxa" w:w="95"/>
              <w:bottom w:type="dxa" w:w="55"/>
              <w:right w:type="dxa" w:w="95"/>
            </w:tcMar>
          </w:tcPr>
          <w:p>
            <w:r>
              <w:rPr>
                <w:b/>
                <w:bCs/>
                <w:color w:val="FFFFFF"/>
                <w:sz w:val="16"/>
                <w:szCs w:val="16"/>
              </w:rPr>
              <w:t xml:space="preserve">Responsibility</w:t>
            </w:r>
          </w:p>
        </w:tc>
        <w:tc>
          <w:tcPr>
            <w:tcW w:type="dxa" w:w="2300"/>
            <w:tcBorders>
              <w:top w:val="single" w:color="CCCCCC" w:sz="1"/>
              <w:left w:val="single" w:color="CCCCCC" w:sz="1"/>
              <w:bottom w:val="single" w:color="CCCCCC" w:sz="1"/>
              <w:right w:val="single" w:color="CCCCCC" w:sz="1"/>
            </w:tcBorders>
            <w:shd w:fill="1F3864" w:val="clear"/>
            <w:tcMar>
              <w:top w:type="dxa" w:w="55"/>
              <w:left w:type="dxa" w:w="95"/>
              <w:bottom w:type="dxa" w:w="55"/>
              <w:right w:type="dxa" w:w="95"/>
            </w:tcMar>
          </w:tcPr>
          <w:p>
            <w:r>
              <w:rPr>
                <w:b/>
                <w:bCs/>
                <w:color w:val="FFFFFF"/>
                <w:sz w:val="16"/>
                <w:szCs w:val="16"/>
              </w:rPr>
              <w:t xml:space="preserve">Type / Pay</w:t>
            </w:r>
          </w:p>
        </w:tc>
        <w:tc>
          <w:tcPr>
            <w:tcW w:type="dxa" w:w="1860"/>
            <w:tcBorders>
              <w:top w:val="single" w:color="CCCCCC" w:sz="1"/>
              <w:left w:val="single" w:color="CCCCCC" w:sz="1"/>
              <w:bottom w:val="single" w:color="CCCCCC" w:sz="1"/>
              <w:right w:val="single" w:color="CCCCCC" w:sz="1"/>
            </w:tcBorders>
            <w:shd w:fill="1F3864" w:val="clear"/>
            <w:tcMar>
              <w:top w:type="dxa" w:w="55"/>
              <w:left w:type="dxa" w:w="95"/>
              <w:bottom w:type="dxa" w:w="55"/>
              <w:right w:type="dxa" w:w="95"/>
            </w:tcMar>
          </w:tcPr>
          <w:p>
            <w:r>
              <w:rPr>
                <w:b/>
                <w:bCs/>
                <w:color w:val="FFFFFF"/>
                <w:sz w:val="16"/>
                <w:szCs w:val="16"/>
              </w:rPr>
              <w:t xml:space="preserve">You manage them?</w:t>
            </w:r>
          </w:p>
        </w:tc>
      </w:tr>
      <w:tr>
        <w:tc>
          <w:tcPr>
            <w:tcW w:type="dxa" w:w="2200"/>
            <w:tcBorders>
              <w:top w:val="single" w:color="CCCCCC" w:sz="1"/>
              <w:left w:val="single" w:color="CCCCCC" w:sz="1"/>
              <w:bottom w:val="single" w:color="CCCCCC" w:sz="1"/>
              <w:right w:val="single" w:color="CCCCCC" w:sz="1"/>
            </w:tcBorders>
            <w:shd w:fill="FBF6E9" w:val="clear"/>
            <w:tcMar>
              <w:top w:type="dxa" w:w="55"/>
              <w:left w:type="dxa" w:w="95"/>
              <w:bottom w:type="dxa" w:w="55"/>
              <w:right w:type="dxa" w:w="95"/>
            </w:tcMar>
          </w:tcPr>
          <w:p>
            <w:pPr>
              <w:jc w:val="left"/>
            </w:pPr>
            <w:r>
              <w:rPr>
                <w:b/>
                <w:bCs/>
                <w:sz w:val="16"/>
                <w:szCs w:val="16"/>
              </w:rPr>
              <w:t xml:space="preserve">You (Owner/CEO)</w:t>
            </w:r>
          </w:p>
        </w:tc>
        <w:tc>
          <w:tcPr>
            <w:tcW w:type="dxa" w:w="3000"/>
            <w:tcBorders>
              <w:top w:val="single" w:color="CCCCCC" w:sz="1"/>
              <w:left w:val="single" w:color="CCCCCC" w:sz="1"/>
              <w:bottom w:val="single" w:color="CCCCCC" w:sz="1"/>
              <w:right w:val="single" w:color="CCCCCC" w:sz="1"/>
            </w:tcBorders>
            <w:shd w:fill="FBF6E9" w:val="clear"/>
            <w:tcMar>
              <w:top w:type="dxa" w:w="55"/>
              <w:left w:type="dxa" w:w="95"/>
              <w:bottom w:type="dxa" w:w="55"/>
              <w:right w:type="dxa" w:w="95"/>
            </w:tcMar>
          </w:tcPr>
          <w:p>
            <w:pPr>
              <w:jc w:val="left"/>
            </w:pPr>
            <w:r>
              <w:rPr>
                <w:b w:val="false"/>
                <w:bCs w:val="false"/>
                <w:sz w:val="16"/>
                <w:szCs w:val="16"/>
              </w:rPr>
              <w:t xml:space="preserve">Decisions, approvals, banking profit, hiring</w:t>
            </w:r>
          </w:p>
        </w:tc>
        <w:tc>
          <w:tcPr>
            <w:tcW w:type="dxa" w:w="2300"/>
            <w:tcBorders>
              <w:top w:val="single" w:color="CCCCCC" w:sz="1"/>
              <w:left w:val="single" w:color="CCCCCC" w:sz="1"/>
              <w:bottom w:val="single" w:color="CCCCCC" w:sz="1"/>
              <w:right w:val="single" w:color="CCCCCC" w:sz="1"/>
            </w:tcBorders>
            <w:shd w:fill="FBF6E9" w:val="clear"/>
            <w:tcMar>
              <w:top w:type="dxa" w:w="55"/>
              <w:left w:type="dxa" w:w="95"/>
              <w:bottom w:type="dxa" w:w="55"/>
              <w:right w:type="dxa" w:w="95"/>
            </w:tcMar>
          </w:tcPr>
          <w:p>
            <w:pPr>
              <w:jc w:val="left"/>
            </w:pPr>
            <w:r>
              <w:rPr>
                <w:b w:val="false"/>
                <w:bCs w:val="false"/>
                <w:sz w:val="16"/>
                <w:szCs w:val="16"/>
              </w:rPr>
              <w:t xml:space="preserve">Owner — profit/draw</w:t>
            </w:r>
          </w:p>
        </w:tc>
        <w:tc>
          <w:tcPr>
            <w:tcW w:type="dxa" w:w="1860"/>
            <w:tcBorders>
              <w:top w:val="single" w:color="CCCCCC" w:sz="1"/>
              <w:left w:val="single" w:color="CCCCCC" w:sz="1"/>
              <w:bottom w:val="single" w:color="CCCCCC" w:sz="1"/>
              <w:right w:val="single" w:color="CCCCCC" w:sz="1"/>
            </w:tcBorders>
            <w:shd w:fill="FBF6E9" w:val="clear"/>
            <w:tcMar>
              <w:top w:type="dxa" w:w="55"/>
              <w:left w:type="dxa" w:w="95"/>
              <w:bottom w:type="dxa" w:w="55"/>
              <w:right w:type="dxa" w:w="95"/>
            </w:tcMar>
          </w:tcPr>
          <w:p>
            <w:pPr>
              <w:jc w:val="left"/>
            </w:pPr>
            <w:r>
              <w:rPr>
                <w:b w:val="false"/>
                <w:bCs w:val="false"/>
                <w:sz w:val="16"/>
                <w:szCs w:val="16"/>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95"/>
              <w:bottom w:type="dxa" w:w="55"/>
              <w:right w:type="dxa" w:w="95"/>
            </w:tcMar>
          </w:tcPr>
          <w:p>
            <w:pPr>
              <w:jc w:val="left"/>
            </w:pPr>
            <w:r>
              <w:rPr>
                <w:b/>
                <w:bCs/>
                <w:sz w:val="16"/>
                <w:szCs w:val="16"/>
              </w:rPr>
              <w:t xml:space="preserve">Dispatcher</w:t>
            </w:r>
          </w:p>
        </w:tc>
        <w:tc>
          <w:tcPr>
            <w:tcW w:type="dxa" w:w="3000"/>
            <w:tcBorders>
              <w:top w:val="single" w:color="CCCCCC" w:sz="1"/>
              <w:left w:val="single" w:color="CCCCCC" w:sz="1"/>
              <w:bottom w:val="single" w:color="CCCCCC" w:sz="1"/>
              <w:right w:val="single" w:color="CCCCCC" w:sz="1"/>
            </w:tcBorders>
            <w:shd w:fill="FFFFFF" w:val="clear"/>
            <w:tcMar>
              <w:top w:type="dxa" w:w="55"/>
              <w:left w:type="dxa" w:w="95"/>
              <w:bottom w:type="dxa" w:w="55"/>
              <w:right w:type="dxa" w:w="95"/>
            </w:tcMar>
          </w:tcPr>
          <w:p>
            <w:pPr>
              <w:jc w:val="left"/>
            </w:pPr>
            <w:r>
              <w:rPr>
                <w:b w:val="false"/>
                <w:bCs w:val="false"/>
                <w:sz w:val="16"/>
                <w:szCs w:val="16"/>
              </w:rPr>
              <w:t xml:space="preserve">Books &amp; routes loads, negotiates rate</w:t>
            </w:r>
          </w:p>
        </w:tc>
        <w:tc>
          <w:tcPr>
            <w:tcW w:type="dxa" w:w="2300"/>
            <w:tcBorders>
              <w:top w:val="single" w:color="CCCCCC" w:sz="1"/>
              <w:left w:val="single" w:color="CCCCCC" w:sz="1"/>
              <w:bottom w:val="single" w:color="CCCCCC" w:sz="1"/>
              <w:right w:val="single" w:color="CCCCCC" w:sz="1"/>
            </w:tcBorders>
            <w:shd w:fill="FFFFFF" w:val="clear"/>
            <w:tcMar>
              <w:top w:type="dxa" w:w="55"/>
              <w:left w:type="dxa" w:w="95"/>
              <w:bottom w:type="dxa" w:w="55"/>
              <w:right w:type="dxa" w:w="95"/>
            </w:tcMar>
          </w:tcPr>
          <w:p>
            <w:pPr>
              <w:jc w:val="right"/>
            </w:pPr>
            <w:r>
              <w:rPr>
                <w:b w:val="false"/>
                <w:bCs w:val="false"/>
                <w:sz w:val="16"/>
                <w:szCs w:val="16"/>
              </w:rPr>
              <w:t xml:space="preserve">Outsourced — in the 21%</w:t>
            </w:r>
          </w:p>
        </w:tc>
        <w:tc>
          <w:tcPr>
            <w:tcW w:type="dxa" w:w="1860"/>
            <w:tcBorders>
              <w:top w:val="single" w:color="CCCCCC" w:sz="1"/>
              <w:left w:val="single" w:color="CCCCCC" w:sz="1"/>
              <w:bottom w:val="single" w:color="CCCCCC" w:sz="1"/>
              <w:right w:val="single" w:color="CCCCCC" w:sz="1"/>
            </w:tcBorders>
            <w:shd w:fill="FFFFFF" w:val="clear"/>
            <w:tcMar>
              <w:top w:type="dxa" w:w="55"/>
              <w:left w:type="dxa" w:w="95"/>
              <w:bottom w:type="dxa" w:w="55"/>
              <w:right w:type="dxa" w:w="95"/>
            </w:tcMar>
          </w:tcPr>
          <w:p>
            <w:pPr>
              <w:jc w:val="left"/>
            </w:pPr>
            <w:r>
              <w:rPr>
                <w:b w:val="false"/>
                <w:bCs w:val="false"/>
                <w:sz w:val="16"/>
                <w:szCs w:val="16"/>
              </w:rPr>
              <w:t xml:space="preserve">Light — they self-run</w:t>
            </w:r>
          </w:p>
        </w:tc>
      </w:tr>
      <w:tr>
        <w:tc>
          <w:tcPr>
            <w:tcW w:type="dxa" w:w="2200"/>
            <w:tcBorders>
              <w:top w:val="single" w:color="CCCCCC" w:sz="1"/>
              <w:left w:val="single" w:color="CCCCCC" w:sz="1"/>
              <w:bottom w:val="single" w:color="CCCCCC" w:sz="1"/>
              <w:right w:val="single" w:color="CCCCCC" w:sz="1"/>
            </w:tcBorders>
            <w:shd w:fill="FBF6E9" w:val="clear"/>
            <w:tcMar>
              <w:top w:type="dxa" w:w="55"/>
              <w:left w:type="dxa" w:w="95"/>
              <w:bottom w:type="dxa" w:w="55"/>
              <w:right w:type="dxa" w:w="95"/>
            </w:tcMar>
          </w:tcPr>
          <w:p>
            <w:pPr>
              <w:jc w:val="left"/>
            </w:pPr>
            <w:r>
              <w:rPr>
                <w:b/>
                <w:bCs/>
                <w:sz w:val="16"/>
                <w:szCs w:val="16"/>
              </w:rPr>
              <w:t xml:space="preserve">Driver</w:t>
            </w:r>
          </w:p>
        </w:tc>
        <w:tc>
          <w:tcPr>
            <w:tcW w:type="dxa" w:w="3000"/>
            <w:tcBorders>
              <w:top w:val="single" w:color="CCCCCC" w:sz="1"/>
              <w:left w:val="single" w:color="CCCCCC" w:sz="1"/>
              <w:bottom w:val="single" w:color="CCCCCC" w:sz="1"/>
              <w:right w:val="single" w:color="CCCCCC" w:sz="1"/>
            </w:tcBorders>
            <w:shd w:fill="FBF6E9" w:val="clear"/>
            <w:tcMar>
              <w:top w:type="dxa" w:w="55"/>
              <w:left w:type="dxa" w:w="95"/>
              <w:bottom w:type="dxa" w:w="55"/>
              <w:right w:type="dxa" w:w="95"/>
            </w:tcMar>
          </w:tcPr>
          <w:p>
            <w:pPr>
              <w:jc w:val="left"/>
            </w:pPr>
            <w:r>
              <w:rPr>
                <w:b w:val="false"/>
                <w:bCs w:val="false"/>
                <w:sz w:val="16"/>
                <w:szCs w:val="16"/>
              </w:rPr>
              <w:t xml:space="preserve">Runs freight, uploads paperwork</w:t>
            </w:r>
          </w:p>
        </w:tc>
        <w:tc>
          <w:tcPr>
            <w:tcW w:type="dxa" w:w="2300"/>
            <w:tcBorders>
              <w:top w:val="single" w:color="CCCCCC" w:sz="1"/>
              <w:left w:val="single" w:color="CCCCCC" w:sz="1"/>
              <w:bottom w:val="single" w:color="CCCCCC" w:sz="1"/>
              <w:right w:val="single" w:color="CCCCCC" w:sz="1"/>
            </w:tcBorders>
            <w:shd w:fill="FBF6E9" w:val="clear"/>
            <w:tcMar>
              <w:top w:type="dxa" w:w="55"/>
              <w:left w:type="dxa" w:w="95"/>
              <w:bottom w:type="dxa" w:w="55"/>
              <w:right w:type="dxa" w:w="95"/>
            </w:tcMar>
          </w:tcPr>
          <w:p>
            <w:pPr>
              <w:jc w:val="right"/>
            </w:pPr>
            <w:r>
              <w:rPr>
                <w:b w:val="false"/>
                <w:bCs w:val="false"/>
                <w:sz w:val="16"/>
                <w:szCs w:val="16"/>
              </w:rPr>
              <w:t xml:space="preserve">1099 — 20% of gross</w:t>
            </w:r>
          </w:p>
        </w:tc>
        <w:tc>
          <w:tcPr>
            <w:tcW w:type="dxa" w:w="1860"/>
            <w:tcBorders>
              <w:top w:val="single" w:color="CCCCCC" w:sz="1"/>
              <w:left w:val="single" w:color="CCCCCC" w:sz="1"/>
              <w:bottom w:val="single" w:color="CCCCCC" w:sz="1"/>
              <w:right w:val="single" w:color="CCCCCC" w:sz="1"/>
            </w:tcBorders>
            <w:shd w:fill="FBF6E9" w:val="clear"/>
            <w:tcMar>
              <w:top w:type="dxa" w:w="55"/>
              <w:left w:type="dxa" w:w="95"/>
              <w:bottom w:type="dxa" w:w="55"/>
              <w:right w:type="dxa" w:w="95"/>
            </w:tcMar>
          </w:tcPr>
          <w:p>
            <w:pPr>
              <w:jc w:val="left"/>
            </w:pPr>
            <w:r>
              <w:rPr>
                <w:b w:val="false"/>
                <w:bCs w:val="false"/>
                <w:sz w:val="16"/>
                <w:szCs w:val="16"/>
              </w:rPr>
              <w:t xml:space="preserve">Light — daily check-in</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95"/>
              <w:bottom w:type="dxa" w:w="55"/>
              <w:right w:type="dxa" w:w="95"/>
            </w:tcMar>
          </w:tcPr>
          <w:p>
            <w:pPr>
              <w:jc w:val="left"/>
            </w:pPr>
            <w:r>
              <w:rPr>
                <w:b/>
                <w:bCs/>
                <w:sz w:val="16"/>
                <w:szCs w:val="16"/>
              </w:rPr>
              <w:t xml:space="preserve">CFO/COO Provider</w:t>
            </w:r>
          </w:p>
        </w:tc>
        <w:tc>
          <w:tcPr>
            <w:tcW w:type="dxa" w:w="3000"/>
            <w:tcBorders>
              <w:top w:val="single" w:color="CCCCCC" w:sz="1"/>
              <w:left w:val="single" w:color="CCCCCC" w:sz="1"/>
              <w:bottom w:val="single" w:color="CCCCCC" w:sz="1"/>
              <w:right w:val="single" w:color="CCCCCC" w:sz="1"/>
            </w:tcBorders>
            <w:shd w:fill="FFFFFF" w:val="clear"/>
            <w:tcMar>
              <w:top w:type="dxa" w:w="55"/>
              <w:left w:type="dxa" w:w="95"/>
              <w:bottom w:type="dxa" w:w="55"/>
              <w:right w:type="dxa" w:w="95"/>
            </w:tcMar>
          </w:tcPr>
          <w:p>
            <w:pPr>
              <w:jc w:val="left"/>
            </w:pPr>
            <w:r>
              <w:rPr>
                <w:b w:val="false"/>
                <w:bCs w:val="false"/>
                <w:sz w:val="16"/>
                <w:szCs w:val="16"/>
              </w:rPr>
              <w:t xml:space="preserve">Books, settlements, pay, compliance, funding</w:t>
            </w:r>
          </w:p>
        </w:tc>
        <w:tc>
          <w:tcPr>
            <w:tcW w:type="dxa" w:w="2300"/>
            <w:tcBorders>
              <w:top w:val="single" w:color="CCCCCC" w:sz="1"/>
              <w:left w:val="single" w:color="CCCCCC" w:sz="1"/>
              <w:bottom w:val="single" w:color="CCCCCC" w:sz="1"/>
              <w:right w:val="single" w:color="CCCCCC" w:sz="1"/>
            </w:tcBorders>
            <w:shd w:fill="FFFFFF" w:val="clear"/>
            <w:tcMar>
              <w:top w:type="dxa" w:w="55"/>
              <w:left w:type="dxa" w:w="95"/>
              <w:bottom w:type="dxa" w:w="55"/>
              <w:right w:type="dxa" w:w="95"/>
            </w:tcMar>
          </w:tcPr>
          <w:p>
            <w:pPr>
              <w:jc w:val="left"/>
            </w:pPr>
            <w:r>
              <w:rPr>
                <w:b w:val="false"/>
                <w:bCs w:val="false"/>
                <w:sz w:val="16"/>
                <w:szCs w:val="16"/>
              </w:rPr>
              <w:t xml:space="preserve">Retainer — $3,000/mo</w:t>
            </w:r>
          </w:p>
        </w:tc>
        <w:tc>
          <w:tcPr>
            <w:tcW w:type="dxa" w:w="1860"/>
            <w:tcBorders>
              <w:top w:val="single" w:color="CCCCCC" w:sz="1"/>
              <w:left w:val="single" w:color="CCCCCC" w:sz="1"/>
              <w:bottom w:val="single" w:color="CCCCCC" w:sz="1"/>
              <w:right w:val="single" w:color="CCCCCC" w:sz="1"/>
            </w:tcBorders>
            <w:shd w:fill="FFFFFF" w:val="clear"/>
            <w:tcMar>
              <w:top w:type="dxa" w:w="55"/>
              <w:left w:type="dxa" w:w="95"/>
              <w:bottom w:type="dxa" w:w="55"/>
              <w:right w:type="dxa" w:w="95"/>
            </w:tcMar>
          </w:tcPr>
          <w:p>
            <w:pPr>
              <w:jc w:val="left"/>
            </w:pPr>
            <w:r>
              <w:rPr>
                <w:b w:val="false"/>
                <w:bCs w:val="false"/>
                <w:sz w:val="16"/>
                <w:szCs w:val="16"/>
              </w:rPr>
              <w:t xml:space="preserve">No — provider runs it</w:t>
            </w:r>
          </w:p>
        </w:tc>
      </w:tr>
      <w:tr>
        <w:tc>
          <w:tcPr>
            <w:tcW w:type="dxa" w:w="2200"/>
            <w:tcBorders>
              <w:top w:val="single" w:color="CCCCCC" w:sz="1"/>
              <w:left w:val="single" w:color="CCCCCC" w:sz="1"/>
              <w:bottom w:val="single" w:color="CCCCCC" w:sz="1"/>
              <w:right w:val="single" w:color="CCCCCC" w:sz="1"/>
            </w:tcBorders>
            <w:shd w:fill="FBF6E9" w:val="clear"/>
            <w:tcMar>
              <w:top w:type="dxa" w:w="55"/>
              <w:left w:type="dxa" w:w="95"/>
              <w:bottom w:type="dxa" w:w="55"/>
              <w:right w:type="dxa" w:w="95"/>
            </w:tcMar>
          </w:tcPr>
          <w:p>
            <w:pPr>
              <w:jc w:val="left"/>
            </w:pPr>
            <w:r>
              <w:rPr>
                <w:b/>
                <w:bCs/>
                <w:sz w:val="16"/>
                <w:szCs w:val="16"/>
              </w:rPr>
              <w:t xml:space="preserve">Ops/Admin Assistant</w:t>
            </w:r>
          </w:p>
        </w:tc>
        <w:tc>
          <w:tcPr>
            <w:tcW w:type="dxa" w:w="3000"/>
            <w:tcBorders>
              <w:top w:val="single" w:color="CCCCCC" w:sz="1"/>
              <w:left w:val="single" w:color="CCCCCC" w:sz="1"/>
              <w:bottom w:val="single" w:color="CCCCCC" w:sz="1"/>
              <w:right w:val="single" w:color="CCCCCC" w:sz="1"/>
            </w:tcBorders>
            <w:shd w:fill="FBF6E9" w:val="clear"/>
            <w:tcMar>
              <w:top w:type="dxa" w:w="55"/>
              <w:left w:type="dxa" w:w="95"/>
              <w:bottom w:type="dxa" w:w="55"/>
              <w:right w:type="dxa" w:w="95"/>
            </w:tcMar>
          </w:tcPr>
          <w:p>
            <w:pPr>
              <w:jc w:val="left"/>
            </w:pPr>
            <w:r>
              <w:rPr>
                <w:b w:val="false"/>
                <w:bCs w:val="false"/>
                <w:sz w:val="16"/>
                <w:szCs w:val="16"/>
              </w:rPr>
              <w:t xml:space="preserve">Calls, documents, broker setups, scheduling</w:t>
            </w:r>
          </w:p>
        </w:tc>
        <w:tc>
          <w:tcPr>
            <w:tcW w:type="dxa" w:w="2300"/>
            <w:tcBorders>
              <w:top w:val="single" w:color="CCCCCC" w:sz="1"/>
              <w:left w:val="single" w:color="CCCCCC" w:sz="1"/>
              <w:bottom w:val="single" w:color="CCCCCC" w:sz="1"/>
              <w:right w:val="single" w:color="CCCCCC" w:sz="1"/>
            </w:tcBorders>
            <w:shd w:fill="FBF6E9" w:val="clear"/>
            <w:tcMar>
              <w:top w:type="dxa" w:w="55"/>
              <w:left w:type="dxa" w:w="95"/>
              <w:bottom w:type="dxa" w:w="55"/>
              <w:right w:type="dxa" w:w="95"/>
            </w:tcMar>
          </w:tcPr>
          <w:p>
            <w:pPr>
              <w:jc w:val="left"/>
            </w:pPr>
            <w:r>
              <w:rPr>
                <w:b w:val="false"/>
                <w:bCs w:val="false"/>
                <w:sz w:val="16"/>
                <w:szCs w:val="16"/>
              </w:rPr>
              <w:t xml:space="preserve">Hire/VA — $1,500–$3,000/mo</w:t>
            </w:r>
          </w:p>
        </w:tc>
        <w:tc>
          <w:tcPr>
            <w:tcW w:type="dxa" w:w="1860"/>
            <w:tcBorders>
              <w:top w:val="single" w:color="CCCCCC" w:sz="1"/>
              <w:left w:val="single" w:color="CCCCCC" w:sz="1"/>
              <w:bottom w:val="single" w:color="CCCCCC" w:sz="1"/>
              <w:right w:val="single" w:color="CCCCCC" w:sz="1"/>
            </w:tcBorders>
            <w:shd w:fill="FBF6E9" w:val="clear"/>
            <w:tcMar>
              <w:top w:type="dxa" w:w="55"/>
              <w:left w:type="dxa" w:w="95"/>
              <w:bottom w:type="dxa" w:w="55"/>
              <w:right w:type="dxa" w:w="95"/>
            </w:tcMar>
          </w:tcPr>
          <w:p>
            <w:pPr>
              <w:jc w:val="left"/>
            </w:pPr>
            <w:r>
              <w:rPr>
                <w:b w:val="false"/>
                <w:bCs w:val="false"/>
                <w:sz w:val="16"/>
                <w:szCs w:val="16"/>
              </w:rPr>
              <w:t xml:space="preserve">Yes — your hire</w:t>
            </w:r>
          </w:p>
        </w:tc>
      </w:tr>
    </w:tbl>
    <w:p>
      <w:pPr>
        <w:spacing w:after="110"/>
      </w:pPr>
      <w:r>
        <w:rPr>
          <w:b/>
          <w:bCs/>
        </w:rPr>
        <w:t xml:space="preserve">The one role that stays with us: </w:t>
      </w:r>
      <w:r>
        <w:t xml:space="preserve">CFO/COO services (the management company). They keep your books, run weekly settlements, pay your driver, watch compliance, and grow your credit/funding — for a flat monthly retainer. It’s the brain that keeps the numbers right.</w:t>
      </w:r>
    </w:p>
    <w:p>
      <w:pPr>
        <w:pBdr>
          <w:bottom w:val="single" w:color="C9A227" w:sz="6" w:space="3"/>
        </w:pBdr>
        <w:spacing w:after="90" w:before="220"/>
      </w:pPr>
      <w:r>
        <w:rPr>
          <w:b/>
          <w:bCs/>
          <w:color w:val="1F3864"/>
          <w:sz w:val="25"/>
          <w:szCs w:val="25"/>
        </w:rPr>
        <w:t xml:space="preserve">3. How the Money Flows (your revenue waterfall)</w:t>
      </w:r>
    </w:p>
    <w:p>
      <w:pPr>
        <w:spacing w:after="110"/>
      </w:pPr>
      <w:r>
        <w:rPr>
          <w:sz w:val="21"/>
          <w:szCs w:val="21"/>
        </w:rPr>
        <w:t xml:space="preserve">Every dollar of load revenue is split the same way, every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400"/>
        <w:gridCol w:w="326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55"/>
              <w:left w:type="dxa" w:w="95"/>
              <w:bottom w:type="dxa" w:w="55"/>
              <w:right w:type="dxa" w:w="95"/>
            </w:tcMar>
          </w:tcPr>
          <w:p>
            <w:r>
              <w:rPr>
                <w:b/>
                <w:bCs/>
                <w:color w:val="FFFFFF"/>
                <w:sz w:val="16"/>
                <w:szCs w:val="16"/>
              </w:rPr>
              <w:t xml:space="preserve">Step</w:t>
            </w:r>
          </w:p>
        </w:tc>
        <w:tc>
          <w:tcPr>
            <w:tcW w:type="dxa" w:w="5400"/>
            <w:tcBorders>
              <w:top w:val="single" w:color="CCCCCC" w:sz="1"/>
              <w:left w:val="single" w:color="CCCCCC" w:sz="1"/>
              <w:bottom w:val="single" w:color="CCCCCC" w:sz="1"/>
              <w:right w:val="single" w:color="CCCCCC" w:sz="1"/>
            </w:tcBorders>
            <w:shd w:fill="1F3864" w:val="clear"/>
            <w:tcMar>
              <w:top w:type="dxa" w:w="55"/>
              <w:left w:type="dxa" w:w="95"/>
              <w:bottom w:type="dxa" w:w="55"/>
              <w:right w:type="dxa" w:w="95"/>
            </w:tcMar>
          </w:tcPr>
          <w:p>
            <w:r>
              <w:rPr>
                <w:b/>
                <w:bCs/>
                <w:color w:val="FFFFFF"/>
                <w:sz w:val="16"/>
                <w:szCs w:val="16"/>
              </w:rPr>
              <w:t xml:space="preserve">Pays</w:t>
            </w:r>
          </w:p>
        </w:tc>
        <w:tc>
          <w:tcPr>
            <w:tcW w:type="dxa" w:w="3260"/>
            <w:tcBorders>
              <w:top w:val="single" w:color="CCCCCC" w:sz="1"/>
              <w:left w:val="single" w:color="CCCCCC" w:sz="1"/>
              <w:bottom w:val="single" w:color="CCCCCC" w:sz="1"/>
              <w:right w:val="single" w:color="CCCCCC" w:sz="1"/>
            </w:tcBorders>
            <w:shd w:fill="1F3864" w:val="clear"/>
            <w:tcMar>
              <w:top w:type="dxa" w:w="55"/>
              <w:left w:type="dxa" w:w="95"/>
              <w:bottom w:type="dxa" w:w="55"/>
              <w:right w:type="dxa" w:w="95"/>
            </w:tcMar>
          </w:tcPr>
          <w:p>
            <w:r>
              <w:rPr>
                <w:b/>
                <w:bCs/>
                <w:color w:val="FFFFFF"/>
                <w:sz w:val="16"/>
                <w:szCs w:val="16"/>
              </w:rPr>
              <w:t xml:space="preserve">Basis</w:t>
            </w:r>
          </w:p>
        </w:tc>
      </w:tr>
      <w:tr>
        <w:tc>
          <w:tcPr>
            <w:tcW w:type="dxa" w:w="700"/>
            <w:tcBorders>
              <w:top w:val="single" w:color="CCCCCC" w:sz="1"/>
              <w:left w:val="single" w:color="CCCCCC" w:sz="1"/>
              <w:bottom w:val="single" w:color="CCCCCC" w:sz="1"/>
              <w:right w:val="single" w:color="CCCCCC" w:sz="1"/>
            </w:tcBorders>
            <w:shd w:fill="FBF6E9" w:val="clear"/>
            <w:tcMar>
              <w:top w:type="dxa" w:w="55"/>
              <w:left w:type="dxa" w:w="95"/>
              <w:bottom w:type="dxa" w:w="55"/>
              <w:right w:type="dxa" w:w="95"/>
            </w:tcMar>
          </w:tcPr>
          <w:p>
            <w:pPr>
              <w:jc w:val="left"/>
            </w:pPr>
            <w:r>
              <w:rPr>
                <w:b/>
                <w:bCs/>
                <w:sz w:val="16"/>
                <w:szCs w:val="16"/>
              </w:rPr>
              <w:t xml:space="preserve">1</w:t>
            </w:r>
          </w:p>
        </w:tc>
        <w:tc>
          <w:tcPr>
            <w:tcW w:type="dxa" w:w="5400"/>
            <w:tcBorders>
              <w:top w:val="single" w:color="CCCCCC" w:sz="1"/>
              <w:left w:val="single" w:color="CCCCCC" w:sz="1"/>
              <w:bottom w:val="single" w:color="CCCCCC" w:sz="1"/>
              <w:right w:val="single" w:color="CCCCCC" w:sz="1"/>
            </w:tcBorders>
            <w:shd w:fill="FBF6E9" w:val="clear"/>
            <w:tcMar>
              <w:top w:type="dxa" w:w="55"/>
              <w:left w:type="dxa" w:w="95"/>
              <w:bottom w:type="dxa" w:w="55"/>
              <w:right w:type="dxa" w:w="95"/>
            </w:tcMar>
          </w:tcPr>
          <w:p>
            <w:pPr>
              <w:jc w:val="left"/>
            </w:pPr>
            <w:r>
              <w:rPr>
                <w:b w:val="false"/>
                <w:bCs w:val="false"/>
                <w:sz w:val="16"/>
                <w:szCs w:val="16"/>
              </w:rPr>
              <w:t xml:space="preserve">Dispatch + factoring</w:t>
            </w:r>
          </w:p>
        </w:tc>
        <w:tc>
          <w:tcPr>
            <w:tcW w:type="dxa" w:w="3260"/>
            <w:tcBorders>
              <w:top w:val="single" w:color="CCCCCC" w:sz="1"/>
              <w:left w:val="single" w:color="CCCCCC" w:sz="1"/>
              <w:bottom w:val="single" w:color="CCCCCC" w:sz="1"/>
              <w:right w:val="single" w:color="CCCCCC" w:sz="1"/>
            </w:tcBorders>
            <w:shd w:fill="FBF6E9" w:val="clear"/>
            <w:tcMar>
              <w:top w:type="dxa" w:w="55"/>
              <w:left w:type="dxa" w:w="95"/>
              <w:bottom w:type="dxa" w:w="55"/>
              <w:right w:type="dxa" w:w="95"/>
            </w:tcMar>
          </w:tcPr>
          <w:p>
            <w:pPr>
              <w:jc w:val="right"/>
            </w:pPr>
            <w:r>
              <w:rPr>
                <w:b w:val="false"/>
                <w:bCs w:val="false"/>
                <w:sz w:val="16"/>
                <w:szCs w:val="16"/>
              </w:rPr>
              <w:t xml:space="preserve">21% of gross</w:t>
            </w:r>
          </w:p>
        </w:tc>
      </w:tr>
      <w:tr>
        <w:tc>
          <w:tcPr>
            <w:tcW w:type="dxa" w:w="700"/>
            <w:tcBorders>
              <w:top w:val="single" w:color="CCCCCC" w:sz="1"/>
              <w:left w:val="single" w:color="CCCCCC" w:sz="1"/>
              <w:bottom w:val="single" w:color="CCCCCC" w:sz="1"/>
              <w:right w:val="single" w:color="CCCCCC" w:sz="1"/>
            </w:tcBorders>
            <w:shd w:fill="FFFFFF" w:val="clear"/>
            <w:tcMar>
              <w:top w:type="dxa" w:w="55"/>
              <w:left w:type="dxa" w:w="95"/>
              <w:bottom w:type="dxa" w:w="55"/>
              <w:right w:type="dxa" w:w="95"/>
            </w:tcMar>
          </w:tcPr>
          <w:p>
            <w:pPr>
              <w:jc w:val="left"/>
            </w:pPr>
            <w:r>
              <w:rPr>
                <w:b/>
                <w:bCs/>
                <w:sz w:val="16"/>
                <w:szCs w:val="16"/>
              </w:rPr>
              <w:t xml:space="preserve">2</w:t>
            </w:r>
          </w:p>
        </w:tc>
        <w:tc>
          <w:tcPr>
            <w:tcW w:type="dxa" w:w="5400"/>
            <w:tcBorders>
              <w:top w:val="single" w:color="CCCCCC" w:sz="1"/>
              <w:left w:val="single" w:color="CCCCCC" w:sz="1"/>
              <w:bottom w:val="single" w:color="CCCCCC" w:sz="1"/>
              <w:right w:val="single" w:color="CCCCCC" w:sz="1"/>
            </w:tcBorders>
            <w:shd w:fill="FFFFFF" w:val="clear"/>
            <w:tcMar>
              <w:top w:type="dxa" w:w="55"/>
              <w:left w:type="dxa" w:w="95"/>
              <w:bottom w:type="dxa" w:w="55"/>
              <w:right w:type="dxa" w:w="95"/>
            </w:tcMar>
          </w:tcPr>
          <w:p>
            <w:pPr>
              <w:jc w:val="left"/>
            </w:pPr>
            <w:r>
              <w:rPr>
                <w:b w:val="false"/>
                <w:bCs w:val="false"/>
                <w:sz w:val="16"/>
                <w:szCs w:val="16"/>
              </w:rPr>
              <w:t xml:space="preserve">Fuel</w:t>
            </w:r>
          </w:p>
        </w:tc>
        <w:tc>
          <w:tcPr>
            <w:tcW w:type="dxa" w:w="3260"/>
            <w:tcBorders>
              <w:top w:val="single" w:color="CCCCCC" w:sz="1"/>
              <w:left w:val="single" w:color="CCCCCC" w:sz="1"/>
              <w:bottom w:val="single" w:color="CCCCCC" w:sz="1"/>
              <w:right w:val="single" w:color="CCCCCC" w:sz="1"/>
            </w:tcBorders>
            <w:shd w:fill="FFFFFF" w:val="clear"/>
            <w:tcMar>
              <w:top w:type="dxa" w:w="55"/>
              <w:left w:type="dxa" w:w="95"/>
              <w:bottom w:type="dxa" w:w="55"/>
              <w:right w:type="dxa" w:w="95"/>
            </w:tcMar>
          </w:tcPr>
          <w:p>
            <w:pPr>
              <w:jc w:val="left"/>
            </w:pPr>
            <w:r>
              <w:rPr>
                <w:b w:val="false"/>
                <w:bCs w:val="false"/>
                <w:sz w:val="16"/>
                <w:szCs w:val="16"/>
              </w:rPr>
              <w:t xml:space="preserve">actual</w:t>
            </w:r>
          </w:p>
        </w:tc>
      </w:tr>
      <w:tr>
        <w:tc>
          <w:tcPr>
            <w:tcW w:type="dxa" w:w="700"/>
            <w:tcBorders>
              <w:top w:val="single" w:color="CCCCCC" w:sz="1"/>
              <w:left w:val="single" w:color="CCCCCC" w:sz="1"/>
              <w:bottom w:val="single" w:color="CCCCCC" w:sz="1"/>
              <w:right w:val="single" w:color="CCCCCC" w:sz="1"/>
            </w:tcBorders>
            <w:shd w:fill="FBF6E9" w:val="clear"/>
            <w:tcMar>
              <w:top w:type="dxa" w:w="55"/>
              <w:left w:type="dxa" w:w="95"/>
              <w:bottom w:type="dxa" w:w="55"/>
              <w:right w:type="dxa" w:w="95"/>
            </w:tcMar>
          </w:tcPr>
          <w:p>
            <w:pPr>
              <w:jc w:val="left"/>
            </w:pPr>
            <w:r>
              <w:rPr>
                <w:b/>
                <w:bCs/>
                <w:sz w:val="16"/>
                <w:szCs w:val="16"/>
              </w:rPr>
              <w:t xml:space="preserve">3</w:t>
            </w:r>
          </w:p>
        </w:tc>
        <w:tc>
          <w:tcPr>
            <w:tcW w:type="dxa" w:w="5400"/>
            <w:tcBorders>
              <w:top w:val="single" w:color="CCCCCC" w:sz="1"/>
              <w:left w:val="single" w:color="CCCCCC" w:sz="1"/>
              <w:bottom w:val="single" w:color="CCCCCC" w:sz="1"/>
              <w:right w:val="single" w:color="CCCCCC" w:sz="1"/>
            </w:tcBorders>
            <w:shd w:fill="FBF6E9" w:val="clear"/>
            <w:tcMar>
              <w:top w:type="dxa" w:w="55"/>
              <w:left w:type="dxa" w:w="95"/>
              <w:bottom w:type="dxa" w:w="55"/>
              <w:right w:type="dxa" w:w="95"/>
            </w:tcMar>
          </w:tcPr>
          <w:p>
            <w:pPr>
              <w:jc w:val="left"/>
            </w:pPr>
            <w:r>
              <w:rPr>
                <w:b w:val="false"/>
                <w:bCs w:val="false"/>
                <w:sz w:val="16"/>
                <w:szCs w:val="16"/>
              </w:rPr>
              <w:t xml:space="preserve">Driver</w:t>
            </w:r>
          </w:p>
        </w:tc>
        <w:tc>
          <w:tcPr>
            <w:tcW w:type="dxa" w:w="3260"/>
            <w:tcBorders>
              <w:top w:val="single" w:color="CCCCCC" w:sz="1"/>
              <w:left w:val="single" w:color="CCCCCC" w:sz="1"/>
              <w:bottom w:val="single" w:color="CCCCCC" w:sz="1"/>
              <w:right w:val="single" w:color="CCCCCC" w:sz="1"/>
            </w:tcBorders>
            <w:shd w:fill="FBF6E9" w:val="clear"/>
            <w:tcMar>
              <w:top w:type="dxa" w:w="55"/>
              <w:left w:type="dxa" w:w="95"/>
              <w:bottom w:type="dxa" w:w="55"/>
              <w:right w:type="dxa" w:w="95"/>
            </w:tcMar>
          </w:tcPr>
          <w:p>
            <w:pPr>
              <w:jc w:val="right"/>
            </w:pPr>
            <w:r>
              <w:rPr>
                <w:b w:val="false"/>
                <w:bCs w:val="false"/>
                <w:sz w:val="16"/>
                <w:szCs w:val="16"/>
              </w:rPr>
              <w:t xml:space="preserve">20% of gross</w:t>
            </w:r>
          </w:p>
        </w:tc>
      </w:tr>
      <w:tr>
        <w:tc>
          <w:tcPr>
            <w:tcW w:type="dxa" w:w="700"/>
            <w:tcBorders>
              <w:top w:val="single" w:color="CCCCCC" w:sz="1"/>
              <w:left w:val="single" w:color="CCCCCC" w:sz="1"/>
              <w:bottom w:val="single" w:color="CCCCCC" w:sz="1"/>
              <w:right w:val="single" w:color="CCCCCC" w:sz="1"/>
            </w:tcBorders>
            <w:shd w:fill="FFFFFF" w:val="clear"/>
            <w:tcMar>
              <w:top w:type="dxa" w:w="55"/>
              <w:left w:type="dxa" w:w="95"/>
              <w:bottom w:type="dxa" w:w="55"/>
              <w:right w:type="dxa" w:w="95"/>
            </w:tcMar>
          </w:tcPr>
          <w:p>
            <w:pPr>
              <w:jc w:val="left"/>
            </w:pPr>
            <w:r>
              <w:rPr>
                <w:b/>
                <w:bCs/>
                <w:sz w:val="16"/>
                <w:szCs w:val="16"/>
              </w:rPr>
              <w:t xml:space="preserve">4</w:t>
            </w:r>
          </w:p>
        </w:tc>
        <w:tc>
          <w:tcPr>
            <w:tcW w:type="dxa" w:w="5400"/>
            <w:tcBorders>
              <w:top w:val="single" w:color="CCCCCC" w:sz="1"/>
              <w:left w:val="single" w:color="CCCCCC" w:sz="1"/>
              <w:bottom w:val="single" w:color="CCCCCC" w:sz="1"/>
              <w:right w:val="single" w:color="CCCCCC" w:sz="1"/>
            </w:tcBorders>
            <w:shd w:fill="FFFFFF" w:val="clear"/>
            <w:tcMar>
              <w:top w:type="dxa" w:w="55"/>
              <w:left w:type="dxa" w:w="95"/>
              <w:bottom w:type="dxa" w:w="55"/>
              <w:right w:type="dxa" w:w="95"/>
            </w:tcMar>
          </w:tcPr>
          <w:p>
            <w:pPr>
              <w:jc w:val="left"/>
            </w:pPr>
            <w:r>
              <w:rPr>
                <w:b w:val="false"/>
                <w:bCs w:val="false"/>
                <w:sz w:val="16"/>
                <w:szCs w:val="16"/>
              </w:rPr>
              <w:t xml:space="preserve">Truck / asset carry (payment, insurance, maint.)</w:t>
            </w:r>
          </w:p>
        </w:tc>
        <w:tc>
          <w:tcPr>
            <w:tcW w:type="dxa" w:w="3260"/>
            <w:tcBorders>
              <w:top w:val="single" w:color="CCCCCC" w:sz="1"/>
              <w:left w:val="single" w:color="CCCCCC" w:sz="1"/>
              <w:bottom w:val="single" w:color="CCCCCC" w:sz="1"/>
              <w:right w:val="single" w:color="CCCCCC" w:sz="1"/>
            </w:tcBorders>
            <w:shd w:fill="FFFFFF" w:val="clear"/>
            <w:tcMar>
              <w:top w:type="dxa" w:w="55"/>
              <w:left w:type="dxa" w:w="95"/>
              <w:bottom w:type="dxa" w:w="55"/>
              <w:right w:type="dxa" w:w="95"/>
            </w:tcMar>
          </w:tcPr>
          <w:p>
            <w:pPr>
              <w:jc w:val="left"/>
            </w:pPr>
            <w:r>
              <w:rPr>
                <w:b w:val="false"/>
                <w:bCs w:val="false"/>
                <w:sz w:val="16"/>
                <w:szCs w:val="16"/>
              </w:rPr>
              <w:t xml:space="preserve">~$1,200/wk</w:t>
            </w:r>
          </w:p>
        </w:tc>
      </w:tr>
      <w:tr>
        <w:tc>
          <w:tcPr>
            <w:tcW w:type="dxa" w:w="700"/>
            <w:tcBorders>
              <w:top w:val="single" w:color="CCCCCC" w:sz="1"/>
              <w:left w:val="single" w:color="CCCCCC" w:sz="1"/>
              <w:bottom w:val="single" w:color="CCCCCC" w:sz="1"/>
              <w:right w:val="single" w:color="CCCCCC" w:sz="1"/>
            </w:tcBorders>
            <w:shd w:fill="FBF6E9" w:val="clear"/>
            <w:tcMar>
              <w:top w:type="dxa" w:w="55"/>
              <w:left w:type="dxa" w:w="95"/>
              <w:bottom w:type="dxa" w:w="55"/>
              <w:right w:type="dxa" w:w="95"/>
            </w:tcMar>
          </w:tcPr>
          <w:p>
            <w:pPr>
              <w:jc w:val="left"/>
            </w:pPr>
            <w:r>
              <w:rPr>
                <w:b/>
                <w:bCs/>
                <w:sz w:val="16"/>
                <w:szCs w:val="16"/>
              </w:rPr>
              <w:t xml:space="preserve">5</w:t>
            </w:r>
          </w:p>
        </w:tc>
        <w:tc>
          <w:tcPr>
            <w:tcW w:type="dxa" w:w="5400"/>
            <w:tcBorders>
              <w:top w:val="single" w:color="CCCCCC" w:sz="1"/>
              <w:left w:val="single" w:color="CCCCCC" w:sz="1"/>
              <w:bottom w:val="single" w:color="CCCCCC" w:sz="1"/>
              <w:right w:val="single" w:color="CCCCCC" w:sz="1"/>
            </w:tcBorders>
            <w:shd w:fill="FBF6E9" w:val="clear"/>
            <w:tcMar>
              <w:top w:type="dxa" w:w="55"/>
              <w:left w:type="dxa" w:w="95"/>
              <w:bottom w:type="dxa" w:w="55"/>
              <w:right w:type="dxa" w:w="95"/>
            </w:tcMar>
          </w:tcPr>
          <w:p>
            <w:pPr>
              <w:jc w:val="left"/>
            </w:pPr>
            <w:r>
              <w:rPr>
                <w:b w:val="false"/>
                <w:bCs w:val="false"/>
                <w:sz w:val="16"/>
                <w:szCs w:val="16"/>
              </w:rPr>
              <w:t xml:space="preserve">CFO/COO Provider</w:t>
            </w:r>
          </w:p>
        </w:tc>
        <w:tc>
          <w:tcPr>
            <w:tcW w:type="dxa" w:w="3260"/>
            <w:tcBorders>
              <w:top w:val="single" w:color="CCCCCC" w:sz="1"/>
              <w:left w:val="single" w:color="CCCCCC" w:sz="1"/>
              <w:bottom w:val="single" w:color="CCCCCC" w:sz="1"/>
              <w:right w:val="single" w:color="CCCCCC" w:sz="1"/>
            </w:tcBorders>
            <w:shd w:fill="FBF6E9" w:val="clear"/>
            <w:tcMar>
              <w:top w:type="dxa" w:w="55"/>
              <w:left w:type="dxa" w:w="95"/>
              <w:bottom w:type="dxa" w:w="55"/>
              <w:right w:type="dxa" w:w="95"/>
            </w:tcMar>
          </w:tcPr>
          <w:p>
            <w:pPr>
              <w:jc w:val="right"/>
            </w:pPr>
            <w:r>
              <w:rPr>
                <w:b w:val="false"/>
                <w:bCs w:val="false"/>
                <w:sz w:val="16"/>
                <w:szCs w:val="16"/>
              </w:rPr>
              <w:t xml:space="preserve">$5,000/mo</w:t>
            </w:r>
          </w:p>
        </w:tc>
      </w:tr>
      <w:tr>
        <w:tc>
          <w:tcPr>
            <w:tcW w:type="dxa" w:w="700"/>
            <w:tcBorders>
              <w:top w:val="single" w:color="CCCCCC" w:sz="1"/>
              <w:left w:val="single" w:color="CCCCCC" w:sz="1"/>
              <w:bottom w:val="single" w:color="CCCCCC" w:sz="1"/>
              <w:right w:val="single" w:color="CCCCCC" w:sz="1"/>
            </w:tcBorders>
            <w:shd w:fill="F4ECD8" w:val="clear"/>
            <w:tcMar>
              <w:top w:type="dxa" w:w="55"/>
              <w:left w:type="dxa" w:w="95"/>
              <w:bottom w:type="dxa" w:w="55"/>
              <w:right w:type="dxa" w:w="95"/>
            </w:tcMar>
          </w:tcPr>
          <w:p>
            <w:pPr>
              <w:jc w:val="left"/>
            </w:pPr>
            <w:r>
              <w:rPr>
                <w:b/>
                <w:bCs/>
                <w:sz w:val="16"/>
                <w:szCs w:val="16"/>
              </w:rPr>
              <w:t xml:space="preserve">=</w:t>
            </w:r>
          </w:p>
        </w:tc>
        <w:tc>
          <w:tcPr>
            <w:tcW w:type="dxa" w:w="5400"/>
            <w:tcBorders>
              <w:top w:val="single" w:color="CCCCCC" w:sz="1"/>
              <w:left w:val="single" w:color="CCCCCC" w:sz="1"/>
              <w:bottom w:val="single" w:color="CCCCCC" w:sz="1"/>
              <w:right w:val="single" w:color="CCCCCC" w:sz="1"/>
            </w:tcBorders>
            <w:shd w:fill="F4ECD8" w:val="clear"/>
            <w:tcMar>
              <w:top w:type="dxa" w:w="55"/>
              <w:left w:type="dxa" w:w="95"/>
              <w:bottom w:type="dxa" w:w="55"/>
              <w:right w:type="dxa" w:w="95"/>
            </w:tcMar>
          </w:tcPr>
          <w:p>
            <w:pPr>
              <w:jc w:val="left"/>
            </w:pPr>
            <w:r>
              <w:rPr>
                <w:b/>
                <w:bCs/>
                <w:sz w:val="16"/>
                <w:szCs w:val="16"/>
              </w:rPr>
              <w:t xml:space="preserve">YOUR PROFIT</w:t>
            </w:r>
          </w:p>
        </w:tc>
        <w:tc>
          <w:tcPr>
            <w:tcW w:type="dxa" w:w="3260"/>
            <w:tcBorders>
              <w:top w:val="single" w:color="CCCCCC" w:sz="1"/>
              <w:left w:val="single" w:color="CCCCCC" w:sz="1"/>
              <w:bottom w:val="single" w:color="CCCCCC" w:sz="1"/>
              <w:right w:val="single" w:color="CCCCCC" w:sz="1"/>
            </w:tcBorders>
            <w:shd w:fill="F4ECD8" w:val="clear"/>
            <w:tcMar>
              <w:top w:type="dxa" w:w="55"/>
              <w:left w:type="dxa" w:w="95"/>
              <w:bottom w:type="dxa" w:w="55"/>
              <w:right w:type="dxa" w:w="95"/>
            </w:tcMar>
          </w:tcPr>
          <w:p>
            <w:pPr>
              <w:jc w:val="left"/>
            </w:pPr>
            <w:r>
              <w:rPr>
                <w:b/>
                <w:bCs/>
                <w:sz w:val="16"/>
                <w:szCs w:val="16"/>
              </w:rPr>
              <w:t xml:space="preserve">everything left</w:t>
            </w:r>
          </w:p>
        </w:tc>
      </w:tr>
    </w:tbl>
    <w:p>
      <w:pPr>
        <w:spacing w:after="110"/>
      </w:pPr>
      <w:r>
        <w:rPr>
          <w:b/>
          <w:bCs/>
        </w:rPr>
        <w:t xml:space="preserve">You keep what’s left. </w:t>
      </w:r>
      <w:r>
        <w:t xml:space="preserve">Your job is to grow the top (more/better loads) and watch the controllable costs (fuel, maintenance). We show you all of it in the portal each week.</w:t>
      </w:r>
    </w:p>
    <w:p>
      <w:pPr>
        <w:pBdr>
          <w:bottom w:val="single" w:color="C9A227" w:sz="6" w:space="3"/>
        </w:pBdr>
        <w:spacing w:after="90" w:before="220"/>
      </w:pPr>
      <w:r>
        <w:rPr>
          <w:b/>
          <w:bCs/>
          <w:color w:val="1F3864"/>
          <w:sz w:val="25"/>
          <w:szCs w:val="25"/>
        </w:rPr>
        <w:t xml:space="preserve">4. Your Operating Rhythm</w:t>
      </w:r>
    </w:p>
    <w:p>
      <w:pPr>
        <w:spacing w:after="70" w:before="150"/>
      </w:pPr>
      <w:r>
        <w:rPr>
          <w:b/>
          <w:bCs/>
          <w:color w:val="2E4A78"/>
          <w:sz w:val="21"/>
          <w:szCs w:val="21"/>
        </w:rPr>
        <w:t xml:space="preserve">Daily</w:t>
      </w:r>
    </w:p>
    <w:p>
      <w:pPr>
        <w:pStyle w:val="ListParagraph"/>
        <w:numPr>
          <w:ilvl w:val="0"/>
          <w:numId w:val="2"/>
        </w:numPr>
        <w:spacing w:after="60"/>
      </w:pPr>
      <w:r>
        <w:rPr>
          <w:sz w:val="21"/>
          <w:szCs w:val="21"/>
        </w:rPr>
        <w:t xml:space="preserve">Driver runs loads and uploads the rate con/POD after each delivery (driver upload screen).</w:t>
      </w:r>
    </w:p>
    <w:p>
      <w:pPr>
        <w:pStyle w:val="ListParagraph"/>
        <w:numPr>
          <w:ilvl w:val="0"/>
          <w:numId w:val="2"/>
        </w:numPr>
        <w:spacing w:after="60"/>
      </w:pPr>
      <w:r>
        <w:rPr>
          <w:sz w:val="21"/>
          <w:szCs w:val="21"/>
        </w:rPr>
        <w:t xml:space="preserve">Dispatcher books the next load and keeps the truck moving.</w:t>
      </w:r>
    </w:p>
    <w:p>
      <w:pPr>
        <w:pStyle w:val="ListParagraph"/>
        <w:numPr>
          <w:ilvl w:val="0"/>
          <w:numId w:val="2"/>
        </w:numPr>
        <w:spacing w:after="60"/>
      </w:pPr>
      <w:r>
        <w:rPr>
          <w:sz w:val="21"/>
          <w:szCs w:val="21"/>
        </w:rPr>
        <w:t xml:space="preserve">You: quick glance at the portal — is the truck loaded and moving?</w:t>
      </w:r>
    </w:p>
    <w:p>
      <w:pPr>
        <w:spacing w:after="70" w:before="150"/>
      </w:pPr>
      <w:r>
        <w:rPr>
          <w:b/>
          <w:bCs/>
          <w:color w:val="2E4A78"/>
          <w:sz w:val="21"/>
          <w:szCs w:val="21"/>
        </w:rPr>
        <w:t xml:space="preserve">Weekly</w:t>
      </w:r>
    </w:p>
    <w:p>
      <w:pPr>
        <w:pStyle w:val="ListParagraph"/>
        <w:numPr>
          <w:ilvl w:val="0"/>
          <w:numId w:val="2"/>
        </w:numPr>
        <w:spacing w:after="60"/>
      </w:pPr>
      <w:r>
        <w:rPr>
          <w:sz w:val="21"/>
          <w:szCs w:val="21"/>
        </w:rPr>
        <w:t xml:space="preserve">We run the settlement: total gross, apply the waterfall, pay the driver, report your profit.</w:t>
      </w:r>
    </w:p>
    <w:p>
      <w:pPr>
        <w:pStyle w:val="ListParagraph"/>
        <w:numPr>
          <w:ilvl w:val="0"/>
          <w:numId w:val="2"/>
        </w:numPr>
        <w:spacing w:after="60"/>
      </w:pPr>
      <w:r>
        <w:rPr>
          <w:sz w:val="21"/>
          <w:szCs w:val="21"/>
        </w:rPr>
        <w:t xml:space="preserve">Your admin handles documents, broker setup packets, and any calls.</w:t>
      </w:r>
    </w:p>
    <w:p>
      <w:pPr>
        <w:pStyle w:val="ListParagraph"/>
        <w:numPr>
          <w:ilvl w:val="0"/>
          <w:numId w:val="2"/>
        </w:numPr>
        <w:spacing w:after="60"/>
      </w:pPr>
      <w:r>
        <w:rPr>
          <w:sz w:val="21"/>
          <w:szCs w:val="21"/>
        </w:rPr>
        <w:t xml:space="preserve">You: review the weekly numbers in the portal and confirm payouts.</w:t>
      </w:r>
    </w:p>
    <w:p>
      <w:pPr>
        <w:spacing w:after="70" w:before="150"/>
      </w:pPr>
      <w:r>
        <w:rPr>
          <w:b/>
          <w:bCs/>
          <w:color w:val="2E4A78"/>
          <w:sz w:val="21"/>
          <w:szCs w:val="21"/>
        </w:rPr>
        <w:t xml:space="preserve">Monthly</w:t>
      </w:r>
    </w:p>
    <w:p>
      <w:pPr>
        <w:pStyle w:val="ListParagraph"/>
        <w:numPr>
          <w:ilvl w:val="0"/>
          <w:numId w:val="2"/>
        </w:numPr>
        <w:spacing w:after="60"/>
      </w:pPr>
      <w:r>
        <w:rPr>
          <w:sz w:val="21"/>
          <w:szCs w:val="21"/>
        </w:rPr>
        <w:t xml:space="preserve">We bill the CFO/COO retainer and run a compliance review (filings, renewals, insurance).</w:t>
      </w:r>
    </w:p>
    <w:p>
      <w:pPr>
        <w:pStyle w:val="ListParagraph"/>
        <w:numPr>
          <w:ilvl w:val="0"/>
          <w:numId w:val="2"/>
        </w:numPr>
        <w:spacing w:after="60"/>
      </w:pPr>
      <w:r>
        <w:rPr>
          <w:sz w:val="21"/>
          <w:szCs w:val="21"/>
        </w:rPr>
        <w:t xml:space="preserve">You: review the month, bank your profit, decide on growth (2nd driver, add a truck).</w:t>
      </w:r>
    </w:p>
    <w:p>
      <w:pPr>
        <w:pBdr>
          <w:bottom w:val="single" w:color="C9A227" w:sz="6" w:space="3"/>
        </w:pBdr>
        <w:spacing w:after="90" w:before="220"/>
      </w:pPr>
      <w:r>
        <w:rPr>
          <w:b/>
          <w:bCs/>
          <w:color w:val="1F3864"/>
          <w:sz w:val="25"/>
          <w:szCs w:val="25"/>
        </w:rPr>
        <w:t xml:space="preserve">5. What You Must Never Let Lapse</w:t>
      </w:r>
    </w:p>
    <w:p>
      <w:pPr>
        <w:pStyle w:val="ListParagraph"/>
        <w:numPr>
          <w:ilvl w:val="0"/>
          <w:numId w:val="2"/>
        </w:numPr>
        <w:spacing w:after="60"/>
      </w:pPr>
      <w:r>
        <w:rPr>
          <w:b/>
          <w:bCs/>
        </w:rPr>
        <w:t xml:space="preserve">Insurance. </w:t>
      </w:r>
      <w:r>
        <w:t xml:space="preserve">If the COI lapses, you can’t haul, get paid, or pass inspection. Auto-pay it.</w:t>
      </w:r>
    </w:p>
    <w:p>
      <w:pPr>
        <w:pStyle w:val="ListParagraph"/>
        <w:numPr>
          <w:ilvl w:val="0"/>
          <w:numId w:val="2"/>
        </w:numPr>
        <w:spacing w:after="60"/>
      </w:pPr>
      <w:r>
        <w:rPr>
          <w:b/>
          <w:bCs/>
        </w:rPr>
        <w:t xml:space="preserve">Authority &amp; filings. </w:t>
      </w:r>
      <w:r>
        <w:t xml:space="preserve">UCR, MCS-150 (biennial), BOC-3 — your CFO/COO provider tracks these; keep the retainer current to maintain them.</w:t>
      </w:r>
    </w:p>
    <w:p>
      <w:pPr>
        <w:pStyle w:val="ListParagraph"/>
        <w:numPr>
          <w:ilvl w:val="0"/>
          <w:numId w:val="2"/>
        </w:numPr>
        <w:spacing w:after="60"/>
      </w:pPr>
      <w:r>
        <w:rPr>
          <w:b/>
          <w:bCs/>
        </w:rPr>
        <w:t xml:space="preserve">Drug &amp; alcohol consortium. </w:t>
      </w:r>
      <w:r>
        <w:t xml:space="preserve">Required; we keep you enrolled.</w:t>
      </w:r>
    </w:p>
    <w:p>
      <w:pPr>
        <w:pStyle w:val="ListParagraph"/>
        <w:numPr>
          <w:ilvl w:val="0"/>
          <w:numId w:val="2"/>
        </w:numPr>
        <w:spacing w:after="60"/>
      </w:pPr>
      <w:r>
        <w:rPr>
          <w:b/>
          <w:bCs/>
        </w:rPr>
        <w:t xml:space="preserve">Driver qualification file. </w:t>
      </w:r>
      <w:r>
        <w:t xml:space="preserve">Must stay current for every driver.</w:t>
      </w:r>
    </w:p>
    <w:p>
      <w:pPr>
        <w:pBdr>
          <w:bottom w:val="single" w:color="C9A227" w:sz="6" w:space="3"/>
        </w:pBdr>
        <w:spacing w:after="90" w:before="220"/>
      </w:pPr>
      <w:r>
        <w:rPr>
          <w:b/>
          <w:bCs/>
          <w:color w:val="1F3864"/>
          <w:sz w:val="25"/>
          <w:szCs w:val="25"/>
        </w:rPr>
        <w:t xml:space="preserve">6. When Something Goes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55"/>
              <w:left w:type="dxa" w:w="95"/>
              <w:bottom w:type="dxa" w:w="55"/>
              <w:right w:type="dxa" w:w="95"/>
            </w:tcMar>
          </w:tcPr>
          <w:p>
            <w:r>
              <w:rPr>
                <w:b/>
                <w:bCs/>
                <w:color w:val="FFFFFF"/>
                <w:sz w:val="16"/>
                <w:szCs w:val="16"/>
              </w:rPr>
              <w:t xml:space="preserve">Situation</w:t>
            </w:r>
          </w:p>
        </w:tc>
        <w:tc>
          <w:tcPr>
            <w:tcW w:type="dxa" w:w="3200"/>
            <w:tcBorders>
              <w:top w:val="single" w:color="CCCCCC" w:sz="1"/>
              <w:left w:val="single" w:color="CCCCCC" w:sz="1"/>
              <w:bottom w:val="single" w:color="CCCCCC" w:sz="1"/>
              <w:right w:val="single" w:color="CCCCCC" w:sz="1"/>
            </w:tcBorders>
            <w:shd w:fill="1F3864" w:val="clear"/>
            <w:tcMar>
              <w:top w:type="dxa" w:w="55"/>
              <w:left w:type="dxa" w:w="95"/>
              <w:bottom w:type="dxa" w:w="55"/>
              <w:right w:type="dxa" w:w="95"/>
            </w:tcMar>
          </w:tcPr>
          <w:p>
            <w:r>
              <w:rPr>
                <w:b/>
                <w:bCs/>
                <w:color w:val="FFFFFF"/>
                <w:sz w:val="16"/>
                <w:szCs w:val="16"/>
              </w:rPr>
              <w:t xml:space="preserve">First call</w:t>
            </w:r>
          </w:p>
        </w:tc>
        <w:tc>
          <w:tcPr>
            <w:tcW w:type="dxa" w:w="3560"/>
            <w:tcBorders>
              <w:top w:val="single" w:color="CCCCCC" w:sz="1"/>
              <w:left w:val="single" w:color="CCCCCC" w:sz="1"/>
              <w:bottom w:val="single" w:color="CCCCCC" w:sz="1"/>
              <w:right w:val="single" w:color="CCCCCC" w:sz="1"/>
            </w:tcBorders>
            <w:shd w:fill="1F3864" w:val="clear"/>
            <w:tcMar>
              <w:top w:type="dxa" w:w="55"/>
              <w:left w:type="dxa" w:w="95"/>
              <w:bottom w:type="dxa" w:w="55"/>
              <w:right w:type="dxa" w:w="95"/>
            </w:tcMar>
          </w:tcPr>
          <w:p>
            <w:r>
              <w:rPr>
                <w:b/>
                <w:bCs/>
                <w:color w:val="FFFFFF"/>
                <w:sz w:val="16"/>
                <w:szCs w:val="16"/>
              </w:rPr>
              <w:t xml:space="preserve">Then</w:t>
            </w:r>
          </w:p>
        </w:tc>
      </w:tr>
      <w:tr>
        <w:tc>
          <w:tcPr>
            <w:tcW w:type="dxa" w:w="2600"/>
            <w:tcBorders>
              <w:top w:val="single" w:color="CCCCCC" w:sz="1"/>
              <w:left w:val="single" w:color="CCCCCC" w:sz="1"/>
              <w:bottom w:val="single" w:color="CCCCCC" w:sz="1"/>
              <w:right w:val="single" w:color="CCCCCC" w:sz="1"/>
            </w:tcBorders>
            <w:shd w:fill="FBF6E9" w:val="clear"/>
            <w:tcMar>
              <w:top w:type="dxa" w:w="55"/>
              <w:left w:type="dxa" w:w="95"/>
              <w:bottom w:type="dxa" w:w="55"/>
              <w:right w:type="dxa" w:w="95"/>
            </w:tcMar>
          </w:tcPr>
          <w:p>
            <w:pPr>
              <w:jc w:val="left"/>
            </w:pPr>
            <w:r>
              <w:rPr>
                <w:b/>
                <w:bCs/>
                <w:sz w:val="16"/>
                <w:szCs w:val="16"/>
              </w:rPr>
              <w:t xml:space="preserve">Truck breakdown</w:t>
            </w:r>
          </w:p>
        </w:tc>
        <w:tc>
          <w:tcPr>
            <w:tcW w:type="dxa" w:w="3200"/>
            <w:tcBorders>
              <w:top w:val="single" w:color="CCCCCC" w:sz="1"/>
              <w:left w:val="single" w:color="CCCCCC" w:sz="1"/>
              <w:bottom w:val="single" w:color="CCCCCC" w:sz="1"/>
              <w:right w:val="single" w:color="CCCCCC" w:sz="1"/>
            </w:tcBorders>
            <w:shd w:fill="FBF6E9" w:val="clear"/>
            <w:tcMar>
              <w:top w:type="dxa" w:w="55"/>
              <w:left w:type="dxa" w:w="95"/>
              <w:bottom w:type="dxa" w:w="55"/>
              <w:right w:type="dxa" w:w="95"/>
            </w:tcMar>
          </w:tcPr>
          <w:p>
            <w:pPr>
              <w:jc w:val="left"/>
            </w:pPr>
            <w:r>
              <w:rPr>
                <w:b w:val="false"/>
                <w:bCs w:val="false"/>
                <w:sz w:val="16"/>
                <w:szCs w:val="16"/>
              </w:rPr>
              <w:t xml:space="preserve">Roadside provider / driver</w:t>
            </w:r>
          </w:p>
        </w:tc>
        <w:tc>
          <w:tcPr>
            <w:tcW w:type="dxa" w:w="3560"/>
            <w:tcBorders>
              <w:top w:val="single" w:color="CCCCCC" w:sz="1"/>
              <w:left w:val="single" w:color="CCCCCC" w:sz="1"/>
              <w:bottom w:val="single" w:color="CCCCCC" w:sz="1"/>
              <w:right w:val="single" w:color="CCCCCC" w:sz="1"/>
            </w:tcBorders>
            <w:shd w:fill="FBF6E9" w:val="clear"/>
            <w:tcMar>
              <w:top w:type="dxa" w:w="55"/>
              <w:left w:type="dxa" w:w="95"/>
              <w:bottom w:type="dxa" w:w="55"/>
              <w:right w:type="dxa" w:w="95"/>
            </w:tcMar>
          </w:tcPr>
          <w:p>
            <w:pPr>
              <w:jc w:val="left"/>
            </w:pPr>
            <w:r>
              <w:rPr>
                <w:b w:val="false"/>
                <w:bCs w:val="false"/>
                <w:sz w:val="16"/>
                <w:szCs w:val="16"/>
              </w:rPr>
              <w:t xml:space="preserve">Notify dispatcher to cover/reschedule load</w:t>
            </w:r>
          </w:p>
        </w:tc>
      </w:tr>
      <w:tr>
        <w:tc>
          <w:tcPr>
            <w:tcW w:type="dxa" w:w="2600"/>
            <w:tcBorders>
              <w:top w:val="single" w:color="CCCCCC" w:sz="1"/>
              <w:left w:val="single" w:color="CCCCCC" w:sz="1"/>
              <w:bottom w:val="single" w:color="CCCCCC" w:sz="1"/>
              <w:right w:val="single" w:color="CCCCCC" w:sz="1"/>
            </w:tcBorders>
            <w:shd w:fill="FFFFFF" w:val="clear"/>
            <w:tcMar>
              <w:top w:type="dxa" w:w="55"/>
              <w:left w:type="dxa" w:w="95"/>
              <w:bottom w:type="dxa" w:w="55"/>
              <w:right w:type="dxa" w:w="95"/>
            </w:tcMar>
          </w:tcPr>
          <w:p>
            <w:pPr>
              <w:jc w:val="left"/>
            </w:pPr>
            <w:r>
              <w:rPr>
                <w:b/>
                <w:bCs/>
                <w:sz w:val="16"/>
                <w:szCs w:val="16"/>
              </w:rPr>
              <w:t xml:space="preserve">Load/payment dispute</w:t>
            </w:r>
          </w:p>
        </w:tc>
        <w:tc>
          <w:tcPr>
            <w:tcW w:type="dxa" w:w="3200"/>
            <w:tcBorders>
              <w:top w:val="single" w:color="CCCCCC" w:sz="1"/>
              <w:left w:val="single" w:color="CCCCCC" w:sz="1"/>
              <w:bottom w:val="single" w:color="CCCCCC" w:sz="1"/>
              <w:right w:val="single" w:color="CCCCCC" w:sz="1"/>
            </w:tcBorders>
            <w:shd w:fill="FFFFFF" w:val="clear"/>
            <w:tcMar>
              <w:top w:type="dxa" w:w="55"/>
              <w:left w:type="dxa" w:w="95"/>
              <w:bottom w:type="dxa" w:w="55"/>
              <w:right w:type="dxa" w:w="95"/>
            </w:tcMar>
          </w:tcPr>
          <w:p>
            <w:pPr>
              <w:jc w:val="left"/>
            </w:pPr>
            <w:r>
              <w:rPr>
                <w:b w:val="false"/>
                <w:bCs w:val="false"/>
                <w:sz w:val="16"/>
                <w:szCs w:val="16"/>
              </w:rPr>
              <w:t xml:space="preserve">Dispatcher (they hold broker contacts)</w:t>
            </w:r>
          </w:p>
        </w:tc>
        <w:tc>
          <w:tcPr>
            <w:tcW w:type="dxa" w:w="3560"/>
            <w:tcBorders>
              <w:top w:val="single" w:color="CCCCCC" w:sz="1"/>
              <w:left w:val="single" w:color="CCCCCC" w:sz="1"/>
              <w:bottom w:val="single" w:color="CCCCCC" w:sz="1"/>
              <w:right w:val="single" w:color="CCCCCC" w:sz="1"/>
            </w:tcBorders>
            <w:shd w:fill="FFFFFF" w:val="clear"/>
            <w:tcMar>
              <w:top w:type="dxa" w:w="55"/>
              <w:left w:type="dxa" w:w="95"/>
              <w:bottom w:type="dxa" w:w="55"/>
              <w:right w:type="dxa" w:w="95"/>
            </w:tcMar>
          </w:tcPr>
          <w:p>
            <w:pPr>
              <w:jc w:val="left"/>
            </w:pPr>
            <w:r>
              <w:rPr>
                <w:b w:val="false"/>
                <w:bCs w:val="false"/>
                <w:sz w:val="16"/>
                <w:szCs w:val="16"/>
              </w:rPr>
              <w:t xml:space="preserve">CFO/COO logs &amp; tracks via factoring</w:t>
            </w:r>
          </w:p>
        </w:tc>
      </w:tr>
      <w:tr>
        <w:tc>
          <w:tcPr>
            <w:tcW w:type="dxa" w:w="2600"/>
            <w:tcBorders>
              <w:top w:val="single" w:color="CCCCCC" w:sz="1"/>
              <w:left w:val="single" w:color="CCCCCC" w:sz="1"/>
              <w:bottom w:val="single" w:color="CCCCCC" w:sz="1"/>
              <w:right w:val="single" w:color="CCCCCC" w:sz="1"/>
            </w:tcBorders>
            <w:shd w:fill="FBF6E9" w:val="clear"/>
            <w:tcMar>
              <w:top w:type="dxa" w:w="55"/>
              <w:left w:type="dxa" w:w="95"/>
              <w:bottom w:type="dxa" w:w="55"/>
              <w:right w:type="dxa" w:w="95"/>
            </w:tcMar>
          </w:tcPr>
          <w:p>
            <w:pPr>
              <w:jc w:val="left"/>
            </w:pPr>
            <w:r>
              <w:rPr>
                <w:b/>
                <w:bCs/>
                <w:sz w:val="16"/>
                <w:szCs w:val="16"/>
              </w:rPr>
              <w:t xml:space="preserve">Money/settlement question</w:t>
            </w:r>
          </w:p>
        </w:tc>
        <w:tc>
          <w:tcPr>
            <w:tcW w:type="dxa" w:w="3200"/>
            <w:tcBorders>
              <w:top w:val="single" w:color="CCCCCC" w:sz="1"/>
              <w:left w:val="single" w:color="CCCCCC" w:sz="1"/>
              <w:bottom w:val="single" w:color="CCCCCC" w:sz="1"/>
              <w:right w:val="single" w:color="CCCCCC" w:sz="1"/>
            </w:tcBorders>
            <w:shd w:fill="FBF6E9" w:val="clear"/>
            <w:tcMar>
              <w:top w:type="dxa" w:w="55"/>
              <w:left w:type="dxa" w:w="95"/>
              <w:bottom w:type="dxa" w:w="55"/>
              <w:right w:type="dxa" w:w="95"/>
            </w:tcMar>
          </w:tcPr>
          <w:p>
            <w:pPr>
              <w:jc w:val="left"/>
            </w:pPr>
            <w:r>
              <w:rPr>
                <w:b w:val="false"/>
                <w:bCs w:val="false"/>
                <w:sz w:val="16"/>
                <w:szCs w:val="16"/>
              </w:rPr>
              <w:t xml:space="preserve">CFO/COO Provider</w:t>
            </w:r>
          </w:p>
        </w:tc>
        <w:tc>
          <w:tcPr>
            <w:tcW w:type="dxa" w:w="3560"/>
            <w:tcBorders>
              <w:top w:val="single" w:color="CCCCCC" w:sz="1"/>
              <w:left w:val="single" w:color="CCCCCC" w:sz="1"/>
              <w:bottom w:val="single" w:color="CCCCCC" w:sz="1"/>
              <w:right w:val="single" w:color="CCCCCC" w:sz="1"/>
            </w:tcBorders>
            <w:shd w:fill="FBF6E9" w:val="clear"/>
            <w:tcMar>
              <w:top w:type="dxa" w:w="55"/>
              <w:left w:type="dxa" w:w="95"/>
              <w:bottom w:type="dxa" w:w="55"/>
              <w:right w:type="dxa" w:w="95"/>
            </w:tcMar>
          </w:tcPr>
          <w:p>
            <w:pPr>
              <w:jc w:val="left"/>
            </w:pPr>
            <w:r>
              <w:rPr>
                <w:b w:val="false"/>
                <w:bCs w:val="false"/>
                <w:sz w:val="16"/>
                <w:szCs w:val="16"/>
              </w:rPr>
              <w:t xml:space="preserve">Provider reconciles and explains in the portal</w:t>
            </w:r>
          </w:p>
        </w:tc>
      </w:tr>
      <w:tr>
        <w:tc>
          <w:tcPr>
            <w:tcW w:type="dxa" w:w="2600"/>
            <w:tcBorders>
              <w:top w:val="single" w:color="CCCCCC" w:sz="1"/>
              <w:left w:val="single" w:color="CCCCCC" w:sz="1"/>
              <w:bottom w:val="single" w:color="CCCCCC" w:sz="1"/>
              <w:right w:val="single" w:color="CCCCCC" w:sz="1"/>
            </w:tcBorders>
            <w:shd w:fill="FFFFFF" w:val="clear"/>
            <w:tcMar>
              <w:top w:type="dxa" w:w="55"/>
              <w:left w:type="dxa" w:w="95"/>
              <w:bottom w:type="dxa" w:w="55"/>
              <w:right w:type="dxa" w:w="95"/>
            </w:tcMar>
          </w:tcPr>
          <w:p>
            <w:pPr>
              <w:jc w:val="left"/>
            </w:pPr>
            <w:r>
              <w:rPr>
                <w:b/>
                <w:bCs/>
                <w:sz w:val="16"/>
                <w:szCs w:val="16"/>
              </w:rPr>
              <w:t xml:space="preserve">Compliance notice / audit</w:t>
            </w:r>
          </w:p>
        </w:tc>
        <w:tc>
          <w:tcPr>
            <w:tcW w:type="dxa" w:w="3200"/>
            <w:tcBorders>
              <w:top w:val="single" w:color="CCCCCC" w:sz="1"/>
              <w:left w:val="single" w:color="CCCCCC" w:sz="1"/>
              <w:bottom w:val="single" w:color="CCCCCC" w:sz="1"/>
              <w:right w:val="single" w:color="CCCCCC" w:sz="1"/>
            </w:tcBorders>
            <w:shd w:fill="FFFFFF" w:val="clear"/>
            <w:tcMar>
              <w:top w:type="dxa" w:w="55"/>
              <w:left w:type="dxa" w:w="95"/>
              <w:bottom w:type="dxa" w:w="55"/>
              <w:right w:type="dxa" w:w="95"/>
            </w:tcMar>
          </w:tcPr>
          <w:p>
            <w:pPr>
              <w:jc w:val="left"/>
            </w:pPr>
            <w:r>
              <w:rPr>
                <w:b w:val="false"/>
                <w:bCs w:val="false"/>
                <w:sz w:val="16"/>
                <w:szCs w:val="16"/>
              </w:rPr>
              <w:t xml:space="preserve">CFO/COO Provider</w:t>
            </w:r>
          </w:p>
        </w:tc>
        <w:tc>
          <w:tcPr>
            <w:tcW w:type="dxa" w:w="3560"/>
            <w:tcBorders>
              <w:top w:val="single" w:color="CCCCCC" w:sz="1"/>
              <w:left w:val="single" w:color="CCCCCC" w:sz="1"/>
              <w:bottom w:val="single" w:color="CCCCCC" w:sz="1"/>
              <w:right w:val="single" w:color="CCCCCC" w:sz="1"/>
            </w:tcBorders>
            <w:shd w:fill="FFFFFF" w:val="clear"/>
            <w:tcMar>
              <w:top w:type="dxa" w:w="55"/>
              <w:left w:type="dxa" w:w="95"/>
              <w:bottom w:type="dxa" w:w="55"/>
              <w:right w:type="dxa" w:w="95"/>
            </w:tcMar>
          </w:tcPr>
          <w:p>
            <w:pPr>
              <w:jc w:val="left"/>
            </w:pPr>
            <w:r>
              <w:rPr>
                <w:b w:val="false"/>
                <w:bCs w:val="false"/>
                <w:sz w:val="16"/>
                <w:szCs w:val="16"/>
              </w:rPr>
              <w:t xml:space="preserve">Provider prepares records; you keep a physical address ready</w:t>
            </w:r>
          </w:p>
        </w:tc>
      </w:tr>
      <w:tr>
        <w:tc>
          <w:tcPr>
            <w:tcW w:type="dxa" w:w="2600"/>
            <w:tcBorders>
              <w:top w:val="single" w:color="CCCCCC" w:sz="1"/>
              <w:left w:val="single" w:color="CCCCCC" w:sz="1"/>
              <w:bottom w:val="single" w:color="CCCCCC" w:sz="1"/>
              <w:right w:val="single" w:color="CCCCCC" w:sz="1"/>
            </w:tcBorders>
            <w:shd w:fill="FBF6E9" w:val="clear"/>
            <w:tcMar>
              <w:top w:type="dxa" w:w="55"/>
              <w:left w:type="dxa" w:w="95"/>
              <w:bottom w:type="dxa" w:w="55"/>
              <w:right w:type="dxa" w:w="95"/>
            </w:tcMar>
          </w:tcPr>
          <w:p>
            <w:pPr>
              <w:jc w:val="left"/>
            </w:pPr>
            <w:r>
              <w:rPr>
                <w:b/>
                <w:bCs/>
                <w:sz w:val="16"/>
                <w:szCs w:val="16"/>
              </w:rPr>
              <w:t xml:space="preserve">Driver issue</w:t>
            </w:r>
          </w:p>
        </w:tc>
        <w:tc>
          <w:tcPr>
            <w:tcW w:type="dxa" w:w="3200"/>
            <w:tcBorders>
              <w:top w:val="single" w:color="CCCCCC" w:sz="1"/>
              <w:left w:val="single" w:color="CCCCCC" w:sz="1"/>
              <w:bottom w:val="single" w:color="CCCCCC" w:sz="1"/>
              <w:right w:val="single" w:color="CCCCCC" w:sz="1"/>
            </w:tcBorders>
            <w:shd w:fill="FBF6E9" w:val="clear"/>
            <w:tcMar>
              <w:top w:type="dxa" w:w="55"/>
              <w:left w:type="dxa" w:w="95"/>
              <w:bottom w:type="dxa" w:w="55"/>
              <w:right w:type="dxa" w:w="95"/>
            </w:tcMar>
          </w:tcPr>
          <w:p>
            <w:pPr>
              <w:jc w:val="left"/>
            </w:pPr>
            <w:r>
              <w:rPr>
                <w:b w:val="false"/>
                <w:bCs w:val="false"/>
                <w:sz w:val="16"/>
                <w:szCs w:val="16"/>
              </w:rPr>
              <w:t xml:space="preserve">You + dispatcher</w:t>
            </w:r>
          </w:p>
        </w:tc>
        <w:tc>
          <w:tcPr>
            <w:tcW w:type="dxa" w:w="3560"/>
            <w:tcBorders>
              <w:top w:val="single" w:color="CCCCCC" w:sz="1"/>
              <w:left w:val="single" w:color="CCCCCC" w:sz="1"/>
              <w:bottom w:val="single" w:color="CCCCCC" w:sz="1"/>
              <w:right w:val="single" w:color="CCCCCC" w:sz="1"/>
            </w:tcBorders>
            <w:shd w:fill="FBF6E9" w:val="clear"/>
            <w:tcMar>
              <w:top w:type="dxa" w:w="55"/>
              <w:left w:type="dxa" w:w="95"/>
              <w:bottom w:type="dxa" w:w="55"/>
              <w:right w:type="dxa" w:w="95"/>
            </w:tcMar>
          </w:tcPr>
          <w:p>
            <w:pPr>
              <w:jc w:val="left"/>
            </w:pPr>
            <w:r>
              <w:rPr>
                <w:b w:val="false"/>
                <w:bCs w:val="false"/>
                <w:sz w:val="16"/>
                <w:szCs w:val="16"/>
              </w:rPr>
              <w:t xml:space="preserve">CFO/COO adjusts pay/settlement</w:t>
            </w:r>
          </w:p>
        </w:tc>
      </w:tr>
    </w:tbl>
    <w:p>
      <w:pPr>
        <w:pBdr>
          <w:bottom w:val="single" w:color="C9A227" w:sz="6" w:space="3"/>
        </w:pBdr>
        <w:spacing w:after="90" w:before="220"/>
      </w:pPr>
      <w:r>
        <w:rPr>
          <w:b/>
          <w:bCs/>
          <w:color w:val="1F3864"/>
          <w:sz w:val="25"/>
          <w:szCs w:val="25"/>
        </w:rPr>
        <w:t xml:space="preserve">7. Growing From Here</w:t>
      </w:r>
    </w:p>
    <w:p>
      <w:pPr>
        <w:pStyle w:val="ListParagraph"/>
        <w:numPr>
          <w:ilvl w:val="0"/>
          <w:numId w:val="2"/>
        </w:numPr>
        <w:spacing w:after="60"/>
      </w:pPr>
      <w:r>
        <w:rPr>
          <w:sz w:val="21"/>
          <w:szCs w:val="21"/>
        </w:rPr>
        <w:t xml:space="preserve">Add a second driver to your existing truck (more hours, more revenue).</w:t>
      </w:r>
    </w:p>
    <w:p>
      <w:pPr>
        <w:pStyle w:val="ListParagraph"/>
        <w:numPr>
          <w:ilvl w:val="0"/>
          <w:numId w:val="2"/>
        </w:numPr>
        <w:spacing w:after="60"/>
      </w:pPr>
      <w:r>
        <w:rPr>
          <w:sz w:val="21"/>
          <w:szCs w:val="21"/>
        </w:rPr>
        <w:t xml:space="preserve">Finance a second truck — we repeat the whole setup; management fee scales per truck.</w:t>
      </w:r>
    </w:p>
    <w:p>
      <w:pPr>
        <w:pStyle w:val="ListParagraph"/>
        <w:numPr>
          <w:ilvl w:val="0"/>
          <w:numId w:val="2"/>
        </w:numPr>
        <w:spacing w:after="60"/>
      </w:pPr>
      <w:r>
        <w:rPr>
          <w:sz w:val="21"/>
          <w:szCs w:val="21"/>
        </w:rPr>
        <w:t xml:space="preserve">Hire your admin full-time as volume grows.</w:t>
      </w:r>
    </w:p>
    <w:p>
      <w:pPr>
        <w:pStyle w:val="ListParagraph"/>
        <w:numPr>
          <w:ilvl w:val="0"/>
          <w:numId w:val="2"/>
        </w:numPr>
        <w:spacing w:after="60"/>
      </w:pPr>
      <w:r>
        <w:rPr>
          <w:sz w:val="21"/>
          <w:szCs w:val="21"/>
        </w:rPr>
        <w:t xml:space="preserve">Use your built business credit for equipment and working capital.</w:t>
      </w:r>
    </w:p>
    <w:p>
      <w:pPr>
        <w:spacing w:after="110"/>
      </w:pPr>
      <w:r>
        <w:rPr>
          <w:b/>
          <w:bCs/>
        </w:rPr>
        <w:t xml:space="preserve">It grows with you. </w:t>
      </w:r>
      <w:r>
        <w:t xml:space="preserve">Each new truck repeats this exact playbook — you already know it works, because you’re living it.</w:t>
      </w:r>
    </w:p>
    <w:p>
      <w:pPr>
        <w:pBdr>
          <w:bottom w:val="single" w:color="C9A227" w:sz="6" w:space="3"/>
        </w:pBdr>
        <w:spacing w:after="90" w:before="220"/>
      </w:pPr>
      <w:r>
        <w:rPr>
          <w:b/>
          <w:bCs/>
          <w:color w:val="1F3864"/>
          <w:sz w:val="25"/>
          <w:szCs w:val="25"/>
        </w:rPr>
        <w:t xml:space="preserve">8. Your Key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1F3864" w:val="clear"/>
            <w:tcMar>
              <w:top w:type="dxa" w:w="55"/>
              <w:left w:type="dxa" w:w="95"/>
              <w:bottom w:type="dxa" w:w="55"/>
              <w:right w:type="dxa" w:w="95"/>
            </w:tcMar>
          </w:tcPr>
          <w:p>
            <w:r>
              <w:rPr>
                <w:b/>
                <w:bCs/>
                <w:color w:val="FFFFFF"/>
                <w:sz w:val="16"/>
                <w:szCs w:val="16"/>
              </w:rPr>
              <w:t xml:space="preserve">Need</w:t>
            </w:r>
          </w:p>
        </w:tc>
        <w:tc>
          <w:tcPr>
            <w:tcW w:type="dxa" w:w="5960"/>
            <w:tcBorders>
              <w:top w:val="single" w:color="CCCCCC" w:sz="1"/>
              <w:left w:val="single" w:color="CCCCCC" w:sz="1"/>
              <w:bottom w:val="single" w:color="CCCCCC" w:sz="1"/>
              <w:right w:val="single" w:color="CCCCCC" w:sz="1"/>
            </w:tcBorders>
            <w:shd w:fill="1F3864" w:val="clear"/>
            <w:tcMar>
              <w:top w:type="dxa" w:w="55"/>
              <w:left w:type="dxa" w:w="95"/>
              <w:bottom w:type="dxa" w:w="55"/>
              <w:right w:type="dxa" w:w="95"/>
            </w:tcMar>
          </w:tcPr>
          <w:p>
            <w:r>
              <w:rPr>
                <w:b/>
                <w:bCs/>
                <w:color w:val="FFFFFF"/>
                <w:sz w:val="16"/>
                <w:szCs w:val="16"/>
              </w:rPr>
              <w:t xml:space="preserve">Contact</w:t>
            </w:r>
          </w:p>
        </w:tc>
      </w:tr>
      <w:tr>
        <w:tc>
          <w:tcPr>
            <w:tcW w:type="dxa" w:w="3400"/>
            <w:tcBorders>
              <w:top w:val="single" w:color="CCCCCC" w:sz="1"/>
              <w:left w:val="single" w:color="CCCCCC" w:sz="1"/>
              <w:bottom w:val="single" w:color="CCCCCC" w:sz="1"/>
              <w:right w:val="single" w:color="CCCCCC" w:sz="1"/>
            </w:tcBorders>
            <w:shd w:fill="FBF6E9" w:val="clear"/>
            <w:tcMar>
              <w:top w:type="dxa" w:w="55"/>
              <w:left w:type="dxa" w:w="95"/>
              <w:bottom w:type="dxa" w:w="55"/>
              <w:right w:type="dxa" w:w="95"/>
            </w:tcMar>
          </w:tcPr>
          <w:p>
            <w:pPr>
              <w:jc w:val="left"/>
            </w:pPr>
            <w:r>
              <w:rPr>
                <w:b/>
                <w:bCs/>
                <w:sz w:val="16"/>
                <w:szCs w:val="16"/>
              </w:rPr>
              <w:t xml:space="preserve">CFO/COO, books, settlements, funding</w:t>
            </w:r>
          </w:p>
        </w:tc>
        <w:tc>
          <w:tcPr>
            <w:tcW w:type="dxa" w:w="5960"/>
            <w:tcBorders>
              <w:top w:val="single" w:color="CCCCCC" w:sz="1"/>
              <w:left w:val="single" w:color="CCCCCC" w:sz="1"/>
              <w:bottom w:val="single" w:color="CCCCCC" w:sz="1"/>
              <w:right w:val="single" w:color="CCCCCC" w:sz="1"/>
            </w:tcBorders>
            <w:shd w:fill="FBF6E9" w:val="clear"/>
            <w:tcMar>
              <w:top w:type="dxa" w:w="55"/>
              <w:left w:type="dxa" w:w="95"/>
              <w:bottom w:type="dxa" w:w="55"/>
              <w:right w:type="dxa" w:w="95"/>
            </w:tcMar>
          </w:tcPr>
          <w:p>
            <w:pPr>
              <w:jc w:val="left"/>
            </w:pPr>
            <w:r>
              <w:rPr>
                <w:b w:val="false"/>
                <w:bCs w:val="false"/>
                <w:sz w:val="16"/>
                <w:szCs w:val="16"/>
              </w:rPr>
              <w:t xml:space="preserve">[Your management company]</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95"/>
              <w:bottom w:type="dxa" w:w="55"/>
              <w:right w:type="dxa" w:w="95"/>
            </w:tcMar>
          </w:tcPr>
          <w:p>
            <w:pPr>
              <w:jc w:val="left"/>
            </w:pPr>
            <w:r>
              <w:rPr>
                <w:b/>
                <w:bCs/>
                <w:sz w:val="16"/>
                <w:szCs w:val="16"/>
              </w:rPr>
              <w:t xml:space="preserve">Dispatch &amp; loads</w:t>
            </w:r>
          </w:p>
        </w:tc>
        <w:tc>
          <w:tcPr>
            <w:tcW w:type="dxa" w:w="5960"/>
            <w:tcBorders>
              <w:top w:val="single" w:color="CCCCCC" w:sz="1"/>
              <w:left w:val="single" w:color="CCCCCC" w:sz="1"/>
              <w:bottom w:val="single" w:color="CCCCCC" w:sz="1"/>
              <w:right w:val="single" w:color="CCCCCC" w:sz="1"/>
            </w:tcBorders>
            <w:shd w:fill="FFFFFF" w:val="clear"/>
            <w:tcMar>
              <w:top w:type="dxa" w:w="55"/>
              <w:left w:type="dxa" w:w="95"/>
              <w:bottom w:type="dxa" w:w="55"/>
              <w:right w:type="dxa" w:w="95"/>
            </w:tcMar>
          </w:tcPr>
          <w:p>
            <w:pPr>
              <w:jc w:val="left"/>
            </w:pPr>
            <w:r>
              <w:rPr>
                <w:b w:val="false"/>
                <w:bCs w:val="false"/>
                <w:sz w:val="16"/>
                <w:szCs w:val="16"/>
              </w:rPr>
              <w:t xml:space="preserve">[Your dispatcher]</w:t>
            </w:r>
          </w:p>
        </w:tc>
      </w:tr>
      <w:tr>
        <w:tc>
          <w:tcPr>
            <w:tcW w:type="dxa" w:w="3400"/>
            <w:tcBorders>
              <w:top w:val="single" w:color="CCCCCC" w:sz="1"/>
              <w:left w:val="single" w:color="CCCCCC" w:sz="1"/>
              <w:bottom w:val="single" w:color="CCCCCC" w:sz="1"/>
              <w:right w:val="single" w:color="CCCCCC" w:sz="1"/>
            </w:tcBorders>
            <w:shd w:fill="FBF6E9" w:val="clear"/>
            <w:tcMar>
              <w:top w:type="dxa" w:w="55"/>
              <w:left w:type="dxa" w:w="95"/>
              <w:bottom w:type="dxa" w:w="55"/>
              <w:right w:type="dxa" w:w="95"/>
            </w:tcMar>
          </w:tcPr>
          <w:p>
            <w:pPr>
              <w:jc w:val="left"/>
            </w:pPr>
            <w:r>
              <w:rPr>
                <w:b/>
                <w:bCs/>
                <w:sz w:val="16"/>
                <w:szCs w:val="16"/>
              </w:rPr>
              <w:t xml:space="preserve">Insurance</w:t>
            </w:r>
          </w:p>
        </w:tc>
        <w:tc>
          <w:tcPr>
            <w:tcW w:type="dxa" w:w="5960"/>
            <w:tcBorders>
              <w:top w:val="single" w:color="CCCCCC" w:sz="1"/>
              <w:left w:val="single" w:color="CCCCCC" w:sz="1"/>
              <w:bottom w:val="single" w:color="CCCCCC" w:sz="1"/>
              <w:right w:val="single" w:color="CCCCCC" w:sz="1"/>
            </w:tcBorders>
            <w:shd w:fill="FBF6E9" w:val="clear"/>
            <w:tcMar>
              <w:top w:type="dxa" w:w="55"/>
              <w:left w:type="dxa" w:w="95"/>
              <w:bottom w:type="dxa" w:w="55"/>
              <w:right w:type="dxa" w:w="95"/>
            </w:tcMar>
          </w:tcPr>
          <w:p>
            <w:pPr>
              <w:jc w:val="left"/>
            </w:pPr>
            <w:r>
              <w:rPr>
                <w:b w:val="false"/>
                <w:bCs w:val="false"/>
                <w:sz w:val="16"/>
                <w:szCs w:val="16"/>
              </w:rPr>
              <w:t xml:space="preserve">[Your agent]</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95"/>
              <w:bottom w:type="dxa" w:w="55"/>
              <w:right w:type="dxa" w:w="95"/>
            </w:tcMar>
          </w:tcPr>
          <w:p>
            <w:pPr>
              <w:jc w:val="left"/>
            </w:pPr>
            <w:r>
              <w:rPr>
                <w:b/>
                <w:bCs/>
                <w:sz w:val="16"/>
                <w:szCs w:val="16"/>
              </w:rPr>
              <w:t xml:space="preserve">Roadside / breakdown</w:t>
            </w:r>
          </w:p>
        </w:tc>
        <w:tc>
          <w:tcPr>
            <w:tcW w:type="dxa" w:w="5960"/>
            <w:tcBorders>
              <w:top w:val="single" w:color="CCCCCC" w:sz="1"/>
              <w:left w:val="single" w:color="CCCCCC" w:sz="1"/>
              <w:bottom w:val="single" w:color="CCCCCC" w:sz="1"/>
              <w:right w:val="single" w:color="CCCCCC" w:sz="1"/>
            </w:tcBorders>
            <w:shd w:fill="FFFFFF" w:val="clear"/>
            <w:tcMar>
              <w:top w:type="dxa" w:w="55"/>
              <w:left w:type="dxa" w:w="95"/>
              <w:bottom w:type="dxa" w:w="55"/>
              <w:right w:type="dxa" w:w="95"/>
            </w:tcMar>
          </w:tcPr>
          <w:p>
            <w:pPr>
              <w:jc w:val="left"/>
            </w:pPr>
            <w:r>
              <w:rPr>
                <w:b w:val="false"/>
                <w:bCs w:val="false"/>
                <w:sz w:val="16"/>
                <w:szCs w:val="16"/>
              </w:rPr>
              <w:t xml:space="preserve">[Your provider]</w:t>
            </w:r>
          </w:p>
        </w:tc>
      </w:tr>
      <w:tr>
        <w:tc>
          <w:tcPr>
            <w:tcW w:type="dxa" w:w="3400"/>
            <w:tcBorders>
              <w:top w:val="single" w:color="CCCCCC" w:sz="1"/>
              <w:left w:val="single" w:color="CCCCCC" w:sz="1"/>
              <w:bottom w:val="single" w:color="CCCCCC" w:sz="1"/>
              <w:right w:val="single" w:color="CCCCCC" w:sz="1"/>
            </w:tcBorders>
            <w:shd w:fill="FBF6E9" w:val="clear"/>
            <w:tcMar>
              <w:top w:type="dxa" w:w="55"/>
              <w:left w:type="dxa" w:w="95"/>
              <w:bottom w:type="dxa" w:w="55"/>
              <w:right w:type="dxa" w:w="95"/>
            </w:tcMar>
          </w:tcPr>
          <w:p>
            <w:pPr>
              <w:jc w:val="left"/>
            </w:pPr>
            <w:r>
              <w:rPr>
                <w:b/>
                <w:bCs/>
                <w:sz w:val="16"/>
                <w:szCs w:val="16"/>
              </w:rPr>
              <w:t xml:space="preserve">Your admin / ops</w:t>
            </w:r>
          </w:p>
        </w:tc>
        <w:tc>
          <w:tcPr>
            <w:tcW w:type="dxa" w:w="5960"/>
            <w:tcBorders>
              <w:top w:val="single" w:color="CCCCCC" w:sz="1"/>
              <w:left w:val="single" w:color="CCCCCC" w:sz="1"/>
              <w:bottom w:val="single" w:color="CCCCCC" w:sz="1"/>
              <w:right w:val="single" w:color="CCCCCC" w:sz="1"/>
            </w:tcBorders>
            <w:shd w:fill="FBF6E9" w:val="clear"/>
            <w:tcMar>
              <w:top w:type="dxa" w:w="55"/>
              <w:left w:type="dxa" w:w="95"/>
              <w:bottom w:type="dxa" w:w="55"/>
              <w:right w:type="dxa" w:w="95"/>
            </w:tcMar>
          </w:tcPr>
          <w:p>
            <w:pPr>
              <w:jc w:val="left"/>
            </w:pPr>
            <w:r>
              <w:rPr>
                <w:b w:val="false"/>
                <w:bCs w:val="false"/>
                <w:sz w:val="16"/>
                <w:szCs w:val="16"/>
              </w:rPr>
              <w:t xml:space="preserve">[Your hire]</w:t>
            </w:r>
          </w:p>
        </w:tc>
      </w:tr>
    </w:tbl>
    <w:p>
      <w:pPr>
        <w:spacing w:before="200"/>
      </w:pPr>
      <w:r>
        <w:rPr>
          <w:i/>
          <w:iCs/>
          <w:color w:val="6b6450"/>
          <w:sz w:val="16"/>
          <w:szCs w:val="16"/>
        </w:rPr>
        <w:t xml:space="preserve">Carrier-in-a-Box · Owner’s Operating Manual</w:t>
      </w:r>
    </w:p>
    <w:p>
      <w:pPr>
        <w:spacing w:before="60"/>
      </w:pPr>
      <w:r>
        <w:rPr>
          <w:i/>
          <w:iCs/>
          <w:color w:val="6b6450"/>
          <w:sz w:val="15"/>
          <w:szCs w:val="15"/>
        </w:rPr>
        <w:t xml:space="preserve">Illustrative figures; actual results vary. Not legal or financial advice.</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621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2026-06-26T20:22:20.411Z</dcterms:created>
  <dcterms:modified xsi:type="dcterms:W3CDTF">2026-06-26T20:22:20.424Z</dcterms:modified>
</cp:coreProperties>
</file>

<file path=docProps/custom.xml><?xml version="1.0" encoding="utf-8"?>
<Properties xmlns="http://schemas.openxmlformats.org/officeDocument/2006/custom-properties" xmlns:vt="http://schemas.openxmlformats.org/officeDocument/2006/docPropsVTypes"/>
</file>