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7DDDA03B" w:rsidR="00B9756D" w:rsidRPr="00B9756D" w:rsidRDefault="00182DEA" w:rsidP="00B9756D">
      <w:bookmarkStart w:id="0" w:name="_Hlk123993358"/>
      <w:r w:rsidRPr="00182DEA">
        <w:t xml:space="preserve">A Multi-Objective, Multi-Fidelity </w:t>
      </w:r>
      <w:r w:rsidR="00D33726">
        <w:t xml:space="preserve">Materials Science Optimization </w:t>
      </w:r>
      <w:r w:rsidRPr="00182DEA">
        <w:t xml:space="preserve">Benchmark Dataset </w:t>
      </w:r>
      <w:r w:rsidR="00D33726">
        <w:t xml:space="preserve">for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28B0CDBB"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p>
    <w:p w14:paraId="5B9C2A6C" w14:textId="77777777" w:rsidR="00E648BD" w:rsidRDefault="00000000">
      <w:pPr>
        <w:spacing w:before="240"/>
        <w:rPr>
          <w:b/>
        </w:rPr>
      </w:pPr>
      <w:r>
        <w:rPr>
          <w:b/>
        </w:rPr>
        <w:t>Affiliations</w:t>
      </w:r>
    </w:p>
    <w:p w14:paraId="43F7E4FD" w14:textId="57E9082F"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41679182" w:rsidR="00942E0E" w:rsidRDefault="00206412" w:rsidP="00B9756D">
      <w:r w:rsidRPr="00206412">
        <w:t xml:space="preserve">Benchmarks are an essential driver of progress in scientific disciplines. </w:t>
      </w:r>
      <w:r w:rsidR="00536B4D" w:rsidRPr="00536B4D">
        <w:t>The most effective benchmarks closely resemble real-world tasks, as an inadequate level of difficulty or relevance can hinder progress in the field.</w:t>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w:t>
      </w:r>
      <w:r w:rsidR="00A1783D">
        <w:t xml:space="preserve"> This study captures several features that are characteristic of industry-relevant chemistry and materials science optimization tasks: </w:t>
      </w:r>
      <w:r w:rsidR="008D0251">
        <w:t xml:space="preserve">high </w:t>
      </w:r>
      <w:r w:rsidR="00A1783D">
        <w:t xml:space="preserve">noise, multiple fidelities, multiple objectives, linear constraints, non-linear correlations, and failure regions. We performed </w:t>
      </w:r>
      <w:r w:rsidRPr="00206412">
        <w:t>438371 random hard-sphere packing simulations representing 279 CPU days’ worth of computational overhead</w:t>
      </w:r>
      <w:r w:rsidR="00536B4D">
        <w:t xml:space="preserve">. Simulations required </w:t>
      </w:r>
      <w:r w:rsidRPr="00206412">
        <w:t>nine input parameters with linear constraints and two discrete fidelities each with continuous fidelity parameters</w:t>
      </w:r>
      <w:r w:rsidR="00A1783D">
        <w:t>.</w:t>
      </w:r>
      <w:r w:rsidRPr="00206412">
        <w:t xml:space="preserve"> </w:t>
      </w:r>
      <w:r w:rsidR="00A1783D" w:rsidRPr="0052481F">
        <w:t>The results were logged in a free-tier shared MongoDB Atlas database, producing two core tabular datasets: a failure probability dataset and a regression dataset.</w:t>
      </w:r>
      <w:r w:rsidR="00A1783D">
        <w:t xml:space="preserve"> The failure </w:t>
      </w:r>
      <w:r w:rsidRPr="00206412">
        <w:t xml:space="preserve">probability dataset </w:t>
      </w:r>
      <w:r w:rsidR="00A1783D">
        <w:t xml:space="preserve">maps </w:t>
      </w:r>
      <w:r w:rsidRPr="00206412">
        <w:t xml:space="preserve">unique input parameter sets </w:t>
      </w:r>
      <w:r w:rsidR="00A1783D">
        <w:t xml:space="preserve">to the </w:t>
      </w:r>
      <w:r w:rsidRPr="00206412">
        <w:t>estimated probabilities that the simulation will fai</w:t>
      </w:r>
      <w:r w:rsidR="00A1783D">
        <w:t xml:space="preserve">l. The </w:t>
      </w:r>
      <w:r w:rsidRPr="00206412">
        <w:t xml:space="preserve">regression dataset </w:t>
      </w:r>
      <w:r w:rsidR="00A1783D">
        <w:t xml:space="preserve">maps </w:t>
      </w:r>
      <w:r w:rsidRPr="00206412">
        <w:t xml:space="preserve">input parameter sets (including repeats) to particle packing fractions and computational runtimes for each of the two steps. </w:t>
      </w:r>
      <w:bookmarkStart w:id="2" w:name="_Hlk123993477"/>
      <w:r w:rsidRPr="00206412">
        <w:t>These two datasets</w:t>
      </w:r>
      <w:r w:rsidR="005F6812">
        <w:t xml:space="preserve"> were</w:t>
      </w:r>
      <w:r w:rsidR="00273138">
        <w:t xml:space="preserve"> </w:t>
      </w:r>
      <w:r w:rsidRPr="00206412">
        <w:t xml:space="preserve">used to create a surrogate model as close as possible to running the actual simulations </w:t>
      </w:r>
      <w:bookmarkEnd w:id="2"/>
      <w:r w:rsidRPr="00206412">
        <w:t xml:space="preserve">by incorporating simulation failure and heteroskedastic noise. For the regression dataset, percentile ranks were computed within each of the groups of identical </w:t>
      </w:r>
      <w:r w:rsidRPr="00206412">
        <w:lastRenderedPageBreak/>
        <w:t>parameter sets to enable capturing heteroskedastic noise</w:t>
      </w:r>
      <w:r w:rsidR="00536B4D">
        <w:t xml:space="preserve">, </w:t>
      </w:r>
      <w:r w:rsidR="00536B4D" w:rsidRPr="00536B4D">
        <w:t>ensuring reliability and accurate results</w:t>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629EED62"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B135E9" w:rsidRPr="00B135E9">
                <w:rPr>
                  <w:rStyle w:val="Hyperlink"/>
                </w:rPr>
                <w:t>https://github.com/sparks-baird/matsci-opt-benchmarks/blob/6f4e690a5bd220e1bdb34249151008334bb9c8e1/src/matsci_opt_benchmarks/particle_packing/utils/packing_generation.py#L63-L183</w:t>
              </w:r>
            </w:hyperlink>
            <w:r w:rsidR="005C33B8">
              <w:t xml:space="preserve">. The Python code </w:t>
            </w:r>
            <w:r w:rsidR="00514C7E">
              <w:t xml:space="preserve">acted as a driver for </w:t>
            </w:r>
            <w:r w:rsidR="005C33B8">
              <w:t xml:space="preserve">the compiled packing generation executable and was run using the University of Utah’s Center for High-performance Computing (CHPC) resources. </w:t>
            </w:r>
            <w:hyperlink r:id="rId11" w:history="1">
              <w:r w:rsidR="005C33B8" w:rsidRPr="0058569D">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2" w:history="1">
              <w:r w:rsidR="00ED745F" w:rsidRPr="00911F9F">
                <w:rPr>
                  <w:rStyle w:val="Hyperlink"/>
                </w:rPr>
                <w:t>https://github.com/sparks-baird/matsci-opt-benchmarks v0.2.0</w:t>
              </w:r>
            </w:hyperlink>
            <w:r w:rsidR="00AC1493">
              <w:t xml:space="preserve"> (</w:t>
            </w:r>
            <w:hyperlink r:id="rId13"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6DD5C8CF"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w:t>
            </w:r>
            <w:r>
              <w:lastRenderedPageBreak/>
              <w:t xml:space="preserve">ranked by percentile using the “dense” method with pct=True in </w:t>
            </w:r>
            <w:proofErr w:type="spellStart"/>
            <w:r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6A35DA23" w:rsidR="00E648BD" w:rsidRDefault="00000000">
            <w:pPr>
              <w:spacing w:before="240"/>
              <w:ind w:left="100"/>
            </w:pPr>
            <w:r>
              <w:t>Data identification number:</w:t>
            </w:r>
            <w:r w:rsidR="005E2068">
              <w:t xml:space="preserve"> </w:t>
            </w:r>
            <w:r w:rsidR="00EA247F" w:rsidRPr="00EA247F">
              <w:t>7653759</w:t>
            </w:r>
          </w:p>
          <w:p w14:paraId="2D7A0A8A" w14:textId="4F05E7BD" w:rsidR="00E648BD" w:rsidRDefault="00000000" w:rsidP="00544B7C">
            <w:pPr>
              <w:spacing w:before="240"/>
              <w:ind w:left="100"/>
              <w:rPr>
                <w:color w:val="1155CC"/>
              </w:rPr>
            </w:pPr>
            <w:r>
              <w:t>Direct URL to data:</w:t>
            </w:r>
            <w:r w:rsidR="005E2068">
              <w:t xml:space="preserve"> </w:t>
            </w:r>
            <w:hyperlink r:id="rId14" w:history="1">
              <w:r w:rsidR="00EA247F" w:rsidRPr="00EA247F">
                <w:rPr>
                  <w:rStyle w:val="Hyperlink"/>
                </w:rPr>
                <w:t>https:/dx.doi.org/10.5281/zenodo.7653759</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Provides insight into packing behavior in powder-bed additive manufacturing, can be integrated with experimental data</w:t>
      </w:r>
    </w:p>
    <w:p w14:paraId="47C33338" w14:textId="109F08D2" w:rsidR="00785522" w:rsidRPr="005E2068" w:rsidRDefault="00785522" w:rsidP="0058569D">
      <w:pPr>
        <w:pStyle w:val="ListParagraph"/>
        <w:numPr>
          <w:ilvl w:val="0"/>
          <w:numId w:val="1"/>
        </w:numPr>
      </w:pPr>
      <w:r>
        <w:t xml:space="preserve">Provides an example for future datasets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9F5D92B"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695A3D32" w:rsidR="00B77EF9" w:rsidRDefault="00B77EF9">
      <w:pPr>
        <w:jc w:val="both"/>
      </w:pPr>
      <w:r>
        <w:t xml:space="preserve">The failure probability dataset </w:t>
      </w:r>
      <w:r w:rsidR="00FC3698">
        <w:t>(</w:t>
      </w:r>
      <w:r w:rsidR="00FC3698" w:rsidRPr="005D77C2">
        <w:t>sobol_probability_filter.csv</w:t>
      </w:r>
      <w:r w:rsidR="00FC3698">
        <w:t xml:space="preserve">)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54FB8024" w:rsidR="00B77EF9" w:rsidRDefault="00B77EF9">
      <w:pPr>
        <w:jc w:val="both"/>
      </w:pPr>
      <w:r>
        <w:lastRenderedPageBreak/>
        <w:t xml:space="preserve">The regression dataset </w:t>
      </w:r>
      <w:r w:rsidR="00FC3698">
        <w:t>(</w:t>
      </w:r>
      <w:r w:rsidR="00FC3698" w:rsidRPr="005D77C2">
        <w:t>sobol_regression.csv</w:t>
      </w:r>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D49AB8E" w:rsidR="00F4626A" w:rsidRDefault="00DE4254">
      <w:pPr>
        <w:jc w:val="both"/>
      </w:pPr>
      <w:r>
        <w:t xml:space="preserve">There are six </w:t>
      </w:r>
      <w:r w:rsidR="00F4626A">
        <w:t>regression models (</w:t>
      </w:r>
      <w:proofErr w:type="spellStart"/>
      <w:r w:rsidRPr="005D77C2">
        <w:t>surrogate_models.pkl</w:t>
      </w:r>
      <w:proofErr w:type="spellEnd"/>
      <w:r>
        <w:t>) trained on all data meant for production use. These six models can be used together to create the benchmark function.</w:t>
      </w:r>
    </w:p>
    <w:p w14:paraId="58B5BF20" w14:textId="4F7215E0" w:rsidR="006A2326" w:rsidRDefault="006A2326">
      <w:pPr>
        <w:jc w:val="both"/>
      </w:pPr>
    </w:p>
    <w:p w14:paraId="66BE17C0" w14:textId="3F08CE41" w:rsidR="006A2326" w:rsidRDefault="006A2326" w:rsidP="00A75AF6">
      <w:pPr>
        <w:jc w:val="both"/>
      </w:pPr>
      <w:r>
        <w:t xml:space="preserve">There are five </w:t>
      </w:r>
      <w:r w:rsidR="00040D66">
        <w:t xml:space="preserve">cross-validation </w:t>
      </w:r>
      <w:r>
        <w:t>sets of six regression models (</w:t>
      </w:r>
      <w:r w:rsidRPr="005D77C2">
        <w:t>cross_validation_models_0.pkl</w:t>
      </w:r>
      <w:r>
        <w:t xml:space="preserve">, </w:t>
      </w:r>
      <w:r w:rsidRPr="005D77C2">
        <w:t>cross_validation_models_1.pkl</w:t>
      </w:r>
      <w:r>
        <w:t xml:space="preserve">, </w:t>
      </w:r>
      <w:r w:rsidRPr="005D77C2">
        <w:t>cross_validation_models_2.pkl</w:t>
      </w:r>
      <w:r>
        <w:t xml:space="preserve">, </w:t>
      </w:r>
      <w:r w:rsidRPr="005D77C2">
        <w:t>cross_validation_models_3.pkl</w:t>
      </w:r>
      <w:r>
        <w:t xml:space="preserve">, </w:t>
      </w:r>
      <w:r w:rsidRPr="005D77C2">
        <w:t>cross_validation_models_4.pkl</w:t>
      </w:r>
      <w:r>
        <w:t>)</w:t>
      </w:r>
      <w:r w:rsidR="00040D66">
        <w:t>.</w:t>
      </w:r>
    </w:p>
    <w:p w14:paraId="0F573820" w14:textId="2010ED95" w:rsidR="00A75AF6" w:rsidRDefault="00A75AF6" w:rsidP="00A75AF6">
      <w:pPr>
        <w:jc w:val="both"/>
      </w:pPr>
    </w:p>
    <w:p w14:paraId="44772B52" w14:textId="7A474922" w:rsidR="00A75AF6" w:rsidRDefault="00313211" w:rsidP="00A75AF6">
      <w:pPr>
        <w:jc w:val="both"/>
      </w:pPr>
      <w:r>
        <w:t>The m</w:t>
      </w:r>
      <w:r w:rsidR="00A75AF6">
        <w:t>odel metadata (</w:t>
      </w:r>
      <w:proofErr w:type="spellStart"/>
      <w:r w:rsidR="00A75AF6" w:rsidRPr="005D77C2">
        <w:t>model_metadata.json</w:t>
      </w:r>
      <w:proofErr w:type="spellEnd"/>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58E944E2" w:rsidR="00E724C8" w:rsidRDefault="00E724C8">
      <w:pPr>
        <w:jc w:val="both"/>
      </w:pPr>
      <w:r>
        <w:fldChar w:fldCharType="begin"/>
      </w:r>
      <w:r>
        <w:instrText xml:space="preserve"> REF _Ref123984472 \h </w:instrText>
      </w:r>
      <w:r>
        <w:fldChar w:fldCharType="separate"/>
      </w:r>
      <w:r>
        <w:t xml:space="preserve">Figure </w:t>
      </w:r>
      <w:r>
        <w:rPr>
          <w:noProof/>
        </w:rPr>
        <w:t>1</w:t>
      </w:r>
      <w:r>
        <w:fldChar w:fldCharType="end"/>
      </w:r>
      <w:r>
        <w:t xml:space="preserve"> contains a histogram for the number of successful repeats out of the 15 total requested repeats for each parameter combination. </w:t>
      </w:r>
    </w:p>
    <w:p w14:paraId="5F0D5742" w14:textId="401F8FEA" w:rsidR="00E724C8" w:rsidRDefault="00E724C8">
      <w:pPr>
        <w:jc w:val="both"/>
      </w:pPr>
    </w:p>
    <w:p w14:paraId="15E0EBA3" w14:textId="3CFC8F79" w:rsidR="00E724C8" w:rsidRDefault="00E724C8">
      <w:pPr>
        <w:jc w:val="both"/>
      </w:pPr>
      <w:r>
        <w:fldChar w:fldCharType="begin"/>
      </w:r>
      <w:r>
        <w:instrText xml:space="preserve"> REF _Ref123984559 \h </w:instrText>
      </w:r>
      <w:r>
        <w:fldChar w:fldCharType="separate"/>
      </w:r>
      <w:r>
        <w:t xml:space="preserve">Figure </w:t>
      </w:r>
      <w:r>
        <w:rPr>
          <w:noProof/>
        </w:rPr>
        <w:t>2</w:t>
      </w:r>
      <w:r>
        <w:fldChar w:fldCharType="end"/>
      </w:r>
      <w:r>
        <w:t xml:space="preserve"> contains the probability of a simulation failing for each of the two algorithms.</w:t>
      </w:r>
    </w:p>
    <w:p w14:paraId="4A819CC9" w14:textId="6968A95A" w:rsidR="00E724C8" w:rsidRDefault="00E724C8" w:rsidP="00093A4D">
      <w:pPr>
        <w:keepNext/>
      </w:pPr>
    </w:p>
    <w:p w14:paraId="6F35D5D5" w14:textId="1F3E2D34" w:rsidR="00E724C8" w:rsidRDefault="00E724C8" w:rsidP="00093A4D">
      <w:pPr>
        <w:keepNext/>
      </w:pPr>
      <w:r>
        <w:fldChar w:fldCharType="begin"/>
      </w:r>
      <w:r>
        <w:instrText xml:space="preserve"> REF _Ref123984563 \h </w:instrText>
      </w:r>
      <w:r>
        <w:fldChar w:fldCharType="separate"/>
      </w:r>
      <w:r>
        <w:t xml:space="preserve">Figure </w:t>
      </w:r>
      <w:r>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3" w:name="_Ref123984472"/>
      <w:r>
        <w:t xml:space="preserve">Figure </w:t>
      </w:r>
      <w:fldSimple w:instr=" SEQ Figure \* ARABIC ">
        <w:r w:rsidR="007441AE">
          <w:rPr>
            <w:noProof/>
          </w:rPr>
          <w:t>1</w:t>
        </w:r>
      </w:fldSimple>
      <w:bookmarkEnd w:id="3"/>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4" w:name="_Ref123984559"/>
      <w:r>
        <w:t xml:space="preserve">Figure </w:t>
      </w:r>
      <w:fldSimple w:instr=" SEQ Figure \* ARABIC ">
        <w:r w:rsidR="007441AE">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5" w:name="_Ref123984563"/>
      <w:r>
        <w:t xml:space="preserve">Figure </w:t>
      </w:r>
      <w:fldSimple w:instr=" SEQ Figure \* ARABIC ">
        <w:r w:rsidR="007441AE">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Experimental design, materials and methods</w:t>
      </w:r>
    </w:p>
    <w:p w14:paraId="1F8C7ACF" w14:textId="6B50153D" w:rsidR="00D453D3" w:rsidRDefault="00D453D3">
      <w:pPr>
        <w:jc w:val="both"/>
        <w:rPr>
          <w:i/>
          <w:color w:val="1155CC"/>
        </w:rPr>
      </w:pPr>
    </w:p>
    <w:p w14:paraId="7A4BAE48" w14:textId="27EAF8A9" w:rsidR="00D453D3" w:rsidRPr="00D453D3" w:rsidRDefault="00091B24" w:rsidP="00D453D3">
      <w:r w:rsidRPr="00091B24">
        <w:t>In this study, 438371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y</w:t>
      </w:r>
      <w:r w:rsidR="00080E6C">
        <w:t xml:space="preserve"> (see </w:t>
      </w:r>
      <w:hyperlink r:id="rId18" w:history="1">
        <w:r w:rsidR="0044134C" w:rsidRPr="00911F9F">
          <w:rPr>
            <w:rStyle w:val="Hyperlink"/>
          </w:rPr>
          <w:t>https://github.com/sparks-baird/matsci-opt-benchmarks/blob/v0.2.0/scripts/particle_packing/packing_generation_submitit.py</w:t>
        </w:r>
      </w:hyperlink>
      <w:r w:rsidR="00080E6C">
        <w:t xml:space="preserve"> for more details)</w:t>
      </w:r>
      <w:r>
        <w:t xml:space="preserve">.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r w:rsidR="00514C7E">
        <w:t>experiments</w:t>
      </w:r>
      <w:r w:rsidR="00D453D3">
        <w:t>. To realistically capture the noise for this benchmark dataset, simulations were repeated for each of the quasi-random parameter combinations</w:t>
      </w:r>
      <w:r w:rsidR="00E54C7E">
        <w:t xml:space="preserve"> </w:t>
      </w:r>
      <w:r w:rsidR="00E54C7E" w:rsidRPr="00E54C7E">
        <w:t>(most with at least 8 repeats)</w:t>
      </w:r>
      <w:r w:rsidR="00D453D3">
        <w:t xml:space="preserve">. To maximize throughput and reduce </w:t>
      </w:r>
      <w:r w:rsidR="00D453D3">
        <w:lastRenderedPageBreak/>
        <w:t>latency, simulation parameters (including repeats) were shuffled and divided into batches and sent to a high-performance computing environment for asynchronous evaluation.</w:t>
      </w:r>
      <w:r w:rsidR="00E54C7E" w:rsidRPr="00E54C7E">
        <w:t xml:space="preserve"> </w:t>
      </w:r>
      <w:r w:rsidR="00D453D3">
        <w:t xml:space="preserve"> Results were logged to a free-tier MongoDB Atlas database and then aggregated and prepared as machine-learning-ready dataset</w:t>
      </w:r>
      <w:r w:rsidR="00E54C7E">
        <w:t>s</w:t>
      </w:r>
      <w:r w:rsidR="00D453D3">
        <w:t>.</w:t>
      </w:r>
      <w:r w:rsidR="00FE1808">
        <w:t xml:space="preserve"> For </w:t>
      </w:r>
      <w:r w:rsidR="001E6956">
        <w:t xml:space="preserve">further </w:t>
      </w:r>
      <w:r w:rsidR="00EC5ADA">
        <w:t xml:space="preserve">implementation details, see </w:t>
      </w:r>
      <w:hyperlink r:id="rId19" w:history="1">
        <w:r w:rsidR="00C47D29" w:rsidRPr="00911F9F">
          <w:rPr>
            <w:rStyle w:val="Hyperlink"/>
          </w:rPr>
          <w:t>https://github.com/sparks-baird/matsci-opt-benchmarks/tree/v0.2.0/scripts/particle_packing</w:t>
        </w:r>
      </w:hyperlink>
      <w:r w:rsidR="006657C3">
        <w:t xml:space="preserve"> </w:t>
      </w:r>
      <w:r w:rsidR="00EC5ADA">
        <w:t xml:space="preserve">and </w:t>
      </w:r>
      <w:hyperlink r:id="rId20" w:history="1">
        <w:r w:rsidR="00C47D29" w:rsidRPr="00911F9F">
          <w:rPr>
            <w:rStyle w:val="Hyperlink"/>
          </w:rPr>
          <w:t>https://github.com/sparks-baird/matsci-opt-benchmarks/tree/v0.2.0/notebooks/particle_packing</w:t>
        </w:r>
      </w:hyperlink>
      <w:r w:rsidR="00EC5ADA">
        <w:t>.</w:t>
      </w:r>
      <w:r w:rsidR="00B375C4">
        <w:t xml:space="preserve"> Instructions for model usage are available at </w:t>
      </w:r>
      <w:hyperlink r:id="rId21"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01528FC7"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x The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lastRenderedPageBreak/>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lastRenderedPageBreak/>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88E2" w14:textId="77777777" w:rsidR="004D0E57" w:rsidRDefault="004D0E57">
      <w:pPr>
        <w:spacing w:line="240" w:lineRule="auto"/>
      </w:pPr>
      <w:r>
        <w:separator/>
      </w:r>
    </w:p>
  </w:endnote>
  <w:endnote w:type="continuationSeparator" w:id="0">
    <w:p w14:paraId="4BF2DE31" w14:textId="77777777" w:rsidR="004D0E57" w:rsidRDefault="004D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80EA" w14:textId="77777777" w:rsidR="004D0E57" w:rsidRDefault="004D0E57">
      <w:pPr>
        <w:spacing w:line="240" w:lineRule="auto"/>
      </w:pPr>
      <w:r>
        <w:separator/>
      </w:r>
    </w:p>
  </w:footnote>
  <w:footnote w:type="continuationSeparator" w:id="0">
    <w:p w14:paraId="259CBA81" w14:textId="77777777" w:rsidR="004D0E57" w:rsidRDefault="004D0E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40D66"/>
    <w:rsid w:val="00054F33"/>
    <w:rsid w:val="00063E17"/>
    <w:rsid w:val="00080E6C"/>
    <w:rsid w:val="00091B24"/>
    <w:rsid w:val="00093A4D"/>
    <w:rsid w:val="000A64DA"/>
    <w:rsid w:val="000B3C2D"/>
    <w:rsid w:val="000C61BB"/>
    <w:rsid w:val="000D002F"/>
    <w:rsid w:val="000D7BB6"/>
    <w:rsid w:val="000E425B"/>
    <w:rsid w:val="000E55C3"/>
    <w:rsid w:val="00161747"/>
    <w:rsid w:val="00173421"/>
    <w:rsid w:val="00182DEA"/>
    <w:rsid w:val="001939F4"/>
    <w:rsid w:val="001E6956"/>
    <w:rsid w:val="001F0D3A"/>
    <w:rsid w:val="00206412"/>
    <w:rsid w:val="002162FC"/>
    <w:rsid w:val="002278B1"/>
    <w:rsid w:val="0023599F"/>
    <w:rsid w:val="00273138"/>
    <w:rsid w:val="00281F3D"/>
    <w:rsid w:val="002B7210"/>
    <w:rsid w:val="002D4827"/>
    <w:rsid w:val="002D6D9C"/>
    <w:rsid w:val="00304D8C"/>
    <w:rsid w:val="00313211"/>
    <w:rsid w:val="0031449F"/>
    <w:rsid w:val="00377C02"/>
    <w:rsid w:val="003E18CE"/>
    <w:rsid w:val="003E375D"/>
    <w:rsid w:val="003F16D9"/>
    <w:rsid w:val="003F2330"/>
    <w:rsid w:val="003F6C31"/>
    <w:rsid w:val="0041451E"/>
    <w:rsid w:val="0044134C"/>
    <w:rsid w:val="00465854"/>
    <w:rsid w:val="004C2461"/>
    <w:rsid w:val="004D0E57"/>
    <w:rsid w:val="00500DC8"/>
    <w:rsid w:val="00513A5E"/>
    <w:rsid w:val="00513D9D"/>
    <w:rsid w:val="00514C7E"/>
    <w:rsid w:val="00531608"/>
    <w:rsid w:val="005340A8"/>
    <w:rsid w:val="00536B4D"/>
    <w:rsid w:val="00540CD2"/>
    <w:rsid w:val="005418B0"/>
    <w:rsid w:val="00544B7C"/>
    <w:rsid w:val="0058569D"/>
    <w:rsid w:val="005B5460"/>
    <w:rsid w:val="005C33B8"/>
    <w:rsid w:val="005D77C2"/>
    <w:rsid w:val="005E2068"/>
    <w:rsid w:val="005F6812"/>
    <w:rsid w:val="006035D2"/>
    <w:rsid w:val="0061169A"/>
    <w:rsid w:val="006164A5"/>
    <w:rsid w:val="00632E1F"/>
    <w:rsid w:val="006657C3"/>
    <w:rsid w:val="006A2326"/>
    <w:rsid w:val="006B56A1"/>
    <w:rsid w:val="006C3F95"/>
    <w:rsid w:val="006D4767"/>
    <w:rsid w:val="006D63A4"/>
    <w:rsid w:val="006E313E"/>
    <w:rsid w:val="007053C1"/>
    <w:rsid w:val="00710C28"/>
    <w:rsid w:val="00717A3E"/>
    <w:rsid w:val="007441AE"/>
    <w:rsid w:val="0076491A"/>
    <w:rsid w:val="00771AD8"/>
    <w:rsid w:val="00785522"/>
    <w:rsid w:val="007B6593"/>
    <w:rsid w:val="007D5D06"/>
    <w:rsid w:val="007D7C3B"/>
    <w:rsid w:val="007E450D"/>
    <w:rsid w:val="007F3351"/>
    <w:rsid w:val="00827D4A"/>
    <w:rsid w:val="0084245A"/>
    <w:rsid w:val="00855E04"/>
    <w:rsid w:val="0086297D"/>
    <w:rsid w:val="0088699C"/>
    <w:rsid w:val="008D0251"/>
    <w:rsid w:val="008E21C7"/>
    <w:rsid w:val="008F3C58"/>
    <w:rsid w:val="00942E0E"/>
    <w:rsid w:val="00974235"/>
    <w:rsid w:val="00980CF6"/>
    <w:rsid w:val="00990F20"/>
    <w:rsid w:val="009D59DB"/>
    <w:rsid w:val="009F668F"/>
    <w:rsid w:val="00A0315C"/>
    <w:rsid w:val="00A1783D"/>
    <w:rsid w:val="00A32D87"/>
    <w:rsid w:val="00A64D2C"/>
    <w:rsid w:val="00A7308F"/>
    <w:rsid w:val="00A75AF6"/>
    <w:rsid w:val="00AC1493"/>
    <w:rsid w:val="00AC259B"/>
    <w:rsid w:val="00AE1720"/>
    <w:rsid w:val="00AF681B"/>
    <w:rsid w:val="00B135E9"/>
    <w:rsid w:val="00B23A84"/>
    <w:rsid w:val="00B25B77"/>
    <w:rsid w:val="00B375C4"/>
    <w:rsid w:val="00B62E5A"/>
    <w:rsid w:val="00B733CE"/>
    <w:rsid w:val="00B77EF9"/>
    <w:rsid w:val="00B82318"/>
    <w:rsid w:val="00B8260D"/>
    <w:rsid w:val="00B82E3D"/>
    <w:rsid w:val="00B9756D"/>
    <w:rsid w:val="00BD6A3A"/>
    <w:rsid w:val="00BE59DE"/>
    <w:rsid w:val="00C052CF"/>
    <w:rsid w:val="00C467AD"/>
    <w:rsid w:val="00C475C1"/>
    <w:rsid w:val="00C47D29"/>
    <w:rsid w:val="00CA41F5"/>
    <w:rsid w:val="00CB799D"/>
    <w:rsid w:val="00D33726"/>
    <w:rsid w:val="00D453D3"/>
    <w:rsid w:val="00D5039B"/>
    <w:rsid w:val="00DA5135"/>
    <w:rsid w:val="00DE4254"/>
    <w:rsid w:val="00DE5888"/>
    <w:rsid w:val="00E14BA3"/>
    <w:rsid w:val="00E3762F"/>
    <w:rsid w:val="00E54C7E"/>
    <w:rsid w:val="00E648BD"/>
    <w:rsid w:val="00E70D20"/>
    <w:rsid w:val="00E720BC"/>
    <w:rsid w:val="00E724C8"/>
    <w:rsid w:val="00EA247F"/>
    <w:rsid w:val="00EB700F"/>
    <w:rsid w:val="00EC5ADA"/>
    <w:rsid w:val="00ED745F"/>
    <w:rsid w:val="00EE03CB"/>
    <w:rsid w:val="00F4626A"/>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badge/latestdoi/577963870" TargetMode="External"/><Relationship Id="rId18" Type="http://schemas.openxmlformats.org/officeDocument/2006/relationships/hyperlink" Target="https://github.com/sparks-baird/matsci-opt-benchmarks/blob/v0.2.0/scripts/particle_packing/packing_generation_submitit.py" TargetMode="External"/><Relationship Id="rId3" Type="http://schemas.openxmlformats.org/officeDocument/2006/relationships/styles" Target="styles.xml"/><Relationship Id="rId21" Type="http://schemas.openxmlformats.org/officeDocument/2006/relationships/hyperlink" Target="https://matsci-opt-benchmarks.readthedocs.io/" TargetMode="External"/><Relationship Id="rId7" Type="http://schemas.openxmlformats.org/officeDocument/2006/relationships/endnotes" Target="endnotes.xml"/><Relationship Id="rId12" Type="http://schemas.openxmlformats.org/officeDocument/2006/relationships/hyperlink" Target="https://github.com/sparks-baird/matsci-opt-benchmarks%20v0.2.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parks-baird/matsci-opt-benchmarks/tree/v0.2.0/notebooks/particle_p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github.com/sparks-baird/matsci-opt-benchmarks/blob/6f4e690a5bd220e1bdb34249151008334bb9c8e1/src/matsci_opt_benchmarks/particle_packing/utils/packing_generation.py%23L63-L183" TargetMode="External"/><Relationship Id="rId19" Type="http://schemas.openxmlformats.org/officeDocument/2006/relationships/hyperlink" Target="https://github.com/sparks-baird/matsci-opt-benchmarks/tree/v0.2.0/script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5375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6378</TotalTime>
  <Pages>9</Pages>
  <Words>8839</Words>
  <Characters>50385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127</cp:revision>
  <cp:lastPrinted>2023-01-07T20:59:00Z</cp:lastPrinted>
  <dcterms:created xsi:type="dcterms:W3CDTF">2022-12-30T19:35:00Z</dcterms:created>
  <dcterms:modified xsi:type="dcterms:W3CDTF">2023-03-03T20:43:00Z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