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  <w:jc w:val="left"/>
      </w:pPr>
    </w:p>
    <w:p>
      <w:pPr>
        <w:spacing w:after="0" w:before="0"/>
        <w:jc w:val="left"/>
      </w:pPr>
      <w:r>
        <w:rPr>
          <w:rFonts w:ascii="Calibri" w:cs="Calibri" w:eastAsia="Calibri" w:hAnsi="Calibri"/>
          <w:b/>
          <w:bCs/>
          <w:color w:val="635BFF"/>
          <w:sz w:val="72"/>
          <w:szCs w:val="72"/>
        </w:rPr>
        <w:t xml:space="preserve">HorecaOS</w:t>
      </w:r>
    </w:p>
    <w:p>
      <w:pPr>
        <w:spacing w:after="40" w:before="20"/>
        <w:jc w:val="left"/>
      </w:pPr>
      <w:r>
        <w:rPr>
          <w:rFonts w:ascii="Calibri" w:cs="Calibri" w:eastAsia="Calibri" w:hAnsi="Calibri"/>
          <w:b/>
          <w:bCs/>
          <w:color w:val="0A2540"/>
          <w:sz w:val="36"/>
          <w:szCs w:val="36"/>
        </w:rPr>
        <w:t xml:space="preserve">Product Requirements Document</w:t>
      </w:r>
    </w:p>
    <w:p>
      <w:pPr>
        <w:spacing w:after="200" w:before="0"/>
        <w:jc w:val="left"/>
      </w:pPr>
      <w:r>
        <w:rPr>
          <w:rFonts w:ascii="Calibri" w:cs="Calibri" w:eastAsia="Calibri" w:hAnsi="Calibri"/>
          <w:b w:val="false"/>
          <w:bCs w:val="false"/>
          <w:color w:val="425466"/>
          <w:sz w:val="26"/>
          <w:szCs w:val="26"/>
        </w:rPr>
        <w:t xml:space="preserve">B2B HORECA Platform — East Africa  ·  ReactJS + Laravel + Flutter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35BFF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1.0  (April 2026)</w:t>
            </w:r>
          </w:p>
        </w:tc>
      </w:tr>
      <w:tr>
        <w:tc>
          <w:tcPr>
            <w:tcW w:type="dxa" w:w="2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35BFF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Draft — pending stakeholder sign-off</w:t>
            </w:r>
          </w:p>
        </w:tc>
      </w:tr>
      <w:tr>
        <w:tc>
          <w:tcPr>
            <w:tcW w:type="dxa" w:w="2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35BFF"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Platform Product Team</w:t>
            </w:r>
          </w:p>
        </w:tc>
      </w:tr>
      <w:tr>
        <w:tc>
          <w:tcPr>
            <w:tcW w:type="dxa" w:w="2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35BFF"/>
                <w:sz w:val="20"/>
                <w:szCs w:val="20"/>
              </w:rPr>
              <w:t xml:space="preserve">Client</w:t>
            </w:r>
          </w:p>
        </w:tc>
        <w:tc>
          <w:tcPr>
            <w:tcW w:type="dxa" w:w="65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KimFay East Africa (primary); Farmers Choice; Quality Meat Packers</w:t>
            </w:r>
          </w:p>
        </w:tc>
      </w:tr>
      <w:tr>
        <w:tc>
          <w:tcPr>
            <w:tcW w:type="dxa" w:w="2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35BFF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5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ReactJS 18 · Laravel 11 · Flutter 3 · MySQL 8 · Redis</w:t>
            </w:r>
          </w:p>
        </w:tc>
      </w:tr>
      <w:tr>
        <w:tc>
          <w:tcPr>
            <w:tcW w:type="dxa" w:w="2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35BFF"/>
                <w:sz w:val="20"/>
                <w:szCs w:val="20"/>
              </w:rPr>
              <w:t xml:space="preserve">Delivery</w:t>
            </w:r>
          </w:p>
        </w:tc>
        <w:tc>
          <w:tcPr>
            <w:tcW w:type="dxa" w:w="65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Phase 1: 8 weeks  |  Full platform: 36 weeks</w:t>
            </w:r>
          </w:p>
        </w:tc>
      </w:tr>
      <w:tr>
        <w:tc>
          <w:tcPr>
            <w:tcW w:type="dxa" w:w="2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35BFF"/>
                <w:sz w:val="20"/>
                <w:szCs w:val="20"/>
              </w:rPr>
              <w:t xml:space="preserve">UI Inspiration</w:t>
            </w:r>
          </w:p>
        </w:tc>
        <w:tc>
          <w:tcPr>
            <w:tcW w:type="dxa" w:w="65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Stripe Dashboard — clean, data-first, minimal chrome</w:t>
            </w:r>
          </w:p>
        </w:tc>
      </w:tr>
    </w:tbl>
    <w:p>
      <w:pPr>
        <w:spacing w:after="0" w:before="200"/>
        <w:jc w:val="left"/>
      </w:pPr>
    </w:p>
    <w:p>
      <w:r>
        <w:br w:type="page"/>
      </w:r>
    </w:p>
    <w:p>
      <w:pPr>
        <w:pStyle w:val="Heading1"/>
        <w:pBdr>
          <w:bottom w:val="single" w:color="635BFF" w:sz="4" w:space="6"/>
        </w:pBdr>
        <w:spacing w:after="120" w:before="320"/>
      </w:pPr>
      <w:r>
        <w:rPr>
          <w:rFonts w:ascii="Calibri" w:cs="Calibri" w:eastAsia="Calibri" w:hAnsi="Calibri"/>
          <w:b/>
          <w:bCs/>
          <w:color w:val="0A2540"/>
          <w:sz w:val="36"/>
          <w:szCs w:val="36"/>
        </w:rPr>
        <w:t xml:space="preserve">1.  Executive Summary</w:t>
      </w:r>
    </w:p>
    <w:p>
      <w:pPr>
        <w:spacing w:after="80" w:before="120"/>
        <w:jc w:val="left"/>
      </w:pPr>
      <w:r>
        <w:rPr>
          <w:rFonts w:ascii="Calibri" w:cs="Calibri" w:eastAsia="Calibri" w:hAnsi="Calibri"/>
          <w:b w:val="false"/>
          <w:bCs w:val="false"/>
          <w:color w:val="0A2540"/>
          <w:sz w:val="22"/>
          <w:szCs w:val="22"/>
        </w:rPr>
        <w:t xml:space="preserve">HorecaOS is an end-to-end B2B field-sales and operations platform for FMCG, food manufacturing, and hygiene brands operating in the East Africa HORECA channel. It replaces manual journey planning, WhatsApp-based ordering, and spreadsheet payment tracking with a unified web application (managers and admin) and a Flutter mobile app (field sales reps).</w:t>
      </w:r>
    </w:p>
    <w:p>
      <w:pPr>
        <w:spacing w:after="80" w:before="120"/>
        <w:jc w:val="left"/>
      </w:pPr>
      <w:r>
        <w:rPr>
          <w:rFonts w:ascii="Calibri" w:cs="Calibri" w:eastAsia="Calibri" w:hAnsi="Calibri"/>
          <w:b w:val="false"/>
          <w:bCs w:val="false"/>
          <w:color w:val="0A2540"/>
          <w:sz w:val="22"/>
          <w:szCs w:val="22"/>
        </w:rPr>
        <w:t xml:space="preserve">The platform is built on four pillars drawn directly from the KimFay Professional Workflow &amp; Requirements Document (April 2026):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Field Execution — automated Planned Journey Plans, GPS check-in, structured meeting capture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Order Management — LPO-based ordering with intelligent suggestions and fulfillment visibility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Revenue Protection — payment aging, collection push, credit customer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Governance — price change request approvals and Free-on-Loan (FOL) dispenser asset lifecycle</w:t>
      </w:r>
    </w:p>
    <w:p>
      <w:pPr>
        <w:spacing w:after="80" w:before="120"/>
        <w:jc w:val="left"/>
      </w:pPr>
      <w:r>
        <w:rPr>
          <w:rFonts w:ascii="Calibri" w:cs="Calibri" w:eastAsia="Calibri" w:hAnsi="Calibri"/>
          <w:b w:val="false"/>
          <w:bCs w:val="false"/>
          <w:color w:val="0A2540"/>
          <w:sz w:val="22"/>
          <w:szCs w:val="22"/>
        </w:rPr>
        <w:t xml:space="preserve">The primary go-live client is KimFay East Africa. The architecture is multi-tenant SaaS from Phase 4, enabling Farmers Choice, Quality Meat Packers (QMP), and other HORECA brands to onboard on the same platform.</w:t>
      </w:r>
    </w:p>
    <w:p>
      <w:pPr>
        <w:pBdr>
          <w:bottom w:val="single" w:color="E0E6EB" w:sz="2" w:space="1"/>
        </w:pBd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1"/>
        <w:pBdr>
          <w:bottom w:val="single" w:color="635BFF" w:sz="4" w:space="6"/>
        </w:pBdr>
        <w:spacing w:after="120" w:before="320"/>
      </w:pPr>
      <w:r>
        <w:rPr>
          <w:rFonts w:ascii="Calibri" w:cs="Calibri" w:eastAsia="Calibri" w:hAnsi="Calibri"/>
          <w:b/>
          <w:bCs/>
          <w:color w:val="0A2540"/>
          <w:sz w:val="36"/>
          <w:szCs w:val="36"/>
        </w:rPr>
        <w:t xml:space="preserve">2.  Objectives &amp; Success Metrics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A2540"/>
          <w:sz w:val="28"/>
          <w:szCs w:val="28"/>
        </w:rPr>
        <w:t xml:space="preserve">2.1  Business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Achieve a minimum of 4 verified customer meetings per rep per day through the automated PJP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Reduce order booking time from field visits by 60% versus current WhatsApp/phone 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Reduce overdue payment days outstanding (DSO) by 20% within 6 months of go-live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Achieve 100% audit-trail coverage on price changes and FOL approvals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Enable onboarding of Farmers Choice and QMP as tenant clients within 12 months of Phase 1 launch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A2540"/>
          <w:sz w:val="28"/>
          <w:szCs w:val="28"/>
        </w:rPr>
        <w:t xml:space="preserve">2.2  Key Performance Indicators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rPr>
          <w:tblHeader/>
        </w:trPr>
        <w:tc>
          <w:tcPr>
            <w:tcW w:type="dxa" w:w="312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08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208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6-Month Target</w:t>
            </w:r>
          </w:p>
        </w:tc>
        <w:tc>
          <w:tcPr>
            <w:tcW w:type="dxa" w:w="208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312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Meetings per rep per day</w:t>
            </w:r>
          </w:p>
        </w:tc>
        <w:tc>
          <w:tcPr>
            <w:tcW w:type="dxa" w:w="208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792A2"/>
                <w:sz w:val="20"/>
                <w:szCs w:val="20"/>
              </w:rPr>
              <w:t xml:space="preserve">2.1 avg</w:t>
            </w:r>
          </w:p>
        </w:tc>
        <w:tc>
          <w:tcPr>
            <w:tcW w:type="dxa" w:w="208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A67F"/>
                <w:sz w:val="20"/>
                <w:szCs w:val="20"/>
              </w:rPr>
              <w:t xml:space="preserve">≥ 4.0</w:t>
            </w:r>
          </w:p>
        </w:tc>
        <w:tc>
          <w:tcPr>
            <w:tcW w:type="dxa" w:w="208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792A2"/>
                <w:sz w:val="20"/>
                <w:szCs w:val="20"/>
              </w:rPr>
              <w:t xml:space="preserve">Sales Ops</w:t>
            </w:r>
          </w:p>
        </w:tc>
      </w:tr>
      <w:tr>
        <w:tc>
          <w:tcPr>
            <w:tcW w:type="dxa" w:w="312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Order booking time (field)</w:t>
            </w:r>
          </w:p>
        </w:tc>
        <w:tc>
          <w:tcPr>
            <w:tcW w:type="dxa" w:w="208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792A2"/>
                <w:sz w:val="20"/>
                <w:szCs w:val="20"/>
              </w:rPr>
              <w:t xml:space="preserve">~18 min</w:t>
            </w:r>
          </w:p>
        </w:tc>
        <w:tc>
          <w:tcPr>
            <w:tcW w:type="dxa" w:w="208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A67F"/>
                <w:sz w:val="20"/>
                <w:szCs w:val="20"/>
              </w:rPr>
              <w:t xml:space="preserve">≤ 7 min</w:t>
            </w:r>
          </w:p>
        </w:tc>
        <w:tc>
          <w:tcPr>
            <w:tcW w:type="dxa" w:w="208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792A2"/>
                <w:sz w:val="20"/>
                <w:szCs w:val="20"/>
              </w:rPr>
              <w:t xml:space="preserve">Product</w:t>
            </w:r>
          </w:p>
        </w:tc>
      </w:tr>
      <w:tr>
        <w:tc>
          <w:tcPr>
            <w:tcW w:type="dxa" w:w="312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Payment DSO (credit customers)</w:t>
            </w:r>
          </w:p>
        </w:tc>
        <w:tc>
          <w:tcPr>
            <w:tcW w:type="dxa" w:w="208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792A2"/>
                <w:sz w:val="20"/>
                <w:szCs w:val="20"/>
              </w:rPr>
              <w:t xml:space="preserve">42 days</w:t>
            </w:r>
          </w:p>
        </w:tc>
        <w:tc>
          <w:tcPr>
            <w:tcW w:type="dxa" w:w="208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A67F"/>
                <w:sz w:val="20"/>
                <w:szCs w:val="20"/>
              </w:rPr>
              <w:t xml:space="preserve">≤ 34 days</w:t>
            </w:r>
          </w:p>
        </w:tc>
        <w:tc>
          <w:tcPr>
            <w:tcW w:type="dxa" w:w="208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792A2"/>
                <w:sz w:val="20"/>
                <w:szCs w:val="20"/>
              </w:rPr>
              <w:t xml:space="preserve">Finance</w:t>
            </w:r>
          </w:p>
        </w:tc>
      </w:tr>
      <w:tr>
        <w:tc>
          <w:tcPr>
            <w:tcW w:type="dxa" w:w="312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FOL dispenser approval cycle</w:t>
            </w:r>
          </w:p>
        </w:tc>
        <w:tc>
          <w:tcPr>
            <w:tcW w:type="dxa" w:w="208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792A2"/>
                <w:sz w:val="20"/>
                <w:szCs w:val="20"/>
              </w:rPr>
              <w:t xml:space="preserve">5–7 days</w:t>
            </w:r>
          </w:p>
        </w:tc>
        <w:tc>
          <w:tcPr>
            <w:tcW w:type="dxa" w:w="208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A67F"/>
                <w:sz w:val="20"/>
                <w:szCs w:val="20"/>
              </w:rPr>
              <w:t xml:space="preserve">≤ 2 days</w:t>
            </w:r>
          </w:p>
        </w:tc>
        <w:tc>
          <w:tcPr>
            <w:tcW w:type="dxa" w:w="208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792A2"/>
                <w:sz w:val="20"/>
                <w:szCs w:val="20"/>
              </w:rPr>
              <w:t xml:space="preserve">Ops</w:t>
            </w:r>
          </w:p>
        </w:tc>
      </w:tr>
      <w:tr>
        <w:tc>
          <w:tcPr>
            <w:tcW w:type="dxa" w:w="312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Price change turnaround</w:t>
            </w:r>
          </w:p>
        </w:tc>
        <w:tc>
          <w:tcPr>
            <w:tcW w:type="dxa" w:w="208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792A2"/>
                <w:sz w:val="20"/>
                <w:szCs w:val="20"/>
              </w:rPr>
              <w:t xml:space="preserve">3–5 days</w:t>
            </w:r>
          </w:p>
        </w:tc>
        <w:tc>
          <w:tcPr>
            <w:tcW w:type="dxa" w:w="208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A67F"/>
                <w:sz w:val="20"/>
                <w:szCs w:val="20"/>
              </w:rPr>
              <w:t xml:space="preserve">Same day</w:t>
            </w:r>
          </w:p>
        </w:tc>
        <w:tc>
          <w:tcPr>
            <w:tcW w:type="dxa" w:w="208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792A2"/>
                <w:sz w:val="20"/>
                <w:szCs w:val="20"/>
              </w:rPr>
              <w:t xml:space="preserve">Sales Mgmt</w:t>
            </w:r>
          </w:p>
        </w:tc>
      </w:tr>
      <w:tr>
        <w:tc>
          <w:tcPr>
            <w:tcW w:type="dxa" w:w="312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GPS check-in accuracy</w:t>
            </w:r>
          </w:p>
        </w:tc>
        <w:tc>
          <w:tcPr>
            <w:tcW w:type="dxa" w:w="208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792A2"/>
                <w:sz w:val="20"/>
                <w:szCs w:val="20"/>
              </w:rPr>
              <w:t xml:space="preserve">Manual</w:t>
            </w:r>
          </w:p>
        </w:tc>
        <w:tc>
          <w:tcPr>
            <w:tcW w:type="dxa" w:w="208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A67F"/>
                <w:sz w:val="20"/>
                <w:szCs w:val="20"/>
              </w:rPr>
              <w:t xml:space="preserve">≥ 98% verified</w:t>
            </w:r>
          </w:p>
        </w:tc>
        <w:tc>
          <w:tcPr>
            <w:tcW w:type="dxa" w:w="208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792A2"/>
                <w:sz w:val="20"/>
                <w:szCs w:val="20"/>
              </w:rPr>
              <w:t xml:space="preserve">Engineering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35BFF" w:sz="4" w:space="6"/>
        </w:pBdr>
        <w:spacing w:after="120" w:before="320"/>
      </w:pPr>
      <w:r>
        <w:rPr>
          <w:rFonts w:ascii="Calibri" w:cs="Calibri" w:eastAsia="Calibri" w:hAnsi="Calibri"/>
          <w:b/>
          <w:bCs/>
          <w:color w:val="0A2540"/>
          <w:sz w:val="36"/>
          <w:szCs w:val="36"/>
        </w:rPr>
        <w:t xml:space="preserve">3.  Scope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A2540"/>
          <w:sz w:val="28"/>
          <w:szCs w:val="28"/>
        </w:rPr>
        <w:t xml:space="preserve">3.1  In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Web Application — manager dashboard, approval workflows, reporting, ERP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Mobile Application (Flutter) — field rep interface, offline-first, GPS-enabled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REST API — shared backend for web and mobile, webhook support for ERP triggers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ERP Integration layer — Sage Business Cloud, SAP Business One, Odoo 17 (configurable)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5 Core Workflow Modules — Meeting, Order, Payment, Price Change, FOL Dispenser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Product Catalogue — HORECA-grade product presentation with SKU variants and pricing tiers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Multi-tenant SaaS architecture (Phase 4 — Farmers Choice, QMP onboarding)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A2540"/>
          <w:sz w:val="28"/>
          <w:szCs w:val="28"/>
        </w:rPr>
        <w:t xml:space="preserve">3.2  Out of Scope (v1.0)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Direct e-commerce storefront for end customers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Accounting / bookkeeping functionality (delegated to ERP)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Driver dispatch or last-mile logistics routing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WhatsApp chatbot ordering interface (post-v1 backlog)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Custom mobile hardware (barcode scanners, POS terminals)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A2540"/>
          <w:sz w:val="28"/>
          <w:szCs w:val="28"/>
        </w:rPr>
        <w:t xml:space="preserve">3.3 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Client has an existing ERP system with a documented API or data export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Field reps carry Android or iOS smartphones running OS version ≥ Android 10 / iOS 15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Network connectivity in field is intermittent — offline-first is a hard requirement, not a nice-to-have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Customer master data (names, contacts, credit limits, payment terms) lives in the ERP and is the system of record</w:t>
      </w:r>
    </w:p>
    <w:p>
      <w:pPr>
        <w:pBdr>
          <w:bottom w:val="single" w:color="E0E6EB" w:sz="2" w:space="1"/>
        </w:pBd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1"/>
        <w:pBdr>
          <w:bottom w:val="single" w:color="635BFF" w:sz="4" w:space="6"/>
        </w:pBdr>
        <w:spacing w:after="120" w:before="320"/>
      </w:pPr>
      <w:r>
        <w:rPr>
          <w:rFonts w:ascii="Calibri" w:cs="Calibri" w:eastAsia="Calibri" w:hAnsi="Calibri"/>
          <w:b/>
          <w:bCs/>
          <w:color w:val="0A2540"/>
          <w:sz w:val="36"/>
          <w:szCs w:val="36"/>
        </w:rPr>
        <w:t xml:space="preserve">4.  Target Users &amp;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Primary Device</w:t>
            </w:r>
          </w:p>
        </w:tc>
        <w:tc>
          <w:tcPr>
            <w:tcW w:type="dxa" w:w="27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Core Need</w:t>
            </w:r>
          </w:p>
        </w:tc>
      </w:tr>
      <w:tr>
        <w:tc>
          <w:tcPr>
            <w:tcW w:type="dxa" w:w="1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35BFF"/>
                <w:sz w:val="20"/>
                <w:szCs w:val="20"/>
              </w:rPr>
              <w:t xml:space="preserve">Field Rep</w:t>
            </w:r>
          </w:p>
        </w:tc>
        <w:tc>
          <w:tcPr>
            <w:tcW w:type="dxa" w:w="2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Sales representative visiting HORECA customers</w:t>
            </w:r>
          </w:p>
        </w:tc>
        <w:tc>
          <w:tcPr>
            <w:tcW w:type="dxa" w:w="2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792A2"/>
                <w:sz w:val="20"/>
                <w:szCs w:val="20"/>
              </w:rPr>
              <w:t xml:space="preserve">Mobile (Flutter app)</w:t>
            </w:r>
          </w:p>
        </w:tc>
        <w:tc>
          <w:tcPr>
            <w:tcW w:type="dxa" w:w="27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Capture meetings, log orders, collect payments on the go — offline-capable</w:t>
            </w:r>
          </w:p>
        </w:tc>
      </w:tr>
      <w:tr>
        <w:tc>
          <w:tcPr>
            <w:tcW w:type="dxa" w:w="1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35BFF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2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Area / regional sales manager</w:t>
            </w:r>
          </w:p>
        </w:tc>
        <w:tc>
          <w:tcPr>
            <w:tcW w:type="dxa" w:w="2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792A2"/>
                <w:sz w:val="20"/>
                <w:szCs w:val="20"/>
              </w:rPr>
              <w:t xml:space="preserve">Web + Mobile</w:t>
            </w:r>
          </w:p>
        </w:tc>
        <w:tc>
          <w:tcPr>
            <w:tcW w:type="dxa" w:w="27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Approve price changes, monitor rep activity, review FOL requests</w:t>
            </w:r>
          </w:p>
        </w:tc>
      </w:tr>
      <w:tr>
        <w:tc>
          <w:tcPr>
            <w:tcW w:type="dxa" w:w="1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35BFF"/>
                <w:sz w:val="20"/>
                <w:szCs w:val="20"/>
              </w:rPr>
              <w:t xml:space="preserve">Senior Management</w:t>
            </w:r>
          </w:p>
        </w:tc>
        <w:tc>
          <w:tcPr>
            <w:tcW w:type="dxa" w:w="2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GM, Sales Director</w:t>
            </w:r>
          </w:p>
        </w:tc>
        <w:tc>
          <w:tcPr>
            <w:tcW w:type="dxa" w:w="2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792A2"/>
                <w:sz w:val="20"/>
                <w:szCs w:val="20"/>
              </w:rPr>
              <w:t xml:space="preserve">Web dashboard</w:t>
            </w:r>
          </w:p>
        </w:tc>
        <w:tc>
          <w:tcPr>
            <w:tcW w:type="dxa" w:w="27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P&amp;L visibility, KPI dashboards, trend reports, exception alerts</w:t>
            </w:r>
          </w:p>
        </w:tc>
      </w:tr>
      <w:tr>
        <w:tc>
          <w:tcPr>
            <w:tcW w:type="dxa" w:w="1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35BFF"/>
                <w:sz w:val="20"/>
                <w:szCs w:val="20"/>
              </w:rPr>
              <w:t xml:space="preserve">Admin / Finance</w:t>
            </w:r>
          </w:p>
        </w:tc>
        <w:tc>
          <w:tcPr>
            <w:tcW w:type="dxa" w:w="2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Credit controller, finance team</w:t>
            </w:r>
          </w:p>
        </w:tc>
        <w:tc>
          <w:tcPr>
            <w:tcW w:type="dxa" w:w="2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792A2"/>
                <w:sz w:val="20"/>
                <w:szCs w:val="20"/>
              </w:rPr>
              <w:t xml:space="preserve">Web</w:t>
            </w:r>
          </w:p>
        </w:tc>
        <w:tc>
          <w:tcPr>
            <w:tcW w:type="dxa" w:w="27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Payment aging, credit customer management, ERP data reconciliation</w:t>
            </w:r>
          </w:p>
        </w:tc>
      </w:tr>
      <w:tr>
        <w:tc>
          <w:tcPr>
            <w:tcW w:type="dxa" w:w="1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35BFF"/>
                <w:sz w:val="20"/>
                <w:szCs w:val="20"/>
              </w:rPr>
              <w:t xml:space="preserve">Operations</w:t>
            </w:r>
          </w:p>
        </w:tc>
        <w:tc>
          <w:tcPr>
            <w:tcW w:type="dxa" w:w="2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Warehouse / logistics ops</w:t>
            </w:r>
          </w:p>
        </w:tc>
        <w:tc>
          <w:tcPr>
            <w:tcW w:type="dxa" w:w="2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792A2"/>
                <w:sz w:val="20"/>
                <w:szCs w:val="20"/>
              </w:rPr>
              <w:t xml:space="preserve">Web</w:t>
            </w:r>
          </w:p>
        </w:tc>
        <w:tc>
          <w:tcPr>
            <w:tcW w:type="dxa" w:w="27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FOL dispenser asset tracking, fulfilment status, maintenance scheduling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35BFF" w:sz="4" w:space="6"/>
        </w:pBdr>
        <w:spacing w:after="120" w:before="320"/>
      </w:pPr>
      <w:r>
        <w:rPr>
          <w:rFonts w:ascii="Calibri" w:cs="Calibri" w:eastAsia="Calibri" w:hAnsi="Calibri"/>
          <w:b/>
          <w:bCs/>
          <w:color w:val="0A2540"/>
          <w:sz w:val="36"/>
          <w:szCs w:val="36"/>
        </w:rPr>
        <w:t xml:space="preserve">5.  Functional Requirements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A2540"/>
          <w:sz w:val="28"/>
          <w:szCs w:val="28"/>
        </w:rPr>
        <w:t xml:space="preserve">5.1  Meeting Management &amp; PJP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5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00" w:before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Module: Field Execution  ·  Delivery: Phase 1  ·  Priority: P0</w:t>
            </w:r>
          </w:p>
        </w:tc>
      </w:tr>
    </w:tbl>
    <w:p>
      <w:pPr>
        <w:spacing w:after="80" w:before="100"/>
        <w:jc w:val="left"/>
      </w:pPr>
      <w:r>
        <w:rPr>
          <w:rFonts w:ascii="Calibri" w:cs="Calibri" w:eastAsia="Calibri" w:hAnsi="Calibri"/>
          <w:b w:val="false"/>
          <w:bCs w:val="false"/>
          <w:color w:val="0A2540"/>
          <w:sz w:val="22"/>
          <w:szCs w:val="22"/>
        </w:rPr>
        <w:t xml:space="preserve">Automates the Planned Journey Plan, replacing manual scheduling with a system-driven daily visit list optimised by territory and priority.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200"/>
        <w:gridCol w:w="900"/>
        <w:gridCol w:w="860"/>
      </w:tblGrid>
      <w:tr>
        <w:trPr>
          <w:tblHeader/>
        </w:trPr>
        <w:tc>
          <w:tcPr>
            <w:tcW w:type="dxa" w:w="3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8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3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PJP engine</w:t>
            </w:r>
          </w:p>
        </w:tc>
        <w:tc>
          <w:tcPr>
            <w:tcW w:type="dxa" w:w="32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Auto-generate daily visit schedule per rep, targeting ≥ 4 meetings</w:t>
            </w:r>
          </w:p>
        </w:tc>
        <w:tc>
          <w:tcPr>
            <w:tcW w:type="dxa" w:w="9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P0</w:t>
            </w:r>
          </w:p>
        </w:tc>
        <w:tc>
          <w:tcPr>
            <w:tcW w:type="dxa" w:w="8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GPS check-in</w:t>
            </w:r>
          </w:p>
        </w:tc>
        <w:tc>
          <w:tcPr>
            <w:tcW w:type="dxa" w:w="32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Verify rep location at customer site on meeting start</w:t>
            </w:r>
          </w:p>
        </w:tc>
        <w:tc>
          <w:tcPr>
            <w:tcW w:type="dxa" w:w="9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P0</w:t>
            </w:r>
          </w:p>
        </w:tc>
        <w:tc>
          <w:tcPr>
            <w:tcW w:type="dxa" w:w="8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Meeting output capture</w:t>
            </w:r>
          </w:p>
        </w:tc>
        <w:tc>
          <w:tcPr>
            <w:tcW w:type="dxa" w:w="32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4 structured questions per meeting; supports text, photo, and voice note</w:t>
            </w:r>
          </w:p>
        </w:tc>
        <w:tc>
          <w:tcPr>
            <w:tcW w:type="dxa" w:w="9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P0</w:t>
            </w:r>
          </w:p>
        </w:tc>
        <w:tc>
          <w:tcPr>
            <w:tcW w:type="dxa" w:w="8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Action item tracking</w:t>
            </w:r>
          </w:p>
        </w:tc>
        <w:tc>
          <w:tcPr>
            <w:tcW w:type="dxa" w:w="32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Log, assign, and follow up on action items from prior meetings</w:t>
            </w:r>
          </w:p>
        </w:tc>
        <w:tc>
          <w:tcPr>
            <w:tcW w:type="dxa" w:w="9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P1</w:t>
            </w:r>
          </w:p>
        </w:tc>
        <w:tc>
          <w:tcPr>
            <w:tcW w:type="dxa" w:w="8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Route optimisation</w:t>
            </w:r>
          </w:p>
        </w:tc>
        <w:tc>
          <w:tcPr>
            <w:tcW w:type="dxa" w:w="32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Google Maps route sequencing to minimise travel time</w:t>
            </w:r>
          </w:p>
        </w:tc>
        <w:tc>
          <w:tcPr>
            <w:tcW w:type="dxa" w:w="9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P1</w:t>
            </w:r>
          </w:p>
        </w:tc>
        <w:tc>
          <w:tcPr>
            <w:tcW w:type="dxa" w:w="8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Meeting performance report</w:t>
            </w:r>
          </w:p>
        </w:tc>
        <w:tc>
          <w:tcPr>
            <w:tcW w:type="dxa" w:w="32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Daily/weekly report: meetings done vs target, action close rate</w:t>
            </w:r>
          </w:p>
        </w:tc>
        <w:tc>
          <w:tcPr>
            <w:tcW w:type="dxa" w:w="9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P0</w:t>
            </w:r>
          </w:p>
        </w:tc>
        <w:tc>
          <w:tcPr>
            <w:tcW w:type="dxa" w:w="8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Automated scheduler</w:t>
            </w:r>
          </w:p>
        </w:tc>
        <w:tc>
          <w:tcPr>
            <w:tcW w:type="dxa" w:w="32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Manager can set customer visit frequency (weekly/fortnightly/monthly)</w:t>
            </w:r>
          </w:p>
        </w:tc>
        <w:tc>
          <w:tcPr>
            <w:tcW w:type="dxa" w:w="9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P1</w:t>
            </w:r>
          </w:p>
        </w:tc>
        <w:tc>
          <w:tcPr>
            <w:tcW w:type="dxa" w:w="8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2</w:t>
            </w:r>
          </w:p>
        </w:tc>
      </w:tr>
    </w:tbl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635BFF"/>
          <w:sz w:val="24"/>
          <w:szCs w:val="24"/>
        </w:rPr>
        <w:t xml:space="preserve">5.1.1  GPS Guardrail — Spoofing Prevention</w:t>
      </w:r>
    </w:p>
    <w:p>
      <w:pPr>
        <w:spacing w:after="80" w:before="120"/>
        <w:jc w:val="left"/>
      </w:pPr>
      <w:r>
        <w:rPr>
          <w:rFonts w:ascii="Calibri" w:cs="Calibri" w:eastAsia="Calibri" w:hAnsi="Calibri"/>
          <w:b w:val="false"/>
          <w:bCs w:val="false"/>
          <w:color w:val="0A2540"/>
          <w:sz w:val="22"/>
          <w:szCs w:val="22"/>
        </w:rPr>
        <w:t xml:space="preserve">GPS check-in is a critical control point. The system must implement the following anti-spoofing measures: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Cross-validate device GPS with cell-tower triangulation; flag if delta &gt; 200m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Enforce minimum 3-minute dwell time at location before meeting can be marked complete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Manager alert triggered automatically when GPS coordinates are implausible (speed &gt; 120 km/h between two check-ins)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All GPS coordinates stored with device timestamp, server timestamp, and accuracy radius for audit</w:t>
      </w:r>
    </w:p>
    <w:p>
      <w:pPr>
        <w:pBdr>
          <w:bottom w:val="single" w:color="E0E6EB" w:sz="2" w:space="1"/>
        </w:pBd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A2540"/>
          <w:sz w:val="28"/>
          <w:szCs w:val="28"/>
        </w:rPr>
        <w:t xml:space="preserve">5.2  Order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A67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00" w:before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Module: Commercial  ·  Delivery: Phases 1–2  ·  Priority: P0</w:t>
            </w:r>
          </w:p>
        </w:tc>
      </w:tr>
    </w:tbl>
    <w:p>
      <w:pPr>
        <w:spacing w:after="80" w:before="100"/>
        <w:jc w:val="left"/>
      </w:pPr>
      <w:r>
        <w:rPr>
          <w:rFonts w:ascii="Calibri" w:cs="Calibri" w:eastAsia="Calibri" w:hAnsi="Calibri"/>
          <w:b w:val="false"/>
          <w:bCs w:val="false"/>
          <w:color w:val="0A2540"/>
          <w:sz w:val="22"/>
          <w:szCs w:val="22"/>
        </w:rPr>
        <w:t xml:space="preserve">Covers the full order lifecycle from intelligent suggestion through to fulfilment tracking, with LPO as the primary booking mechanism.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900"/>
        <w:gridCol w:w="860"/>
      </w:tblGrid>
      <w:tr>
        <w:trPr>
          <w:tblHeader/>
        </w:trPr>
        <w:tc>
          <w:tcPr>
            <w:tcW w:type="dxa" w:w="3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8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3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Order suggestion engine</w:t>
            </w:r>
          </w:p>
        </w:tc>
        <w:tc>
          <w:tcPr>
            <w:tcW w:type="dxa" w:w="3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AI-driven suggestions based on purchase history and seasonality</w:t>
            </w:r>
          </w:p>
        </w:tc>
        <w:tc>
          <w:tcPr>
            <w:tcW w:type="dxa" w:w="9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P1</w:t>
            </w:r>
          </w:p>
        </w:tc>
        <w:tc>
          <w:tcPr>
            <w:tcW w:type="dxa" w:w="8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LPO order booking</w:t>
            </w:r>
          </w:p>
        </w:tc>
        <w:tc>
          <w:tcPr>
            <w:tcW w:type="dxa" w:w="3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Rep books order against a Local Purchase Order; supports partial quantities</w:t>
            </w:r>
          </w:p>
        </w:tc>
        <w:tc>
          <w:tcPr>
            <w:tcW w:type="dxa" w:w="9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P0</w:t>
            </w:r>
          </w:p>
        </w:tc>
        <w:tc>
          <w:tcPr>
            <w:tcW w:type="dxa" w:w="8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Order follow-up</w:t>
            </w:r>
          </w:p>
        </w:tc>
        <w:tc>
          <w:tcPr>
            <w:tcW w:type="dxa" w:w="3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Automated status updates to rep and manager at 24h and 48h</w:t>
            </w:r>
          </w:p>
        </w:tc>
        <w:tc>
          <w:tcPr>
            <w:tcW w:type="dxa" w:w="9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P0</w:t>
            </w:r>
          </w:p>
        </w:tc>
        <w:tc>
          <w:tcPr>
            <w:tcW w:type="dxa" w:w="8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Fulfilment visibility</w:t>
            </w:r>
          </w:p>
        </w:tc>
        <w:tc>
          <w:tcPr>
            <w:tcW w:type="dxa" w:w="3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Show order progress: confirmed → picking → dispatched → delivered</w:t>
            </w:r>
          </w:p>
        </w:tc>
        <w:tc>
          <w:tcPr>
            <w:tcW w:type="dxa" w:w="9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P0</w:t>
            </w:r>
          </w:p>
        </w:tc>
        <w:tc>
          <w:tcPr>
            <w:tcW w:type="dxa" w:w="8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Back-order handling</w:t>
            </w:r>
          </w:p>
        </w:tc>
        <w:tc>
          <w:tcPr>
            <w:tcW w:type="dxa" w:w="3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Flag SKUs on back-order with ETA; prevent rep from promising delivery</w:t>
            </w:r>
          </w:p>
        </w:tc>
        <w:tc>
          <w:tcPr>
            <w:tcW w:type="dxa" w:w="9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P0</w:t>
            </w:r>
          </w:p>
        </w:tc>
        <w:tc>
          <w:tcPr>
            <w:tcW w:type="dxa" w:w="8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Account-on-hold detection</w:t>
            </w:r>
          </w:p>
        </w:tc>
        <w:tc>
          <w:tcPr>
            <w:tcW w:type="dxa" w:w="3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Pull credit hold status from ERP; block new orders and alert rep</w:t>
            </w:r>
          </w:p>
        </w:tc>
        <w:tc>
          <w:tcPr>
            <w:tcW w:type="dxa" w:w="9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P0</w:t>
            </w:r>
          </w:p>
        </w:tc>
        <w:tc>
          <w:tcPr>
            <w:tcW w:type="dxa" w:w="8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Dynamic quantity edits</w:t>
            </w:r>
          </w:p>
        </w:tc>
        <w:tc>
          <w:tcPr>
            <w:tcW w:type="dxa" w:w="3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Customer can request quantity change up to dispatch; rep approves</w:t>
            </w:r>
          </w:p>
        </w:tc>
        <w:tc>
          <w:tcPr>
            <w:tcW w:type="dxa" w:w="9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P1</w:t>
            </w:r>
          </w:p>
        </w:tc>
        <w:tc>
          <w:tcPr>
            <w:tcW w:type="dxa" w:w="8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Sales metrics dashboard</w:t>
            </w:r>
          </w:p>
        </w:tc>
        <w:tc>
          <w:tcPr>
            <w:tcW w:type="dxa" w:w="3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Opportunities, lead closings, VAS attach rate, range-selling score</w:t>
            </w:r>
          </w:p>
        </w:tc>
        <w:tc>
          <w:tcPr>
            <w:tcW w:type="dxa" w:w="9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P1</w:t>
            </w:r>
          </w:p>
        </w:tc>
        <w:tc>
          <w:tcPr>
            <w:tcW w:type="dxa" w:w="8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3</w:t>
            </w:r>
          </w:p>
        </w:tc>
      </w:tr>
    </w:tbl>
    <w:p>
      <w:pPr>
        <w:pBdr>
          <w:bottom w:val="single" w:color="E0E6EB" w:sz="2" w:space="1"/>
        </w:pBd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A2540"/>
          <w:sz w:val="28"/>
          <w:szCs w:val="28"/>
        </w:rPr>
        <w:t xml:space="preserve">5.3  Payment Management &amp; Collections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5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00" w:before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Module: Finance  ·  Delivery: Phase 2  ·  Priority: P0</w:t>
            </w:r>
          </w:p>
        </w:tc>
      </w:tr>
    </w:tbl>
    <w:p>
      <w:pPr>
        <w:spacing w:after="80" w:before="100"/>
        <w:jc w:val="left"/>
      </w:pPr>
      <w:r>
        <w:rPr>
          <w:rFonts w:ascii="Calibri" w:cs="Calibri" w:eastAsia="Calibri" w:hAnsi="Calibri"/>
          <w:b w:val="false"/>
          <w:bCs w:val="false"/>
          <w:color w:val="0A2540"/>
          <w:sz w:val="22"/>
          <w:szCs w:val="22"/>
        </w:rPr>
        <w:t xml:space="preserve">Provides structured tools for tracking outstanding payments, managing credit customers, and pushing collections through automated and manual mechanisms.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900"/>
        <w:gridCol w:w="860"/>
      </w:tblGrid>
      <w:tr>
        <w:trPr>
          <w:tblHeader/>
        </w:trPr>
        <w:tc>
          <w:tcPr>
            <w:tcW w:type="dxa" w:w="2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6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8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Payment aging dashboard</w:t>
            </w:r>
          </w:p>
        </w:tc>
        <w:tc>
          <w:tcPr>
            <w:tcW w:type="dxa" w:w="36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Real-time aging buckets: current, 30, 60, 90+ days</w:t>
            </w:r>
          </w:p>
        </w:tc>
        <w:tc>
          <w:tcPr>
            <w:tcW w:type="dxa" w:w="9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P0</w:t>
            </w:r>
          </w:p>
        </w:tc>
        <w:tc>
          <w:tcPr>
            <w:tcW w:type="dxa" w:w="8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Credit customer management</w:t>
            </w:r>
          </w:p>
        </w:tc>
        <w:tc>
          <w:tcPr>
            <w:tcW w:type="dxa" w:w="36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Credit limits, payment terms, utilisation % synced from ERP</w:t>
            </w:r>
          </w:p>
        </w:tc>
        <w:tc>
          <w:tcPr>
            <w:tcW w:type="dxa" w:w="9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P0</w:t>
            </w:r>
          </w:p>
        </w:tc>
        <w:tc>
          <w:tcPr>
            <w:tcW w:type="dxa" w:w="8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Collection push — in-app</w:t>
            </w:r>
          </w:p>
        </w:tc>
        <w:tc>
          <w:tcPr>
            <w:tcW w:type="dxa" w:w="36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Rep can log a promise-to-pay date and amount in the app</w:t>
            </w:r>
          </w:p>
        </w:tc>
        <w:tc>
          <w:tcPr>
            <w:tcW w:type="dxa" w:w="9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P0</w:t>
            </w:r>
          </w:p>
        </w:tc>
        <w:tc>
          <w:tcPr>
            <w:tcW w:type="dxa" w:w="8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Collection push — SMS</w:t>
            </w:r>
          </w:p>
        </w:tc>
        <w:tc>
          <w:tcPr>
            <w:tcW w:type="dxa" w:w="36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Automated payment reminder SMS via Africa's Talking / Twilio</w:t>
            </w:r>
          </w:p>
        </w:tc>
        <w:tc>
          <w:tcPr>
            <w:tcW w:type="dxa" w:w="9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P1</w:t>
            </w:r>
          </w:p>
        </w:tc>
        <w:tc>
          <w:tcPr>
            <w:tcW w:type="dxa" w:w="8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M-Pesa integration</w:t>
            </w:r>
          </w:p>
        </w:tc>
        <w:tc>
          <w:tcPr>
            <w:tcW w:type="dxa" w:w="36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Customer pays via M-Pesa Daraja API; auto-reconciles against invoice</w:t>
            </w:r>
          </w:p>
        </w:tc>
        <w:tc>
          <w:tcPr>
            <w:tcW w:type="dxa" w:w="9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P1</w:t>
            </w:r>
          </w:p>
        </w:tc>
        <w:tc>
          <w:tcPr>
            <w:tcW w:type="dxa" w:w="8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Overdue escalation</w:t>
            </w:r>
          </w:p>
        </w:tc>
        <w:tc>
          <w:tcPr>
            <w:tcW w:type="dxa" w:w="36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Auto-escalate to manager if payment overdue &gt; 14 days past terms</w:t>
            </w:r>
          </w:p>
        </w:tc>
        <w:tc>
          <w:tcPr>
            <w:tcW w:type="dxa" w:w="9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P0</w:t>
            </w:r>
          </w:p>
        </w:tc>
        <w:tc>
          <w:tcPr>
            <w:tcW w:type="dxa" w:w="8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Payment audit trail</w:t>
            </w:r>
          </w:p>
        </w:tc>
        <w:tc>
          <w:tcPr>
            <w:tcW w:type="dxa" w:w="36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Every promise, payment, and escalation timestamped and immutable</w:t>
            </w:r>
          </w:p>
        </w:tc>
        <w:tc>
          <w:tcPr>
            <w:tcW w:type="dxa" w:w="9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P0</w:t>
            </w:r>
          </w:p>
        </w:tc>
        <w:tc>
          <w:tcPr>
            <w:tcW w:type="dxa" w:w="8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2</w:t>
            </w:r>
          </w:p>
        </w:tc>
      </w:tr>
    </w:tbl>
    <w:p>
      <w:r>
        <w:br w:type="pag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A2540"/>
          <w:sz w:val="28"/>
          <w:szCs w:val="28"/>
        </w:rPr>
        <w:t xml:space="preserve">5.4  Price Change Request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87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00" w:before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Module: Governance  ·  Delivery: Phase 3  ·  Priority: P1</w:t>
            </w:r>
          </w:p>
        </w:tc>
      </w:tr>
    </w:tbl>
    <w:p>
      <w:pPr>
        <w:spacing w:after="80" w:before="100"/>
        <w:jc w:val="left"/>
      </w:pPr>
      <w:r>
        <w:rPr>
          <w:rFonts w:ascii="Calibri" w:cs="Calibri" w:eastAsia="Calibri" w:hAnsi="Calibri"/>
          <w:b w:val="false"/>
          <w:bCs w:val="false"/>
          <w:color w:val="0A2540"/>
          <w:sz w:val="22"/>
          <w:szCs w:val="22"/>
        </w:rPr>
        <w:t xml:space="preserve">A structured, approval-gated workflow for customer-initiated price change requests, with full margin visibility and ERP write-back on approval.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1440"/>
        <w:gridCol w:w="2160"/>
        <w:gridCol w:w="5220"/>
      </w:tblGrid>
      <w:tr>
        <w:trPr>
          <w:tblHeader/>
        </w:trPr>
        <w:tc>
          <w:tcPr>
            <w:tcW w:type="dxa" w:w="54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44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1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22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System Guardrail</w:t>
            </w:r>
          </w:p>
        </w:tc>
      </w:tr>
      <w:tr>
        <w:tc>
          <w:tcPr>
            <w:tcW w:type="dxa" w:w="54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35BFF"/>
                <w:sz w:val="20"/>
                <w:szCs w:val="20"/>
              </w:rPr>
              <w:t xml:space="preserve">1</w:t>
            </w:r>
          </w:p>
        </w:tc>
        <w:tc>
          <w:tcPr>
            <w:tcW w:type="dxa" w:w="144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Customer</w:t>
            </w:r>
          </w:p>
        </w:tc>
        <w:tc>
          <w:tcPr>
            <w:tcW w:type="dxa" w:w="21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Requests price change</w:t>
            </w:r>
          </w:p>
        </w:tc>
        <w:tc>
          <w:tcPr>
            <w:tcW w:type="dxa" w:w="522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25466"/>
                <w:sz w:val="20"/>
                <w:szCs w:val="20"/>
              </w:rPr>
              <w:t xml:space="preserve">Request can only be submitted against an active account; blocked accounts cannot initiate</w:t>
            </w:r>
          </w:p>
        </w:tc>
      </w:tr>
      <w:tr>
        <w:tc>
          <w:tcPr>
            <w:tcW w:type="dxa" w:w="54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35BFF"/>
                <w:sz w:val="20"/>
                <w:szCs w:val="20"/>
              </w:rPr>
              <w:t xml:space="preserve">2</w:t>
            </w:r>
          </w:p>
        </w:tc>
        <w:tc>
          <w:tcPr>
            <w:tcW w:type="dxa" w:w="144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Sales Rep</w:t>
            </w:r>
          </w:p>
        </w:tc>
        <w:tc>
          <w:tcPr>
            <w:tcW w:type="dxa" w:w="21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Submits PCR with justification</w:t>
            </w:r>
          </w:p>
        </w:tc>
        <w:tc>
          <w:tcPr>
            <w:tcW w:type="dxa" w:w="522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25466"/>
                <w:sz w:val="20"/>
                <w:szCs w:val="20"/>
              </w:rPr>
              <w:t xml:space="preserve">Mandatory fields: customer, SKU, current price, proposed price, business justification. System auto-calculates margin impact.</w:t>
            </w:r>
          </w:p>
        </w:tc>
      </w:tr>
      <w:tr>
        <w:tc>
          <w:tcPr>
            <w:tcW w:type="dxa" w:w="54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35BFF"/>
                <w:sz w:val="20"/>
                <w:szCs w:val="20"/>
              </w:rPr>
              <w:t xml:space="preserve">3</w:t>
            </w:r>
          </w:p>
        </w:tc>
        <w:tc>
          <w:tcPr>
            <w:tcW w:type="dxa" w:w="144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21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Reviews margin impact</w:t>
            </w:r>
          </w:p>
        </w:tc>
        <w:tc>
          <w:tcPr>
            <w:tcW w:type="dxa" w:w="522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25466"/>
                <w:sz w:val="20"/>
                <w:szCs w:val="20"/>
              </w:rPr>
              <w:t xml:space="preserve">Manager sees margin floor breach alert if proposed price falls below agreed threshold. Cannot override without senior approval.</w:t>
            </w:r>
          </w:p>
        </w:tc>
      </w:tr>
      <w:tr>
        <w:tc>
          <w:tcPr>
            <w:tcW w:type="dxa" w:w="54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35BFF"/>
                <w:sz w:val="20"/>
                <w:szCs w:val="20"/>
              </w:rPr>
              <w:t xml:space="preserve">4</w:t>
            </w:r>
          </w:p>
        </w:tc>
        <w:tc>
          <w:tcPr>
            <w:tcW w:type="dxa" w:w="144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Line Mgr / Sr. Mgmt</w:t>
            </w:r>
          </w:p>
        </w:tc>
        <w:tc>
          <w:tcPr>
            <w:tcW w:type="dxa" w:w="21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Approves or escalates</w:t>
            </w:r>
          </w:p>
        </w:tc>
        <w:tc>
          <w:tcPr>
            <w:tcW w:type="dxa" w:w="522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25466"/>
                <w:sz w:val="20"/>
                <w:szCs w:val="20"/>
              </w:rPr>
              <w:t xml:space="preserve">Requests within manager's authority threshold → manager approves. Above threshold → auto-escalated. SLA timer: 24h before escalation alert.</w:t>
            </w:r>
          </w:p>
        </w:tc>
      </w:tr>
      <w:tr>
        <w:tc>
          <w:tcPr>
            <w:tcW w:type="dxa" w:w="54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35BFF"/>
                <w:sz w:val="20"/>
                <w:szCs w:val="20"/>
              </w:rPr>
              <w:t xml:space="preserve">5</w:t>
            </w:r>
          </w:p>
        </w:tc>
        <w:tc>
          <w:tcPr>
            <w:tcW w:type="dxa" w:w="144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System (ERP)</w:t>
            </w:r>
          </w:p>
        </w:tc>
        <w:tc>
          <w:tcPr>
            <w:tcW w:type="dxa" w:w="21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Writes new price with effective date</w:t>
            </w:r>
          </w:p>
        </w:tc>
        <w:tc>
          <w:tcPr>
            <w:tcW w:type="dxa" w:w="522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25466"/>
                <w:sz w:val="20"/>
                <w:szCs w:val="20"/>
              </w:rPr>
              <w:t xml:space="preserve">ERP update includes: new price, effective date, approver name, approval timestamp. Immutable audit record created.</w:t>
            </w:r>
          </w:p>
        </w:tc>
      </w:tr>
      <w:tr>
        <w:tc>
          <w:tcPr>
            <w:tcW w:type="dxa" w:w="54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35BFF"/>
                <w:sz w:val="20"/>
                <w:szCs w:val="20"/>
              </w:rPr>
              <w:t xml:space="preserve">6</w:t>
            </w:r>
          </w:p>
        </w:tc>
        <w:tc>
          <w:tcPr>
            <w:tcW w:type="dxa" w:w="144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System</w:t>
            </w:r>
          </w:p>
        </w:tc>
        <w:tc>
          <w:tcPr>
            <w:tcW w:type="dxa" w:w="21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Notifies all parties</w:t>
            </w:r>
          </w:p>
        </w:tc>
        <w:tc>
          <w:tcPr>
            <w:tcW w:type="dxa" w:w="522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25466"/>
                <w:sz w:val="20"/>
                <w:szCs w:val="20"/>
              </w:rPr>
              <w:t xml:space="preserve">Push notification + email to rep and customer. Rejection includes mandatory reason field.</w:t>
            </w:r>
          </w:p>
        </w:tc>
      </w:tr>
    </w:tbl>
    <w:p>
      <w:pPr>
        <w:pBdr>
          <w:bottom w:val="single" w:color="E0E6EB" w:sz="2" w:space="1"/>
        </w:pBd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A2540"/>
          <w:sz w:val="28"/>
          <w:szCs w:val="28"/>
        </w:rPr>
        <w:t xml:space="preserve">5.5  FOL Dispenser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87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00" w:before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Module: Asset Management  ·  Delivery: Phase 3  ·  Priority: P1</w:t>
            </w:r>
          </w:p>
        </w:tc>
      </w:tr>
    </w:tbl>
    <w:p>
      <w:pPr>
        <w:spacing w:after="80" w:before="100"/>
        <w:jc w:val="left"/>
      </w:pPr>
      <w:r>
        <w:rPr>
          <w:rFonts w:ascii="Calibri" w:cs="Calibri" w:eastAsia="Calibri" w:hAnsi="Calibri"/>
          <w:b w:val="false"/>
          <w:bCs w:val="false"/>
          <w:color w:val="0A2540"/>
          <w:sz w:val="22"/>
          <w:szCs w:val="22"/>
        </w:rPr>
        <w:t xml:space="preserve">Governs the placement of company-owned dispensers at customer sites on a free-on-loan basis, from initial request through volume tracking and recall.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1440"/>
        <w:gridCol w:w="3040"/>
        <w:gridCol w:w="4340"/>
      </w:tblGrid>
      <w:tr>
        <w:trPr>
          <w:tblHeader/>
        </w:trPr>
        <w:tc>
          <w:tcPr>
            <w:tcW w:type="dxa" w:w="54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44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04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34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Guardrail</w:t>
            </w:r>
          </w:p>
        </w:tc>
      </w:tr>
      <w:tr>
        <w:tc>
          <w:tcPr>
            <w:tcW w:type="dxa" w:w="54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35BFF"/>
                <w:sz w:val="20"/>
                <w:szCs w:val="20"/>
              </w:rPr>
              <w:t xml:space="preserve">1</w:t>
            </w:r>
          </w:p>
        </w:tc>
        <w:tc>
          <w:tcPr>
            <w:tcW w:type="dxa" w:w="144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Customer</w:t>
            </w:r>
          </w:p>
        </w:tc>
        <w:tc>
          <w:tcPr>
            <w:tcW w:type="dxa" w:w="304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Requests dispenser on FOL basis</w:t>
            </w:r>
          </w:p>
        </w:tc>
        <w:tc>
          <w:tcPr>
            <w:tcW w:type="dxa" w:w="434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25466"/>
                <w:sz w:val="20"/>
                <w:szCs w:val="20"/>
              </w:rPr>
              <w:t xml:space="preserve">Only accounts with ≥ 3 months trading history and good standing can apply</w:t>
            </w:r>
          </w:p>
        </w:tc>
      </w:tr>
      <w:tr>
        <w:tc>
          <w:tcPr>
            <w:tcW w:type="dxa" w:w="54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35BFF"/>
                <w:sz w:val="20"/>
                <w:szCs w:val="20"/>
              </w:rPr>
              <w:t xml:space="preserve">2</w:t>
            </w:r>
          </w:p>
        </w:tc>
        <w:tc>
          <w:tcPr>
            <w:tcW w:type="dxa" w:w="144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Sales Rep</w:t>
            </w:r>
          </w:p>
        </w:tc>
        <w:tc>
          <w:tcPr>
            <w:tcW w:type="dxa" w:w="304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Submits FOL request with volume commitment</w:t>
            </w:r>
          </w:p>
        </w:tc>
        <w:tc>
          <w:tcPr>
            <w:tcW w:type="dxa" w:w="434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25466"/>
                <w:sz w:val="20"/>
                <w:szCs w:val="20"/>
              </w:rPr>
              <w:t xml:space="preserve">Minimum monthly purchase commitment is mandatory; system enforces floor value</w:t>
            </w:r>
          </w:p>
        </w:tc>
      </w:tr>
      <w:tr>
        <w:tc>
          <w:tcPr>
            <w:tcW w:type="dxa" w:w="54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35BFF"/>
                <w:sz w:val="20"/>
                <w:szCs w:val="20"/>
              </w:rPr>
              <w:t xml:space="preserve">3</w:t>
            </w:r>
          </w:p>
        </w:tc>
        <w:tc>
          <w:tcPr>
            <w:tcW w:type="dxa" w:w="144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Manager</w:t>
            </w:r>
          </w:p>
        </w:tc>
        <w:tc>
          <w:tcPr>
            <w:tcW w:type="dxa" w:w="304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Reviews against volume, credit, availability</w:t>
            </w:r>
          </w:p>
        </w:tc>
        <w:tc>
          <w:tcPr>
            <w:tcW w:type="dxa" w:w="434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25466"/>
                <w:sz w:val="20"/>
                <w:szCs w:val="20"/>
              </w:rPr>
              <w:t xml:space="preserve">Stock count check against asset register; credit standing pulled from ERP in real time</w:t>
            </w:r>
          </w:p>
        </w:tc>
      </w:tr>
      <w:tr>
        <w:tc>
          <w:tcPr>
            <w:tcW w:type="dxa" w:w="54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35BFF"/>
                <w:sz w:val="20"/>
                <w:szCs w:val="20"/>
              </w:rPr>
              <w:t xml:space="preserve">4</w:t>
            </w:r>
          </w:p>
        </w:tc>
        <w:tc>
          <w:tcPr>
            <w:tcW w:type="dxa" w:w="144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Manager</w:t>
            </w:r>
          </w:p>
        </w:tc>
        <w:tc>
          <w:tcPr>
            <w:tcW w:type="dxa" w:w="304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Approves or rejects</w:t>
            </w:r>
          </w:p>
        </w:tc>
        <w:tc>
          <w:tcPr>
            <w:tcW w:type="dxa" w:w="434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25466"/>
                <w:sz w:val="20"/>
                <w:szCs w:val="20"/>
              </w:rPr>
              <w:t xml:space="preserve">Rejection requires mandatory reason. Approved requests auto-generate loan agreement PDF for e-signature.</w:t>
            </w:r>
          </w:p>
        </w:tc>
      </w:tr>
      <w:tr>
        <w:tc>
          <w:tcPr>
            <w:tcW w:type="dxa" w:w="54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35BFF"/>
                <w:sz w:val="20"/>
                <w:szCs w:val="20"/>
              </w:rPr>
              <w:t xml:space="preserve">5</w:t>
            </w:r>
          </w:p>
        </w:tc>
        <w:tc>
          <w:tcPr>
            <w:tcW w:type="dxa" w:w="144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Operations</w:t>
            </w:r>
          </w:p>
        </w:tc>
        <w:tc>
          <w:tcPr>
            <w:tcW w:type="dxa" w:w="304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Allocates, installs, registers asset</w:t>
            </w:r>
          </w:p>
        </w:tc>
        <w:tc>
          <w:tcPr>
            <w:tcW w:type="dxa" w:w="434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25466"/>
                <w:sz w:val="20"/>
                <w:szCs w:val="20"/>
              </w:rPr>
              <w:t xml:space="preserve">Dispenser serial number mandatory. Installation photo required before asset goes live in register.</w:t>
            </w:r>
          </w:p>
        </w:tc>
      </w:tr>
      <w:tr>
        <w:tc>
          <w:tcPr>
            <w:tcW w:type="dxa" w:w="54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35BFF"/>
                <w:sz w:val="20"/>
                <w:szCs w:val="20"/>
              </w:rPr>
              <w:t xml:space="preserve">6</w:t>
            </w:r>
          </w:p>
        </w:tc>
        <w:tc>
          <w:tcPr>
            <w:tcW w:type="dxa" w:w="144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System</w:t>
            </w:r>
          </w:p>
        </w:tc>
        <w:tc>
          <w:tcPr>
            <w:tcW w:type="dxa" w:w="304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Monthly volume vs commitment review</w:t>
            </w:r>
          </w:p>
        </w:tc>
        <w:tc>
          <w:tcPr>
            <w:tcW w:type="dxa" w:w="434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25466"/>
                <w:sz w:val="20"/>
                <w:szCs w:val="20"/>
              </w:rPr>
              <w:t xml:space="preserve">Auto-flag if actual purchases &lt; 80% of committed volume for 2 consecutive months</w:t>
            </w:r>
          </w:p>
        </w:tc>
      </w:tr>
      <w:tr>
        <w:tc>
          <w:tcPr>
            <w:tcW w:type="dxa" w:w="54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35BFF"/>
                <w:sz w:val="20"/>
                <w:szCs w:val="20"/>
              </w:rPr>
              <w:t xml:space="preserve">7</w:t>
            </w:r>
          </w:p>
        </w:tc>
        <w:tc>
          <w:tcPr>
            <w:tcW w:type="dxa" w:w="144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Manager</w:t>
            </w:r>
          </w:p>
        </w:tc>
        <w:tc>
          <w:tcPr>
            <w:tcW w:type="dxa" w:w="304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Corrective action or recall</w:t>
            </w:r>
          </w:p>
        </w:tc>
        <w:tc>
          <w:tcPr>
            <w:tcW w:type="dxa" w:w="434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25466"/>
                <w:sz w:val="20"/>
                <w:szCs w:val="20"/>
              </w:rPr>
              <w:t xml:space="preserve">Recall workflow: rep notified → customer notified → collection scheduled → asset status updated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35BFF" w:sz="4" w:space="6"/>
        </w:pBdr>
        <w:spacing w:after="120" w:before="320"/>
      </w:pPr>
      <w:r>
        <w:rPr>
          <w:rFonts w:ascii="Calibri" w:cs="Calibri" w:eastAsia="Calibri" w:hAnsi="Calibri"/>
          <w:b/>
          <w:bCs/>
          <w:color w:val="0A2540"/>
          <w:sz w:val="36"/>
          <w:szCs w:val="36"/>
        </w:rPr>
        <w:t xml:space="preserve">6. 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8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7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API response time (p95)</w:t>
            </w:r>
          </w:p>
        </w:tc>
        <w:tc>
          <w:tcPr>
            <w:tcW w:type="dxa" w:w="1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&lt; 400 ms</w:t>
            </w:r>
          </w:p>
        </w:tc>
        <w:tc>
          <w:tcPr>
            <w:tcW w:type="dxa" w:w="27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Field reps on 3G connections need fast responses</w:t>
            </w:r>
          </w:p>
        </w:tc>
      </w:tr>
      <w:tr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Dashboard initial load</w:t>
            </w:r>
          </w:p>
        </w:tc>
        <w:tc>
          <w:tcPr>
            <w:tcW w:type="dxa" w:w="1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&lt; 2.5 s on 10Mbps</w:t>
            </w:r>
          </w:p>
        </w:tc>
        <w:tc>
          <w:tcPr>
            <w:tcW w:type="dxa" w:w="27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Manager UX benchmark</w:t>
            </w:r>
          </w:p>
        </w:tc>
      </w:tr>
      <w:tr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2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Platform uptime</w:t>
            </w:r>
          </w:p>
        </w:tc>
        <w:tc>
          <w:tcPr>
            <w:tcW w:type="dxa" w:w="1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≥ 99.5% (monthly)</w:t>
            </w:r>
          </w:p>
        </w:tc>
        <w:tc>
          <w:tcPr>
            <w:tcW w:type="dxa" w:w="27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Business-critical ordering system</w:t>
            </w:r>
          </w:p>
        </w:tc>
      </w:tr>
      <w:tr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Offline</w:t>
            </w:r>
          </w:p>
        </w:tc>
        <w:tc>
          <w:tcPr>
            <w:tcW w:type="dxa" w:w="2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Mobile offline capability</w:t>
            </w:r>
          </w:p>
        </w:tc>
        <w:tc>
          <w:tcPr>
            <w:tcW w:type="dxa" w:w="1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100% core workflows</w:t>
            </w:r>
          </w:p>
        </w:tc>
        <w:tc>
          <w:tcPr>
            <w:tcW w:type="dxa" w:w="27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Field rep connectivity is unreliable</w:t>
            </w:r>
          </w:p>
        </w:tc>
      </w:tr>
      <w:tr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Offline</w:t>
            </w:r>
          </w:p>
        </w:tc>
        <w:tc>
          <w:tcPr>
            <w:tcW w:type="dxa" w:w="2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Sync conflict resolution</w:t>
            </w:r>
          </w:p>
        </w:tc>
        <w:tc>
          <w:tcPr>
            <w:tcW w:type="dxa" w:w="1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Last-write-wins + manager override</w:t>
            </w:r>
          </w:p>
        </w:tc>
        <w:tc>
          <w:tcPr>
            <w:tcW w:type="dxa" w:w="27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Prevent data loss on reconnect</w:t>
            </w:r>
          </w:p>
        </w:tc>
      </w:tr>
      <w:tr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Security</w:t>
            </w:r>
          </w:p>
        </w:tc>
        <w:tc>
          <w:tcPr>
            <w:tcW w:type="dxa" w:w="2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1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OAuth 2.0 + MFA for managers</w:t>
            </w:r>
          </w:p>
        </w:tc>
        <w:tc>
          <w:tcPr>
            <w:tcW w:type="dxa" w:w="27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Protect financial and customer data</w:t>
            </w:r>
          </w:p>
        </w:tc>
      </w:tr>
      <w:tr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Security</w:t>
            </w:r>
          </w:p>
        </w:tc>
        <w:tc>
          <w:tcPr>
            <w:tcW w:type="dxa" w:w="2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Data at rest</w:t>
            </w:r>
          </w:p>
        </w:tc>
        <w:tc>
          <w:tcPr>
            <w:tcW w:type="dxa" w:w="1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AES-256 encryption</w:t>
            </w:r>
          </w:p>
        </w:tc>
        <w:tc>
          <w:tcPr>
            <w:tcW w:type="dxa" w:w="27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Regulatory and client requirement</w:t>
            </w:r>
          </w:p>
        </w:tc>
      </w:tr>
      <w:tr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Security</w:t>
            </w:r>
          </w:p>
        </w:tc>
        <w:tc>
          <w:tcPr>
            <w:tcW w:type="dxa" w:w="2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Data in transit</w:t>
            </w:r>
          </w:p>
        </w:tc>
        <w:tc>
          <w:tcPr>
            <w:tcW w:type="dxa" w:w="1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TLS 1.3 minimum</w:t>
            </w:r>
          </w:p>
        </w:tc>
        <w:tc>
          <w:tcPr>
            <w:tcW w:type="dxa" w:w="27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All API and web traffic</w:t>
            </w:r>
          </w:p>
        </w:tc>
      </w:tr>
      <w:tr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Data residency</w:t>
            </w:r>
          </w:p>
        </w:tc>
        <w:tc>
          <w:tcPr>
            <w:tcW w:type="dxa" w:w="2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Hosting region</w:t>
            </w:r>
          </w:p>
        </w:tc>
        <w:tc>
          <w:tcPr>
            <w:tcW w:type="dxa" w:w="1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AWS af-south-1 (Johannesburg)</w:t>
            </w:r>
          </w:p>
        </w:tc>
        <w:tc>
          <w:tcPr>
            <w:tcW w:type="dxa" w:w="27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Kenya/EA customer data compliance</w:t>
            </w:r>
          </w:p>
        </w:tc>
      </w:tr>
      <w:tr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2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Concurrent users</w:t>
            </w:r>
          </w:p>
        </w:tc>
        <w:tc>
          <w:tcPr>
            <w:tcW w:type="dxa" w:w="1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500 simultaneous (Phase 1)</w:t>
            </w:r>
          </w:p>
        </w:tc>
        <w:tc>
          <w:tcPr>
            <w:tcW w:type="dxa" w:w="27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KimFay field team + managers</w:t>
            </w:r>
          </w:p>
        </w:tc>
      </w:tr>
      <w:tr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Mobile</w:t>
            </w:r>
          </w:p>
        </w:tc>
        <w:tc>
          <w:tcPr>
            <w:tcW w:type="dxa" w:w="2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Platform support</w:t>
            </w:r>
          </w:p>
        </w:tc>
        <w:tc>
          <w:tcPr>
            <w:tcW w:type="dxa" w:w="1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Android 10+ / iOS 15+</w:t>
            </w:r>
          </w:p>
        </w:tc>
        <w:tc>
          <w:tcPr>
            <w:tcW w:type="dxa" w:w="27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Covers 95%+ of EA devices in use</w:t>
            </w:r>
          </w:p>
        </w:tc>
      </w:tr>
      <w:tr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2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WCAG compliance</w:t>
            </w:r>
          </w:p>
        </w:tc>
        <w:tc>
          <w:tcPr>
            <w:tcW w:type="dxa" w:w="1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Level AA (web dashboard)</w:t>
            </w:r>
          </w:p>
        </w:tc>
        <w:tc>
          <w:tcPr>
            <w:tcW w:type="dxa" w:w="27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Enterprise procurement requirement</w:t>
            </w:r>
          </w:p>
        </w:tc>
      </w:tr>
    </w:tbl>
    <w:p>
      <w:pPr>
        <w:pBdr>
          <w:bottom w:val="single" w:color="E0E6EB" w:sz="2" w:space="1"/>
        </w:pBd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1"/>
        <w:pBdr>
          <w:bottom w:val="single" w:color="635BFF" w:sz="4" w:space="6"/>
        </w:pBdr>
        <w:spacing w:after="120" w:before="320"/>
      </w:pPr>
      <w:r>
        <w:rPr>
          <w:rFonts w:ascii="Calibri" w:cs="Calibri" w:eastAsia="Calibri" w:hAnsi="Calibri"/>
          <w:b/>
          <w:bCs/>
          <w:color w:val="0A2540"/>
          <w:sz w:val="36"/>
          <w:szCs w:val="36"/>
        </w:rPr>
        <w:t xml:space="preserve">7.  UI Design Principles — Stripe Inspired</w:t>
      </w:r>
    </w:p>
    <w:p>
      <w:pPr>
        <w:spacing w:after="80" w:before="120"/>
        <w:jc w:val="left"/>
      </w:pPr>
      <w:r>
        <w:rPr>
          <w:rFonts w:ascii="Calibri" w:cs="Calibri" w:eastAsia="Calibri" w:hAnsi="Calibri"/>
          <w:b w:val="false"/>
          <w:bCs w:val="false"/>
          <w:color w:val="0A2540"/>
          <w:sz w:val="22"/>
          <w:szCs w:val="22"/>
        </w:rPr>
        <w:t xml:space="preserve">The HorecaOS interface is inspired by Stripe's dashboard aesthetic: data-first, minimal chrome, generous white space, and a strong typographic hierarchy. The design should feel native to a professional B2B context — not a consumer app.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A2540"/>
          <w:sz w:val="28"/>
          <w:szCs w:val="28"/>
        </w:rPr>
        <w:t xml:space="preserve">7.1  Design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ourier New" w:cs="Courier New" w:eastAsia="Courier New" w:hAnsi="Courier New"/>
                <w:color w:val="635BFF"/>
                <w:sz w:val="19"/>
                <w:szCs w:val="19"/>
              </w:rPr>
              <w:t xml:space="preserve">--color-ink</w:t>
            </w:r>
          </w:p>
        </w:tc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425466"/>
                <w:sz w:val="20"/>
                <w:szCs w:val="20"/>
              </w:rPr>
              <w:t xml:space="preserve">#0A2540</w:t>
            </w:r>
          </w:p>
        </w:tc>
        <w:tc>
          <w:tcPr>
            <w:tcW w:type="dxa" w:w="53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Deep navy — primary text, headings, table headers</w:t>
            </w:r>
          </w:p>
        </w:tc>
      </w:tr>
      <w:tr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ourier New" w:cs="Courier New" w:eastAsia="Courier New" w:hAnsi="Courier New"/>
                <w:color w:val="635BFF"/>
                <w:sz w:val="19"/>
                <w:szCs w:val="19"/>
              </w:rPr>
              <w:t xml:space="preserve">--color-accent</w:t>
            </w:r>
          </w:p>
        </w:tc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425466"/>
                <w:sz w:val="20"/>
                <w:szCs w:val="20"/>
              </w:rPr>
              <w:t xml:space="preserve">#635BFF</w:t>
            </w:r>
          </w:p>
        </w:tc>
        <w:tc>
          <w:tcPr>
            <w:tcW w:type="dxa" w:w="53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Stripe purple — CTAs, active nav, hyperlinks, chart highlights</w:t>
            </w:r>
          </w:p>
        </w:tc>
      </w:tr>
      <w:tr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ourier New" w:cs="Courier New" w:eastAsia="Courier New" w:hAnsi="Courier New"/>
                <w:color w:val="635BFF"/>
                <w:sz w:val="19"/>
                <w:szCs w:val="19"/>
              </w:rPr>
              <w:t xml:space="preserve">--color-mid</w:t>
            </w:r>
          </w:p>
        </w:tc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425466"/>
                <w:sz w:val="20"/>
                <w:szCs w:val="20"/>
              </w:rPr>
              <w:t xml:space="preserve">#425466</w:t>
            </w:r>
          </w:p>
        </w:tc>
        <w:tc>
          <w:tcPr>
            <w:tcW w:type="dxa" w:w="53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Secondary body text and supporting labels</w:t>
            </w:r>
          </w:p>
        </w:tc>
      </w:tr>
      <w:tr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ourier New" w:cs="Courier New" w:eastAsia="Courier New" w:hAnsi="Courier New"/>
                <w:color w:val="635BFF"/>
                <w:sz w:val="19"/>
                <w:szCs w:val="19"/>
              </w:rPr>
              <w:t xml:space="preserve">--color-muted</w:t>
            </w:r>
          </w:p>
        </w:tc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425466"/>
                <w:sz w:val="20"/>
                <w:szCs w:val="20"/>
              </w:rPr>
              <w:t xml:space="preserve">#8792A2</w:t>
            </w:r>
          </w:p>
        </w:tc>
        <w:tc>
          <w:tcPr>
            <w:tcW w:type="dxa" w:w="53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Placeholder, helper text, disabled states</w:t>
            </w:r>
          </w:p>
        </w:tc>
      </w:tr>
      <w:tr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ourier New" w:cs="Courier New" w:eastAsia="Courier New" w:hAnsi="Courier New"/>
                <w:color w:val="635BFF"/>
                <w:sz w:val="19"/>
                <w:szCs w:val="19"/>
              </w:rPr>
              <w:t xml:space="preserve">--color-bg</w:t>
            </w:r>
          </w:p>
        </w:tc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425466"/>
                <w:sz w:val="20"/>
                <w:szCs w:val="20"/>
              </w:rPr>
              <w:t xml:space="preserve">#F6F9FC</w:t>
            </w:r>
          </w:p>
        </w:tc>
        <w:tc>
          <w:tcPr>
            <w:tcW w:type="dxa" w:w="53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Page background — off-white tint, never pure white</w:t>
            </w:r>
          </w:p>
        </w:tc>
      </w:tr>
      <w:tr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ourier New" w:cs="Courier New" w:eastAsia="Courier New" w:hAnsi="Courier New"/>
                <w:color w:val="635BFF"/>
                <w:sz w:val="19"/>
                <w:szCs w:val="19"/>
              </w:rPr>
              <w:t xml:space="preserve">--color-success</w:t>
            </w:r>
          </w:p>
        </w:tc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425466"/>
                <w:sz w:val="20"/>
                <w:szCs w:val="20"/>
              </w:rPr>
              <w:t xml:space="preserve">#0EA67F</w:t>
            </w:r>
          </w:p>
        </w:tc>
        <w:tc>
          <w:tcPr>
            <w:tcW w:type="dxa" w:w="53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Positive KPIs, paid status, approved badges</w:t>
            </w:r>
          </w:p>
        </w:tc>
      </w:tr>
      <w:tr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ourier New" w:cs="Courier New" w:eastAsia="Courier New" w:hAnsi="Courier New"/>
                <w:color w:val="635BFF"/>
                <w:sz w:val="19"/>
                <w:szCs w:val="19"/>
              </w:rPr>
              <w:t xml:space="preserve">--color-warning</w:t>
            </w:r>
          </w:p>
        </w:tc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425466"/>
                <w:sz w:val="20"/>
                <w:szCs w:val="20"/>
              </w:rPr>
              <w:t xml:space="preserve">#E2872B</w:t>
            </w:r>
          </w:p>
        </w:tc>
        <w:tc>
          <w:tcPr>
            <w:tcW w:type="dxa" w:w="53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Pending states, at-risk alerts, FOL under-review</w:t>
            </w:r>
          </w:p>
        </w:tc>
      </w:tr>
      <w:tr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ourier New" w:cs="Courier New" w:eastAsia="Courier New" w:hAnsi="Courier New"/>
                <w:color w:val="635BFF"/>
                <w:sz w:val="19"/>
                <w:szCs w:val="19"/>
              </w:rPr>
              <w:t xml:space="preserve">--color-danger</w:t>
            </w:r>
          </w:p>
        </w:tc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425466"/>
                <w:sz w:val="20"/>
                <w:szCs w:val="20"/>
              </w:rPr>
              <w:t xml:space="preserve">#DF1B41</w:t>
            </w:r>
          </w:p>
        </w:tc>
        <w:tc>
          <w:tcPr>
            <w:tcW w:type="dxa" w:w="53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Overdue payments, rejected approvals, recall alerts</w:t>
            </w:r>
          </w:p>
        </w:tc>
      </w:tr>
      <w:tr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ourier New" w:cs="Courier New" w:eastAsia="Courier New" w:hAnsi="Courier New"/>
                <w:color w:val="635BFF"/>
                <w:sz w:val="19"/>
                <w:szCs w:val="19"/>
              </w:rPr>
              <w:t xml:space="preserve">--radius-card</w:t>
            </w:r>
          </w:p>
        </w:tc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425466"/>
                <w:sz w:val="20"/>
                <w:szCs w:val="20"/>
              </w:rPr>
              <w:t xml:space="preserve">8px</w:t>
            </w:r>
          </w:p>
        </w:tc>
        <w:tc>
          <w:tcPr>
            <w:tcW w:type="dxa" w:w="53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All cards, modals, table cells</w:t>
            </w:r>
          </w:p>
        </w:tc>
      </w:tr>
      <w:tr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ourier New" w:cs="Courier New" w:eastAsia="Courier New" w:hAnsi="Courier New"/>
                <w:color w:val="635BFF"/>
                <w:sz w:val="19"/>
                <w:szCs w:val="19"/>
              </w:rPr>
              <w:t xml:space="preserve">--radius-badge</w:t>
            </w:r>
          </w:p>
        </w:tc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color w:val="425466"/>
                <w:sz w:val="20"/>
                <w:szCs w:val="20"/>
              </w:rPr>
              <w:t xml:space="preserve">4px</w:t>
            </w:r>
          </w:p>
        </w:tc>
        <w:tc>
          <w:tcPr>
            <w:tcW w:type="dxa" w:w="53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Status badges and inline tags</w:t>
            </w:r>
          </w:p>
        </w:tc>
      </w:tr>
    </w:tbl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A2540"/>
          <w:sz w:val="28"/>
          <w:szCs w:val="28"/>
        </w:rPr>
        <w:t xml:space="preserve">7.2  Layout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Navigation — left sidebar (web), bottom tab bar (mobile). Max 7 items. Active item uses accent colour underline, not a filled pill.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Content width — max 1200px centred. Sidebar 240px fixed. Right gutter 24px min.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Tables — 0.5px hairline borders (#E0E6EB), alternating row fill (#F6F9FC / white), header row ink (#0A2540) with white 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Cards — white background, 0.5px border, 8px radius, 16px internal padding. No drop shadows on cards in list context.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Typography — Calibri / Inter as web font. H1 36px / 500, H2 28px / 500, body 16px / 400, label 13px / 500 uppercase.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Status badges — colour-coded pill: green (paid/approved), amber (pending/review), red (overdue/rejected), purple (draft). Max 2 words.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Empty states — always show an actionable message and a primary CTA. Never show a blank 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Loading states — skeleton loaders (not spinners) for table rows and KPI cards.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A2540"/>
          <w:sz w:val="28"/>
          <w:szCs w:val="28"/>
        </w:rPr>
        <w:t xml:space="preserve">7.3  Mobile-Specific Rules (Flutter)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Bottom navigation: 4 tabs — Home (PJP today), Orders, Payments, More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Meeting capture — full-screen card flow, one field per screen, large touch targets (min 48dp)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Offline indicator — persistent amber banner when device is offline; auto-dismisses on reconnect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GPS chip — always visible in top-right corner during active meeting; green = locked, amber = acquiring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Camera integration — photo capture for meeting evidence, dispenser installation, and cheque collection</w:t>
      </w:r>
    </w:p>
    <w:p>
      <w:r>
        <w:br w:type="page"/>
      </w:r>
    </w:p>
    <w:p>
      <w:pPr>
        <w:pStyle w:val="Heading1"/>
        <w:pBdr>
          <w:bottom w:val="single" w:color="635BFF" w:sz="4" w:space="6"/>
        </w:pBdr>
        <w:spacing w:after="120" w:before="320"/>
      </w:pPr>
      <w:r>
        <w:rPr>
          <w:rFonts w:ascii="Calibri" w:cs="Calibri" w:eastAsia="Calibri" w:hAnsi="Calibri"/>
          <w:b/>
          <w:bCs/>
          <w:color w:val="0A2540"/>
          <w:sz w:val="36"/>
          <w:szCs w:val="36"/>
        </w:rPr>
        <w:t xml:space="preserve">8.  Product Catalogue — HORECA Presentation</w:t>
      </w:r>
    </w:p>
    <w:p>
      <w:pPr>
        <w:spacing w:after="80" w:before="120"/>
        <w:jc w:val="left"/>
      </w:pPr>
      <w:r>
        <w:rPr>
          <w:rFonts w:ascii="Calibri" w:cs="Calibri" w:eastAsia="Calibri" w:hAnsi="Calibri"/>
          <w:b w:val="false"/>
          <w:bCs w:val="false"/>
          <w:color w:val="0A2540"/>
          <w:sz w:val="22"/>
          <w:szCs w:val="22"/>
        </w:rPr>
        <w:t xml:space="preserve">The product catalogue is a key commercial module — it presents SKUs with HORECA-specific context (use case, venue type, minimum order, FOL eligibility) rather than as a generic price list.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1680"/>
        <w:gridCol w:w="1480"/>
      </w:tblGrid>
      <w:tr>
        <w:trPr>
          <w:tblHeader/>
        </w:trPr>
        <w:tc>
          <w:tcPr>
            <w:tcW w:type="dxa" w:w="1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22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SKU Variants</w:t>
            </w:r>
          </w:p>
        </w:tc>
        <w:tc>
          <w:tcPr>
            <w:tcW w:type="dxa" w:w="168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HORECA Use Case</w:t>
            </w:r>
          </w:p>
        </w:tc>
        <w:tc>
          <w:tcPr>
            <w:tcW w:type="dxa" w:w="148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FOL Eligible</w:t>
            </w:r>
          </w:p>
        </w:tc>
      </w:tr>
      <w:tr>
        <w:tc>
          <w:tcPr>
            <w:tcW w:type="dxa" w:w="1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19"/>
                <w:szCs w:val="19"/>
              </w:rPr>
              <w:t xml:space="preserve">Tissue &amp; Hygiene</w:t>
            </w:r>
          </w:p>
        </w:tc>
        <w:tc>
          <w:tcPr>
            <w:tcW w:type="dxa" w:w="22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19"/>
                <w:szCs w:val="19"/>
              </w:rPr>
              <w:t xml:space="preserve">Fay Toilet Tissue</w:t>
            </w:r>
          </w:p>
        </w:tc>
        <w:tc>
          <w:tcPr>
            <w:tcW w:type="dxa" w:w="22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25466"/>
                <w:sz w:val="18"/>
                <w:szCs w:val="18"/>
              </w:rPr>
              <w:t xml:space="preserve">2-ply 400s · 1-ply 850s · Jumbo roll 500m · Interleaved (dispenser)</w:t>
            </w:r>
          </w:p>
        </w:tc>
        <w:tc>
          <w:tcPr>
            <w:tcW w:type="dxa" w:w="168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25466"/>
                <w:sz w:val="18"/>
                <w:szCs w:val="18"/>
              </w:rPr>
              <w:t xml:space="preserve">Hotel rooms, staff restrooms, conference centres</w:t>
            </w:r>
          </w:p>
        </w:tc>
        <w:tc>
          <w:tcPr>
            <w:tcW w:type="dxa" w:w="148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A67F"/>
                <w:sz w:val="20"/>
                <w:szCs w:val="20"/>
              </w:rPr>
              <w:t xml:space="preserve">✓ (Jumbo / Interleaved)</w:t>
            </w:r>
          </w:p>
        </w:tc>
      </w:tr>
      <w:tr>
        <w:tc>
          <w:tcPr>
            <w:tcW w:type="dxa" w:w="1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19"/>
                <w:szCs w:val="19"/>
              </w:rPr>
              <w:t xml:space="preserve">Kitchen &amp; Table</w:t>
            </w:r>
          </w:p>
        </w:tc>
        <w:tc>
          <w:tcPr>
            <w:tcW w:type="dxa" w:w="22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19"/>
                <w:szCs w:val="19"/>
              </w:rPr>
              <w:t xml:space="preserve">Kitchen Towels</w:t>
            </w:r>
          </w:p>
        </w:tc>
        <w:tc>
          <w:tcPr>
            <w:tcW w:type="dxa" w:w="22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25466"/>
                <w:sz w:val="18"/>
                <w:szCs w:val="18"/>
              </w:rPr>
              <w:t xml:space="preserve">Kitchen roll 2-ply · Auto-cut roll · C-fold interleaved</w:t>
            </w:r>
          </w:p>
        </w:tc>
        <w:tc>
          <w:tcPr>
            <w:tcW w:type="dxa" w:w="168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25466"/>
                <w:sz w:val="18"/>
                <w:szCs w:val="18"/>
              </w:rPr>
              <w:t xml:space="preserve">Commercial kitchens, catering, QSR</w:t>
            </w:r>
          </w:p>
        </w:tc>
        <w:tc>
          <w:tcPr>
            <w:tcW w:type="dxa" w:w="148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A67F"/>
                <w:sz w:val="20"/>
                <w:szCs w:val="20"/>
              </w:rPr>
              <w:t xml:space="preserve">✓ (Auto-cut dispenser)</w:t>
            </w:r>
          </w:p>
        </w:tc>
      </w:tr>
      <w:tr>
        <w:tc>
          <w:tcPr>
            <w:tcW w:type="dxa" w:w="1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19"/>
                <w:szCs w:val="19"/>
              </w:rPr>
              <w:t xml:space="preserve">Kitchen &amp; Table</w:t>
            </w:r>
          </w:p>
        </w:tc>
        <w:tc>
          <w:tcPr>
            <w:tcW w:type="dxa" w:w="22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19"/>
                <w:szCs w:val="19"/>
              </w:rPr>
              <w:t xml:space="preserve">Serviettes</w:t>
            </w:r>
          </w:p>
        </w:tc>
        <w:tc>
          <w:tcPr>
            <w:tcW w:type="dxa" w:w="22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25466"/>
                <w:sz w:val="18"/>
                <w:szCs w:val="18"/>
              </w:rPr>
              <w:t xml:space="preserve">1/4-fold cocktail · 1/8-fold dinner · Airlaid premium</w:t>
            </w:r>
          </w:p>
        </w:tc>
        <w:tc>
          <w:tcPr>
            <w:tcW w:type="dxa" w:w="168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25466"/>
                <w:sz w:val="18"/>
                <w:szCs w:val="18"/>
              </w:rPr>
              <w:t xml:space="preserve">Restaurants, banquets, in-flight catering</w:t>
            </w:r>
          </w:p>
        </w:tc>
        <w:tc>
          <w:tcPr>
            <w:tcW w:type="dxa" w:w="148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792A2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19"/>
                <w:szCs w:val="19"/>
              </w:rPr>
              <w:t xml:space="preserve">Guest Amenities</w:t>
            </w:r>
          </w:p>
        </w:tc>
        <w:tc>
          <w:tcPr>
            <w:tcW w:type="dxa" w:w="22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19"/>
                <w:szCs w:val="19"/>
              </w:rPr>
              <w:t xml:space="preserve">Facial Tissue</w:t>
            </w:r>
          </w:p>
        </w:tc>
        <w:tc>
          <w:tcPr>
            <w:tcW w:type="dxa" w:w="22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25466"/>
                <w:sz w:val="18"/>
                <w:szCs w:val="18"/>
              </w:rPr>
              <w:t xml:space="preserve">2-ply box 100s · Flat pack 200s</w:t>
            </w:r>
          </w:p>
        </w:tc>
        <w:tc>
          <w:tcPr>
            <w:tcW w:type="dxa" w:w="168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25466"/>
                <w:sz w:val="18"/>
                <w:szCs w:val="18"/>
              </w:rPr>
              <w:t xml:space="preserve">Hotel rooms, lounges, spa</w:t>
            </w:r>
          </w:p>
        </w:tc>
        <w:tc>
          <w:tcPr>
            <w:tcW w:type="dxa" w:w="148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792A2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19"/>
                <w:szCs w:val="19"/>
              </w:rPr>
              <w:t xml:space="preserve">Guest Amenities</w:t>
            </w:r>
          </w:p>
        </w:tc>
        <w:tc>
          <w:tcPr>
            <w:tcW w:type="dxa" w:w="22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19"/>
                <w:szCs w:val="19"/>
              </w:rPr>
              <w:t xml:space="preserve">Pocket Handkerchiefs</w:t>
            </w:r>
          </w:p>
        </w:tc>
        <w:tc>
          <w:tcPr>
            <w:tcW w:type="dxa" w:w="22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25466"/>
                <w:sz w:val="18"/>
                <w:szCs w:val="18"/>
              </w:rPr>
              <w:t xml:space="preserve">Pack of 10 · Single pocket pack</w:t>
            </w:r>
          </w:p>
        </w:tc>
        <w:tc>
          <w:tcPr>
            <w:tcW w:type="dxa" w:w="168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25466"/>
                <w:sz w:val="18"/>
                <w:szCs w:val="18"/>
              </w:rPr>
              <w:t xml:space="preserve">Minibar, concierge gifting</w:t>
            </w:r>
          </w:p>
        </w:tc>
        <w:tc>
          <w:tcPr>
            <w:tcW w:type="dxa" w:w="148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792A2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19"/>
                <w:szCs w:val="19"/>
              </w:rPr>
              <w:t xml:space="preserve">Guest Amenities</w:t>
            </w:r>
          </w:p>
        </w:tc>
        <w:tc>
          <w:tcPr>
            <w:tcW w:type="dxa" w:w="22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19"/>
                <w:szCs w:val="19"/>
              </w:rPr>
              <w:t xml:space="preserve">Hand Towels</w:t>
            </w:r>
          </w:p>
        </w:tc>
        <w:tc>
          <w:tcPr>
            <w:tcW w:type="dxa" w:w="22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25466"/>
                <w:sz w:val="18"/>
                <w:szCs w:val="18"/>
              </w:rPr>
              <w:t xml:space="preserve">C-fold · Multifold · Roll</w:t>
            </w:r>
          </w:p>
        </w:tc>
        <w:tc>
          <w:tcPr>
            <w:tcW w:type="dxa" w:w="168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25466"/>
                <w:sz w:val="18"/>
                <w:szCs w:val="18"/>
              </w:rPr>
              <w:t xml:space="preserve">Hotel bathrooms, gym, spa</w:t>
            </w:r>
          </w:p>
        </w:tc>
        <w:tc>
          <w:tcPr>
            <w:tcW w:type="dxa" w:w="148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A67F"/>
                <w:sz w:val="20"/>
                <w:szCs w:val="20"/>
              </w:rPr>
              <w:t xml:space="preserve">✓ (Dispenser)</w:t>
            </w:r>
          </w:p>
        </w:tc>
      </w:tr>
      <w:tr>
        <w:tc>
          <w:tcPr>
            <w:tcW w:type="dxa" w:w="1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19"/>
                <w:szCs w:val="19"/>
              </w:rPr>
              <w:t xml:space="preserve">Food Packaging</w:t>
            </w:r>
          </w:p>
        </w:tc>
        <w:tc>
          <w:tcPr>
            <w:tcW w:type="dxa" w:w="22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19"/>
                <w:szCs w:val="19"/>
              </w:rPr>
              <w:t xml:space="preserve">Aluminium Foil</w:t>
            </w:r>
          </w:p>
        </w:tc>
        <w:tc>
          <w:tcPr>
            <w:tcW w:type="dxa" w:w="22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25466"/>
                <w:sz w:val="18"/>
                <w:szCs w:val="18"/>
              </w:rPr>
              <w:t xml:space="preserve">18µm / 24µm rolls · 30cm / 45cm width</w:t>
            </w:r>
          </w:p>
        </w:tc>
        <w:tc>
          <w:tcPr>
            <w:tcW w:type="dxa" w:w="168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25466"/>
                <w:sz w:val="18"/>
                <w:szCs w:val="18"/>
              </w:rPr>
              <w:t xml:space="preserve">Kitchens, bakeries, catering</w:t>
            </w:r>
          </w:p>
        </w:tc>
        <w:tc>
          <w:tcPr>
            <w:tcW w:type="dxa" w:w="148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792A2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19"/>
                <w:szCs w:val="19"/>
              </w:rPr>
              <w:t xml:space="preserve">Food Packaging</w:t>
            </w:r>
          </w:p>
        </w:tc>
        <w:tc>
          <w:tcPr>
            <w:tcW w:type="dxa" w:w="22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19"/>
                <w:szCs w:val="19"/>
              </w:rPr>
              <w:t xml:space="preserve">Cling Film</w:t>
            </w:r>
          </w:p>
        </w:tc>
        <w:tc>
          <w:tcPr>
            <w:tcW w:type="dxa" w:w="22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25466"/>
                <w:sz w:val="18"/>
                <w:szCs w:val="18"/>
              </w:rPr>
              <w:t xml:space="preserve">45cm standard · 60cm wide catering · Pre-cut sheets</w:t>
            </w:r>
          </w:p>
        </w:tc>
        <w:tc>
          <w:tcPr>
            <w:tcW w:type="dxa" w:w="168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25466"/>
                <w:sz w:val="18"/>
                <w:szCs w:val="18"/>
              </w:rPr>
              <w:t xml:space="preserve">Food storage, deli counters</w:t>
            </w:r>
          </w:p>
        </w:tc>
        <w:tc>
          <w:tcPr>
            <w:tcW w:type="dxa" w:w="148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792A2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19"/>
                <w:szCs w:val="19"/>
              </w:rPr>
              <w:t xml:space="preserve">Cleaning &amp; Sanitisation</w:t>
            </w:r>
          </w:p>
        </w:tc>
        <w:tc>
          <w:tcPr>
            <w:tcW w:type="dxa" w:w="22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19"/>
                <w:szCs w:val="19"/>
              </w:rPr>
              <w:t xml:space="preserve">Wet Wipes — Food Safe</w:t>
            </w:r>
          </w:p>
        </w:tc>
        <w:tc>
          <w:tcPr>
            <w:tcW w:type="dxa" w:w="22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25466"/>
                <w:sz w:val="18"/>
                <w:szCs w:val="18"/>
              </w:rPr>
              <w:t xml:space="preserve">Antibacterial 72s · Sanitising 100s</w:t>
            </w:r>
          </w:p>
        </w:tc>
        <w:tc>
          <w:tcPr>
            <w:tcW w:type="dxa" w:w="168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25466"/>
                <w:sz w:val="18"/>
                <w:szCs w:val="18"/>
              </w:rPr>
              <w:t xml:space="preserve">Kitchen surfaces, food prep, tables</w:t>
            </w:r>
          </w:p>
        </w:tc>
        <w:tc>
          <w:tcPr>
            <w:tcW w:type="dxa" w:w="148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792A2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19"/>
                <w:szCs w:val="19"/>
              </w:rPr>
              <w:t xml:space="preserve">Protein (Partner)</w:t>
            </w:r>
          </w:p>
        </w:tc>
        <w:tc>
          <w:tcPr>
            <w:tcW w:type="dxa" w:w="22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19"/>
                <w:szCs w:val="19"/>
              </w:rPr>
              <w:t xml:space="preserve">Beef Cuts (QMP)</w:t>
            </w:r>
          </w:p>
        </w:tc>
        <w:tc>
          <w:tcPr>
            <w:tcW w:type="dxa" w:w="22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25466"/>
                <w:sz w:val="18"/>
                <w:szCs w:val="18"/>
              </w:rPr>
              <w:t xml:space="preserve">Primal · Portion-controlled · Minced</w:t>
            </w:r>
          </w:p>
        </w:tc>
        <w:tc>
          <w:tcPr>
            <w:tcW w:type="dxa" w:w="168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25466"/>
                <w:sz w:val="18"/>
                <w:szCs w:val="18"/>
              </w:rPr>
              <w:t xml:space="preserve">Hotels, restaurants, fast food</w:t>
            </w:r>
          </w:p>
        </w:tc>
        <w:tc>
          <w:tcPr>
            <w:tcW w:type="dxa" w:w="148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792A2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19"/>
                <w:szCs w:val="19"/>
              </w:rPr>
              <w:t xml:space="preserve">Protein (Partner)</w:t>
            </w:r>
          </w:p>
        </w:tc>
        <w:tc>
          <w:tcPr>
            <w:tcW w:type="dxa" w:w="22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A2540"/>
                <w:sz w:val="19"/>
                <w:szCs w:val="19"/>
              </w:rPr>
              <w:t xml:space="preserve">Sausages (Farmers Choice)</w:t>
            </w:r>
          </w:p>
        </w:tc>
        <w:tc>
          <w:tcPr>
            <w:tcW w:type="dxa" w:w="22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25466"/>
                <w:sz w:val="18"/>
                <w:szCs w:val="18"/>
              </w:rPr>
              <w:t xml:space="preserve">Pork · Beef · Chicken · Vegan</w:t>
            </w:r>
          </w:p>
        </w:tc>
        <w:tc>
          <w:tcPr>
            <w:tcW w:type="dxa" w:w="168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25466"/>
                <w:sz w:val="18"/>
                <w:szCs w:val="18"/>
              </w:rPr>
              <w:t xml:space="preserve">QSR, catering, supermarket deli</w:t>
            </w:r>
          </w:p>
        </w:tc>
        <w:tc>
          <w:tcPr>
            <w:tcW w:type="dxa" w:w="148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792A2"/>
                <w:sz w:val="20"/>
                <w:szCs w:val="20"/>
              </w:rPr>
              <w:t xml:space="preserve">–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35BFF" w:sz="4" w:space="6"/>
        </w:pBdr>
        <w:spacing w:after="120" w:before="320"/>
      </w:pPr>
      <w:r>
        <w:rPr>
          <w:rFonts w:ascii="Calibri" w:cs="Calibri" w:eastAsia="Calibri" w:hAnsi="Calibri"/>
          <w:b/>
          <w:bCs/>
          <w:color w:val="0A2540"/>
          <w:sz w:val="36"/>
          <w:szCs w:val="36"/>
        </w:rPr>
        <w:t xml:space="preserve">9.  Delivery Roadmap</w:t>
      </w:r>
    </w:p>
    <w:p>
      <w:pPr>
        <w:spacing w:after="80" w:before="120"/>
        <w:jc w:val="left"/>
      </w:pPr>
      <w:r>
        <w:rPr>
          <w:rFonts w:ascii="Calibri" w:cs="Calibri" w:eastAsia="Calibri" w:hAnsi="Calibri"/>
          <w:b w:val="false"/>
          <w:bCs w:val="false"/>
          <w:color w:val="0A2540"/>
          <w:sz w:val="22"/>
          <w:szCs w:val="22"/>
        </w:rPr>
        <w:t xml:space="preserve">Four phases structured to deliver business value early. Each phase gate requires stakeholder sign-off before proceeding.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6760"/>
      </w:tblGrid>
      <w:tr>
        <w:trPr>
          <w:tblHeader/>
        </w:trPr>
        <w:tc>
          <w:tcPr>
            <w:tcW w:type="dxa" w:w="1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67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635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>Foundation &amp; MVP</w:t>
            </w:r>
          </w:p>
        </w:tc>
        <w:tc>
          <w:tcPr>
            <w:tcW w:type="dxa" w:w="12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792A2"/>
                <w:sz w:val="20"/>
                <w:szCs w:val="20"/>
              </w:rPr>
              <w:t xml:space="preserve">Wks 1–8</w:t>
            </w:r>
          </w:p>
        </w:tc>
        <w:tc>
          <w:tcPr>
            <w:tcW w:type="dxa" w:w="67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0A2540"/>
                <w:sz w:val="22"/>
                <w:szCs w:val="22"/>
              </w:rPr>
              <w:t xml:space="preserve">User authentication, RBAC (rep / manager / sr. management / admin)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0A2540"/>
                <w:sz w:val="22"/>
                <w:szCs w:val="22"/>
              </w:rPr>
              <w:t xml:space="preserve">Customer master sync from ERP (read-only)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0A2540"/>
                <w:sz w:val="22"/>
                <w:szCs w:val="22"/>
              </w:rPr>
              <w:t xml:space="preserve">PJP engine — automated daily schedule per rep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0A2540"/>
                <w:sz w:val="22"/>
                <w:szCs w:val="22"/>
              </w:rPr>
              <w:t xml:space="preserve">Meeting capture module (4 questions, GPS check-in, action items)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0A2540"/>
                <w:sz w:val="22"/>
                <w:szCs w:val="22"/>
              </w:rPr>
              <w:t xml:space="preserve">Flutter mobile app — field rep MVP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0A2540"/>
                <w:sz w:val="22"/>
                <w:szCs w:val="22"/>
              </w:rPr>
              <w:t xml:space="preserve">Basic LPO order booking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0A2540"/>
                <w:sz w:val="22"/>
                <w:szCs w:val="22"/>
              </w:rPr>
              <w:t xml:space="preserve">Web dashboard shell — manager overview</w:t>
            </w:r>
          </w:p>
        </w:tc>
      </w:tr>
      <w:tr>
        <w:tc>
          <w:tcPr>
            <w:tcW w:type="dxa" w:w="1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0EA67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P2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>Orders &amp; Payments</w:t>
            </w:r>
          </w:p>
        </w:tc>
        <w:tc>
          <w:tcPr>
            <w:tcW w:type="dxa" w:w="12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792A2"/>
                <w:sz w:val="20"/>
                <w:szCs w:val="20"/>
              </w:rPr>
              <w:t xml:space="preserve">Wks 9–18</w:t>
            </w:r>
          </w:p>
        </w:tc>
        <w:tc>
          <w:tcPr>
            <w:tcW w:type="dxa" w:w="67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0A2540"/>
                <w:sz w:val="22"/>
                <w:szCs w:val="22"/>
              </w:rPr>
              <w:t xml:space="preserve">Full order lifecycle (suggestion → fulfilment tracking)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0A2540"/>
                <w:sz w:val="22"/>
                <w:szCs w:val="22"/>
              </w:rPr>
              <w:t xml:space="preserve">Back-order and account-on-hold handling (ERP sync)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0A2540"/>
                <w:sz w:val="22"/>
                <w:szCs w:val="22"/>
              </w:rPr>
              <w:t xml:space="preserve">Payment management module — aging dashboard, credit customers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0A2540"/>
                <w:sz w:val="22"/>
                <w:szCs w:val="22"/>
              </w:rPr>
              <w:t xml:space="preserve">Collection push (in-app promise-to-pay + SMS reminders)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0A2540"/>
                <w:sz w:val="22"/>
                <w:szCs w:val="22"/>
              </w:rPr>
              <w:t xml:space="preserve">Product catalogue with HORECA SKU variants and pricing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0A2540"/>
                <w:sz w:val="22"/>
                <w:szCs w:val="22"/>
              </w:rPr>
              <w:t xml:space="preserve">Route optimisation (Google Maps API integration)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0A2540"/>
                <w:sz w:val="22"/>
                <w:szCs w:val="22"/>
              </w:rPr>
              <w:t xml:space="preserve">Automated performance reports (meetings, orders, collections)</w:t>
            </w:r>
          </w:p>
        </w:tc>
      </w:tr>
      <w:tr>
        <w:tc>
          <w:tcPr>
            <w:tcW w:type="dxa" w:w="1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E287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P3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>Approvals &amp; Asset Mgmt</w:t>
            </w:r>
          </w:p>
        </w:tc>
        <w:tc>
          <w:tcPr>
            <w:tcW w:type="dxa" w:w="12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792A2"/>
                <w:sz w:val="20"/>
                <w:szCs w:val="20"/>
              </w:rPr>
              <w:t xml:space="preserve">Wks 19–28</w:t>
            </w:r>
          </w:p>
        </w:tc>
        <w:tc>
          <w:tcPr>
            <w:tcW w:type="dxa" w:w="67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0A2540"/>
                <w:sz w:val="22"/>
                <w:szCs w:val="22"/>
              </w:rPr>
              <w:t xml:space="preserve">Price change request workflow with approval chain and ERP write-back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0A2540"/>
                <w:sz w:val="22"/>
                <w:szCs w:val="22"/>
              </w:rPr>
              <w:t xml:space="preserve">FOL dispenser request, approval, asset registration, and recall workflow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0A2540"/>
                <w:sz w:val="22"/>
                <w:szCs w:val="22"/>
              </w:rPr>
              <w:t xml:space="preserve">Volume commitment monitoring (monthly automated review)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0A2540"/>
                <w:sz w:val="22"/>
                <w:szCs w:val="22"/>
              </w:rPr>
              <w:t xml:space="preserve">ERP integration — Sage Business Cloud, SAP B1, or Odoo 17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0A2540"/>
                <w:sz w:val="22"/>
                <w:szCs w:val="22"/>
              </w:rPr>
              <w:t xml:space="preserve">M-Pesa Daraja API payment collection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0A2540"/>
                <w:sz w:val="22"/>
                <w:szCs w:val="22"/>
              </w:rPr>
              <w:t xml:space="preserve">Advanced management reporting and export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0A2540"/>
                <w:sz w:val="22"/>
                <w:szCs w:val="22"/>
              </w:rPr>
              <w:t xml:space="preserve">Mobile app: camera integration for installation and evidence capture</w:t>
            </w:r>
          </w:p>
        </w:tc>
      </w:tr>
      <w:tr>
        <w:tc>
          <w:tcPr>
            <w:tcW w:type="dxa" w:w="1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8B5C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P4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>Intelligence &amp; Scale</w:t>
            </w:r>
          </w:p>
        </w:tc>
        <w:tc>
          <w:tcPr>
            <w:tcW w:type="dxa" w:w="12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792A2"/>
                <w:sz w:val="20"/>
                <w:szCs w:val="20"/>
              </w:rPr>
              <w:t xml:space="preserve">Wks 29–36</w:t>
            </w:r>
          </w:p>
        </w:tc>
        <w:tc>
          <w:tcPr>
            <w:tcW w:type="dxa" w:w="67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0A2540"/>
                <w:sz w:val="22"/>
                <w:szCs w:val="22"/>
              </w:rPr>
              <w:t xml:space="preserve">AI-powered order suggestion engine (purchase history + seasonality)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0A2540"/>
                <w:sz w:val="22"/>
                <w:szCs w:val="22"/>
              </w:rPr>
              <w:t xml:space="preserve">Predictive payment risk scoring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0A2540"/>
                <w:sz w:val="22"/>
                <w:szCs w:val="22"/>
              </w:rPr>
              <w:t xml:space="preserve">Multi-tenant SaaS architecture — Farmers Choice and QMP onboarding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0A2540"/>
                <w:sz w:val="22"/>
                <w:szCs w:val="22"/>
              </w:rPr>
              <w:t xml:space="preserve">Custom tenant branding and catalogue configuration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0A2540"/>
                <w:sz w:val="22"/>
                <w:szCs w:val="22"/>
              </w:rPr>
              <w:t xml:space="preserve">CRM module: surveys, returns management, NPS tracking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0A2540"/>
                <w:sz w:val="22"/>
                <w:szCs w:val="22"/>
              </w:rPr>
              <w:t xml:space="preserve">WhatsApp Business API for customer-facing order notifications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0A2540"/>
                <w:sz w:val="22"/>
                <w:szCs w:val="22"/>
              </w:rPr>
              <w:t xml:space="preserve">Advanced analytics: cohort analysis, range-selling heatmaps</w:t>
            </w:r>
          </w:p>
        </w:tc>
      </w:tr>
    </w:tbl>
    <w:p>
      <w:pPr>
        <w:spacing w:after="80" w:before="120"/>
        <w:jc w:val="left"/>
      </w:pPr>
      <w:r>
        <w:rPr>
          <w:rFonts w:ascii="Calibri" w:cs="Calibri" w:eastAsia="Calibri" w:hAnsi="Calibri"/>
          <w:b w:val="false"/>
          <w:bCs w:val="false"/>
          <w:color w:val="0A2540"/>
          <w:sz w:val="22"/>
          <w:szCs w:val="22"/>
        </w:rPr>
        <w:t xml:space="preserve">Phase gate criteria: each phase requires a signed UAT sign-off document, &lt; 5 open P0 bugs, and performance benchmarks met before Phase N+1 commences.</w:t>
      </w:r>
    </w:p>
    <w:p>
      <w:r>
        <w:br w:type="page"/>
      </w:r>
    </w:p>
    <w:p>
      <w:pPr>
        <w:pStyle w:val="Heading1"/>
        <w:pBdr>
          <w:bottom w:val="single" w:color="635BFF" w:sz="4" w:space="6"/>
        </w:pBdr>
        <w:spacing w:after="120" w:before="320"/>
      </w:pPr>
      <w:r>
        <w:rPr>
          <w:rFonts w:ascii="Calibri" w:cs="Calibri" w:eastAsia="Calibri" w:hAnsi="Calibri"/>
          <w:b/>
          <w:bCs/>
          <w:color w:val="0A2540"/>
          <w:sz w:val="36"/>
          <w:szCs w:val="36"/>
        </w:rPr>
        <w:t xml:space="preserve">10.  Platform Guardrails</w:t>
      </w:r>
    </w:p>
    <w:p>
      <w:pPr>
        <w:spacing w:after="80" w:before="120"/>
        <w:jc w:val="left"/>
      </w:pPr>
      <w:r>
        <w:rPr>
          <w:rFonts w:ascii="Calibri" w:cs="Calibri" w:eastAsia="Calibri" w:hAnsi="Calibri"/>
          <w:b w:val="false"/>
          <w:bCs w:val="false"/>
          <w:color w:val="0A2540"/>
          <w:sz w:val="22"/>
          <w:szCs w:val="22"/>
        </w:rPr>
        <w:t xml:space="preserve">These are non-negotiable design and engineering constraints that must be addressed before each phase goes live. They protect data integrity, user trust, and business continuity.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A2540"/>
          <w:sz w:val="28"/>
          <w:szCs w:val="28"/>
        </w:rPr>
        <w:t xml:space="preserve">10.1  Security &amp;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F1B4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00" w:before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SECURITY GUARDRAILS — must pass security review before Phase 1 go-live</w:t>
            </w:r>
          </w:p>
        </w:tc>
      </w:tr>
    </w:tbl>
    <w:p>
      <w:pPr>
        <w:spacing w:after="0" w:before="80"/>
        <w:jc w:val="left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RBAC enforcement — every API endpoint checks role and permission scope; no client-side role gating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Price change approval thresholds stored server-side only; never in JWT or mobile app bundle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MFA mandatory for all roles with approval authority (manager and above)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API keys and ERP credentials stored in encrypted secrets manager (AWS Secrets Manager / HashiCorp Vault); never in .env files in repository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Penetration test required before Phase 1 launch and after each ERP integration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A2540"/>
          <w:sz w:val="28"/>
          <w:szCs w:val="28"/>
        </w:rPr>
        <w:t xml:space="preserve">10.2  Data Integrity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87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00" w:before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DATA GUARDRAILS — immutable records for financial and approval events</w:t>
            </w:r>
          </w:p>
        </w:tc>
      </w:tr>
    </w:tbl>
    <w:p>
      <w:pPr>
        <w:spacing w:after="0" w:before="80"/>
        <w:jc w:val="left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Every price change, FOL approval/rejection, and payment event must be written to an append-only audit log — no UPDATE or DELETE permitted on these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ERP is master of record for: customer data, pricing, inventory, payment status. Platform is master for: meeting data, FOL asset register, approval workflows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ERP conflict resolution policy: ERP wins on customer credit status and pricing; platform wins on meeting and FOL asset data. Conflicts flagged to admin within 15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Database backups: automated daily snapshot retained for 30 days; point-in-time recovery to 5-minute granularity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A2540"/>
          <w:sz w:val="28"/>
          <w:szCs w:val="28"/>
        </w:rPr>
        <w:t xml:space="preserve">10.3  Offline &amp; Sync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5B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00" w:before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OFFLINE GUARDRAILS — offline-first is a P0 requirement, not a feature</w:t>
            </w:r>
          </w:p>
        </w:tc>
      </w:tr>
    </w:tbl>
    <w:p>
      <w:pPr>
        <w:spacing w:after="0" w:before="80"/>
        <w:jc w:val="left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Mobile app must support: meeting capture, order booking, payment promise logging, and product catalogue browsing while offline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Offline queue must survive app restart and phone reboot — use Hive or SQLite for local persistence, not in-memory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Sync conflict strategy: if a rep edits data offline and the same record changes on the server, surface a merge UI to the rep — do not silently overwrite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Sync status always visible in mobile app header: 'Synced 2 min ago' / 'Offline — 3 items pending'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A2540"/>
          <w:sz w:val="28"/>
          <w:szCs w:val="28"/>
        </w:rPr>
        <w:t xml:space="preserve">10.4  GPS &amp; 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A67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00" w:before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GPS GUARDRAILS — prevent check-in fraud and protect rep data</w:t>
            </w:r>
          </w:p>
        </w:tc>
      </w:tr>
    </w:tbl>
    <w:p>
      <w:pPr>
        <w:spacing w:after="0" w:before="80"/>
        <w:jc w:val="left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Location data collected only during active working hours (configurable by admin: e.g. 07:00–18:00 Mon–Sat)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Location never shared with customer or third parties; visible only to rep's line manager and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Anti-spoofing: cross-validate with cell tower data, enforce minimum dwell time (3 minutes), flag implausible speed (&gt; 120 km/h between check-ins)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Reps must be notified in onboarding that location is tracked during working hours — consent logged in system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A2540"/>
          <w:sz w:val="28"/>
          <w:szCs w:val="28"/>
        </w:rPr>
        <w:t xml:space="preserve">10.5  ERP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87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00" w:before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ERP GUARDRAILS — protect production ERP from platform errors</w:t>
            </w:r>
          </w:p>
        </w:tc>
      </w:tr>
    </w:tbl>
    <w:p>
      <w:pPr>
        <w:spacing w:after="0" w:before="80"/>
        <w:jc w:val="left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All ERP write operations (price updates, order creation) go through a staging buffer with a 5-minute validation window before committing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ERP writes are idempotent — duplicate requests must not create duplicate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ERP integration failures must not break the platform UI — graceful degradation with 'ERP sync pending' status shown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Separate ERP sandbox environment required for all development and UAT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Circuit breaker pattern: if ERP API fails &gt; 5 consecutive times, platform queues requests and alerts admin; does not retry indefinitely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A2540"/>
          <w:sz w:val="28"/>
          <w:szCs w:val="28"/>
        </w:rPr>
        <w:t xml:space="preserve">10.6  Mobile App Store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F1B4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00" w:before="1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APP STORE GUARDRAIL — build this into the project schedule</w:t>
            </w:r>
          </w:p>
        </w:tc>
      </w:tr>
    </w:tbl>
    <w:p>
      <w:pPr>
        <w:spacing w:after="0" w:before="80"/>
        <w:jc w:val="left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Android Play Store review: 3–7 business days for new apps; budget 10 days in schedule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Apple App Store review: 3–14 business days; Apple requires privacy policy and data collection disclosure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Do not hardcode a field go-live date before both app stores have approved the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Internal testing via TestFlight (iOS) and Internal Test Track (Android) from Week 6 — 2 weeks before submission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A2540"/>
          <w:sz w:val="22"/>
          <w:szCs w:val="22"/>
        </w:rPr>
        <w:t xml:space="preserve">App bundle ID and signing certificates must be under the client's developer account, not the agency's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A2540"/>
          <w:sz w:val="28"/>
          <w:szCs w:val="28"/>
        </w:rPr>
        <w:t xml:space="preserve">10.7  Things You May Have Missed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 / Gap</w:t>
            </w:r>
          </w:p>
        </w:tc>
        <w:tc>
          <w:tcPr>
            <w:tcW w:type="dxa" w:w="65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F1B41"/>
                <w:sz w:val="20"/>
                <w:szCs w:val="20"/>
              </w:rPr>
              <w:t xml:space="preserve">Data residency</w:t>
            </w:r>
          </w:p>
        </w:tc>
        <w:tc>
          <w:tcPr>
            <w:tcW w:type="dxa" w:w="65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Host all customer PII and financial data in AWS af-south-1 (Johannesburg). Document in privacy policy.</w:t>
            </w:r>
          </w:p>
        </w:tc>
      </w:tr>
      <w:tr>
        <w:tc>
          <w:tcPr>
            <w:tcW w:type="dxa" w:w="2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F1B41"/>
                <w:sz w:val="20"/>
                <w:szCs w:val="20"/>
              </w:rPr>
              <w:t xml:space="preserve">VAT / tax on orders</w:t>
            </w:r>
          </w:p>
        </w:tc>
        <w:tc>
          <w:tcPr>
            <w:tcW w:type="dxa" w:w="65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Orders exported to ERP must carry correct VAT codes per product category. Agree tax logic with finance before Phase 1.</w:t>
            </w:r>
          </w:p>
        </w:tc>
      </w:tr>
      <w:tr>
        <w:tc>
          <w:tcPr>
            <w:tcW w:type="dxa" w:w="2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F1B41"/>
                <w:sz w:val="20"/>
                <w:szCs w:val="20"/>
              </w:rPr>
              <w:t xml:space="preserve">Multi-currency</w:t>
            </w:r>
          </w:p>
        </w:tc>
        <w:tc>
          <w:tcPr>
            <w:tcW w:type="dxa" w:w="65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KimFay may invoice in USD, KES, UGX, TZS. Ensure order module supports currency selection and stores exchange rate at booking time.</w:t>
            </w:r>
          </w:p>
        </w:tc>
      </w:tr>
      <w:tr>
        <w:tc>
          <w:tcPr>
            <w:tcW w:type="dxa" w:w="2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F1B41"/>
                <w:sz w:val="20"/>
                <w:szCs w:val="20"/>
              </w:rPr>
              <w:t xml:space="preserve">Rep device management</w:t>
            </w:r>
          </w:p>
        </w:tc>
        <w:tc>
          <w:tcPr>
            <w:tcW w:type="dxa" w:w="65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Who pays for smartphones? Who owns them? Agree MDM (Mobile Device Management) policy before app rollout.</w:t>
            </w:r>
          </w:p>
        </w:tc>
      </w:tr>
      <w:tr>
        <w:tc>
          <w:tcPr>
            <w:tcW w:type="dxa" w:w="2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F1B41"/>
                <w:sz w:val="20"/>
                <w:szCs w:val="20"/>
              </w:rPr>
              <w:t xml:space="preserve">User offboarding</w:t>
            </w:r>
          </w:p>
        </w:tc>
        <w:tc>
          <w:tcPr>
            <w:tcW w:type="dxa" w:w="65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When a rep leaves, their data (meetings, orders, GPS history) must transfer to their replacement. Define offboarding workflow.</w:t>
            </w:r>
          </w:p>
        </w:tc>
      </w:tr>
      <w:tr>
        <w:tc>
          <w:tcPr>
            <w:tcW w:type="dxa" w:w="2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F1B41"/>
                <w:sz w:val="20"/>
                <w:szCs w:val="20"/>
              </w:rPr>
              <w:t xml:space="preserve">Customer onboarding consent</w:t>
            </w:r>
          </w:p>
        </w:tc>
        <w:tc>
          <w:tcPr>
            <w:tcW w:type="dxa" w:w="65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Customers receive SMS/push notifications. Ensure opt-in is captured and stored. Required for GDPR-adjacent compliance.</w:t>
            </w:r>
          </w:p>
        </w:tc>
      </w:tr>
      <w:tr>
        <w:tc>
          <w:tcPr>
            <w:tcW w:type="dxa" w:w="2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F1B41"/>
                <w:sz w:val="20"/>
                <w:szCs w:val="20"/>
              </w:rPr>
              <w:t xml:space="preserve">Print / PDF of documents</w:t>
            </w:r>
          </w:p>
        </w:tc>
        <w:tc>
          <w:tcPr>
            <w:tcW w:type="dxa" w:w="65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Managers and finance need printable versions of price change approvals and FOL agreements. Build PDF export into Phase 2.</w:t>
            </w:r>
          </w:p>
        </w:tc>
      </w:tr>
      <w:tr>
        <w:tc>
          <w:tcPr>
            <w:tcW w:type="dxa" w:w="2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F1B41"/>
                <w:sz w:val="20"/>
                <w:szCs w:val="20"/>
              </w:rPr>
              <w:t xml:space="preserve">Disaster recovery</w:t>
            </w:r>
          </w:p>
        </w:tc>
        <w:tc>
          <w:tcPr>
            <w:tcW w:type="dxa" w:w="65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Define RPO (Recovery Point Objective) and RTO (Recovery Time Objective) with the client. Recommended: RPO 1h, RTO 4h.</w:t>
            </w:r>
          </w:p>
        </w:tc>
      </w:tr>
      <w:tr>
        <w:tc>
          <w:tcPr>
            <w:tcW w:type="dxa" w:w="2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F1B41"/>
                <w:sz w:val="20"/>
                <w:szCs w:val="20"/>
              </w:rPr>
              <w:t xml:space="preserve">Change management</w:t>
            </w:r>
          </w:p>
        </w:tc>
        <w:tc>
          <w:tcPr>
            <w:tcW w:type="dxa" w:w="65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Platform adoption requires training. Budget for a 2-day onboarding workshop per region before Phase 1 go-live.</w:t>
            </w:r>
          </w:p>
        </w:tc>
      </w:tr>
      <w:tr>
        <w:tc>
          <w:tcPr>
            <w:tcW w:type="dxa" w:w="2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F1B41"/>
                <w:sz w:val="20"/>
                <w:szCs w:val="20"/>
              </w:rPr>
              <w:t xml:space="preserve">SLA definition</w:t>
            </w:r>
          </w:p>
        </w:tc>
        <w:tc>
          <w:tcPr>
            <w:tcW w:type="dxa" w:w="65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Define what happens when the platform is down during a sales day. Fallback process (WhatsApp order) must be documented.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35BFF" w:sz="4" w:space="6"/>
        </w:pBdr>
        <w:spacing w:after="120" w:before="320"/>
      </w:pPr>
      <w:r>
        <w:rPr>
          <w:rFonts w:ascii="Calibri" w:cs="Calibri" w:eastAsia="Calibri" w:hAnsi="Calibri"/>
          <w:b/>
          <w:bCs/>
          <w:color w:val="0A2540"/>
          <w:sz w:val="36"/>
          <w:szCs w:val="36"/>
        </w:rPr>
        <w:t xml:space="preserve">11.  Commercial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60"/>
      </w:tblGrid>
      <w:tr>
        <w:trPr>
          <w:tblHeader/>
        </w:trPr>
        <w:tc>
          <w:tcPr>
            <w:tcW w:type="dxa" w:w="32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 / Module</w:t>
            </w:r>
          </w:p>
        </w:tc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Starter</w:t>
            </w:r>
          </w:p>
        </w:tc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Growth</w:t>
            </w:r>
          </w:p>
        </w:tc>
        <w:tc>
          <w:tcPr>
            <w:tcW w:type="dxa" w:w="21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32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Up to 10</w:t>
            </w:r>
          </w:p>
        </w:tc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Up to 50</w:t>
            </w:r>
          </w:p>
        </w:tc>
        <w:tc>
          <w:tcPr>
            <w:tcW w:type="dxa" w:w="21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32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Web dashboard</w:t>
            </w:r>
          </w:p>
        </w:tc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A67F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A67F"/>
                <w:sz w:val="20"/>
                <w:szCs w:val="20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A67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Mobile app (Flutter)</w:t>
            </w:r>
          </w:p>
        </w:tc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5 reps</w:t>
            </w:r>
          </w:p>
        </w:tc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25 reps</w:t>
            </w:r>
          </w:p>
        </w:tc>
        <w:tc>
          <w:tcPr>
            <w:tcW w:type="dxa" w:w="21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32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Meeting management + PJP</w:t>
            </w:r>
          </w:p>
        </w:tc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A67F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A67F"/>
                <w:sz w:val="20"/>
                <w:szCs w:val="20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A67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Order management (LPO)</w:t>
            </w:r>
          </w:p>
        </w:tc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A67F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A67F"/>
                <w:sz w:val="20"/>
                <w:szCs w:val="20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A67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Payment tracking</w:t>
            </w:r>
          </w:p>
        </w:tc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Basic</w:t>
            </w:r>
          </w:p>
        </w:tc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Full aging</w:t>
            </w:r>
          </w:p>
        </w:tc>
        <w:tc>
          <w:tcPr>
            <w:tcW w:type="dxa" w:w="21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Full + M-Pesa</w:t>
            </w:r>
          </w:p>
        </w:tc>
      </w:tr>
      <w:tr>
        <w:tc>
          <w:tcPr>
            <w:tcW w:type="dxa" w:w="32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Price change workflow</w:t>
            </w:r>
          </w:p>
        </w:tc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792A2"/>
                <w:sz w:val="20"/>
                <w:szCs w:val="20"/>
              </w:rPr>
              <w:t xml:space="preserve">–</w:t>
            </w:r>
          </w:p>
        </w:tc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A67F"/>
                <w:sz w:val="20"/>
                <w:szCs w:val="20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A67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FOL dispenser lifecycle</w:t>
            </w:r>
          </w:p>
        </w:tc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792A2"/>
                <w:sz w:val="20"/>
                <w:szCs w:val="20"/>
              </w:rPr>
              <w:t xml:space="preserve">–</w:t>
            </w:r>
          </w:p>
        </w:tc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A67F"/>
                <w:sz w:val="20"/>
                <w:szCs w:val="20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A67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Product catalogue</w:t>
            </w:r>
          </w:p>
        </w:tc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Standard</w:t>
            </w:r>
          </w:p>
        </w:tc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HORECA full</w:t>
            </w:r>
          </w:p>
        </w:tc>
        <w:tc>
          <w:tcPr>
            <w:tcW w:type="dxa" w:w="21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Custom per tenant</w:t>
            </w:r>
          </w:p>
        </w:tc>
      </w:tr>
      <w:tr>
        <w:tc>
          <w:tcPr>
            <w:tcW w:type="dxa" w:w="32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ERP integration</w:t>
            </w:r>
          </w:p>
        </w:tc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792A2"/>
                <w:sz w:val="20"/>
                <w:szCs w:val="20"/>
              </w:rPr>
              <w:t xml:space="preserve">–</w:t>
            </w:r>
          </w:p>
        </w:tc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1 system</w:t>
            </w:r>
          </w:p>
        </w:tc>
        <w:tc>
          <w:tcPr>
            <w:tcW w:type="dxa" w:w="21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32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AI order suggestions</w:t>
            </w:r>
          </w:p>
        </w:tc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792A2"/>
                <w:sz w:val="20"/>
                <w:szCs w:val="20"/>
              </w:rPr>
              <w:t xml:space="preserve">–</w:t>
            </w:r>
          </w:p>
        </w:tc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792A2"/>
                <w:sz w:val="20"/>
                <w:szCs w:val="20"/>
              </w:rPr>
              <w:t xml:space="preserve">–</w:t>
            </w:r>
          </w:p>
        </w:tc>
        <w:tc>
          <w:tcPr>
            <w:tcW w:type="dxa" w:w="21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A67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Multi-tenant (SaaS)</w:t>
            </w:r>
          </w:p>
        </w:tc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792A2"/>
                <w:sz w:val="20"/>
                <w:szCs w:val="20"/>
              </w:rPr>
              <w:t xml:space="preserve">–</w:t>
            </w:r>
          </w:p>
        </w:tc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792A2"/>
                <w:sz w:val="20"/>
                <w:szCs w:val="20"/>
              </w:rPr>
              <w:t xml:space="preserve">–</w:t>
            </w:r>
          </w:p>
        </w:tc>
        <w:tc>
          <w:tcPr>
            <w:tcW w:type="dxa" w:w="21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A67F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Custom branding</w:t>
            </w:r>
          </w:p>
        </w:tc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792A2"/>
                <w:sz w:val="20"/>
                <w:szCs w:val="20"/>
              </w:rPr>
              <w:t xml:space="preserve">–</w:t>
            </w:r>
          </w:p>
        </w:tc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792A2"/>
                <w:sz w:val="20"/>
                <w:szCs w:val="20"/>
              </w:rPr>
              <w:t xml:space="preserve">–</w:t>
            </w:r>
          </w:p>
        </w:tc>
        <w:tc>
          <w:tcPr>
            <w:tcW w:type="dxa" w:w="21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✓ per tenant</w:t>
            </w:r>
          </w:p>
        </w:tc>
      </w:tr>
      <w:tr>
        <w:tc>
          <w:tcPr>
            <w:tcW w:type="dxa" w:w="32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Support SLA</w:t>
            </w:r>
          </w:p>
        </w:tc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Email (48h)</w:t>
            </w:r>
          </w:p>
        </w:tc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Priority (4h)</w:t>
            </w:r>
          </w:p>
        </w:tc>
        <w:tc>
          <w:tcPr>
            <w:tcW w:type="dxa" w:w="21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Dedicated + 1h SLA</w:t>
            </w:r>
          </w:p>
        </w:tc>
      </w:tr>
      <w:tr>
        <w:tc>
          <w:tcPr>
            <w:tcW w:type="dxa" w:w="32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Onboarding</w:t>
            </w:r>
          </w:p>
        </w:tc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Self-serve</w:t>
            </w:r>
          </w:p>
        </w:tc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Remote</w:t>
            </w:r>
          </w:p>
        </w:tc>
        <w:tc>
          <w:tcPr>
            <w:tcW w:type="dxa" w:w="21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On-site (2 days)</w:t>
            </w:r>
          </w:p>
        </w:tc>
      </w:tr>
      <w:tr>
        <w:tc>
          <w:tcPr>
            <w:tcW w:type="dxa" w:w="32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Monthly price (USD)</w:t>
            </w:r>
          </w:p>
        </w:tc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$299</w:t>
            </w:r>
          </w:p>
        </w:tc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$799</w:t>
            </w:r>
          </w:p>
        </w:tc>
        <w:tc>
          <w:tcPr>
            <w:tcW w:type="dxa" w:w="21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Custom</w:t>
            </w:r>
          </w:p>
        </w:tc>
      </w:tr>
      <w:tr>
        <w:tc>
          <w:tcPr>
            <w:tcW w:type="dxa" w:w="32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Annual discount</w:t>
            </w:r>
          </w:p>
        </w:tc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10%</w:t>
            </w:r>
          </w:p>
        </w:tc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15%</w:t>
            </w:r>
          </w:p>
        </w:tc>
        <w:tc>
          <w:tcPr>
            <w:tcW w:type="dxa" w:w="21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Negotiated</w:t>
            </w:r>
          </w:p>
        </w:tc>
      </w:tr>
      <w:tr>
        <w:tc>
          <w:tcPr>
            <w:tcW w:type="dxa" w:w="32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Setup fee (one-time)</w:t>
            </w:r>
          </w:p>
        </w:tc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$500</w:t>
            </w:r>
          </w:p>
        </w:tc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$2,000</w:t>
            </w:r>
          </w:p>
        </w:tc>
        <w:tc>
          <w:tcPr>
            <w:tcW w:type="dxa" w:w="21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$5,000+</w:t>
            </w:r>
          </w:p>
        </w:tc>
      </w:tr>
    </w:tbl>
    <w:p>
      <w:pPr>
        <w:spacing w:after="80" w:before="120"/>
        <w:jc w:val="left"/>
      </w:pPr>
      <w:r>
        <w:rPr>
          <w:rFonts w:ascii="Calibri" w:cs="Calibri" w:eastAsia="Calibri" w:hAnsi="Calibri"/>
          <w:b w:val="false"/>
          <w:bCs w:val="false"/>
          <w:color w:val="0A2540"/>
          <w:sz w:val="22"/>
          <w:szCs w:val="22"/>
        </w:rPr>
        <w:t xml:space="preserve">All prices exclude ERP integration build cost, which is scoped and quoted separately based on the ERP system and API availability.</w:t>
      </w:r>
    </w:p>
    <w:p>
      <w:pPr>
        <w:pBdr>
          <w:bottom w:val="single" w:color="E0E6EB" w:sz="2" w:space="1"/>
        </w:pBd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1"/>
        <w:pBdr>
          <w:bottom w:val="single" w:color="635BFF" w:sz="4" w:space="6"/>
        </w:pBdr>
        <w:spacing w:after="120" w:before="320"/>
      </w:pPr>
      <w:r>
        <w:rPr>
          <w:rFonts w:ascii="Calibri" w:cs="Calibri" w:eastAsia="Calibri" w:hAnsi="Calibri"/>
          <w:b/>
          <w:bCs/>
          <w:color w:val="0A2540"/>
          <w:sz w:val="36"/>
          <w:szCs w:val="36"/>
        </w:rPr>
        <w:t xml:space="preserve">12.  Integration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900"/>
        <w:gridCol w:w="4460"/>
      </w:tblGrid>
      <w:tr>
        <w:trPr>
          <w:tblHeader/>
        </w:trPr>
        <w:tc>
          <w:tcPr>
            <w:tcW w:type="dxa" w:w="2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16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4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Sage Business Cloud</w:t>
            </w:r>
          </w:p>
        </w:tc>
        <w:tc>
          <w:tcPr>
            <w:tcW w:type="dxa" w:w="16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ERP (bidirectional)</w:t>
            </w:r>
          </w:p>
        </w:tc>
        <w:tc>
          <w:tcPr>
            <w:tcW w:type="dxa" w:w="9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3</w:t>
            </w:r>
          </w:p>
        </w:tc>
        <w:tc>
          <w:tcPr>
            <w:tcW w:type="dxa" w:w="44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Customer master, pricing, inventory, payment status</w:t>
            </w:r>
          </w:p>
        </w:tc>
      </w:tr>
      <w:tr>
        <w:tc>
          <w:tcPr>
            <w:tcW w:type="dxa" w:w="2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SAP Business One</w:t>
            </w:r>
          </w:p>
        </w:tc>
        <w:tc>
          <w:tcPr>
            <w:tcW w:type="dxa" w:w="16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ERP (bidirectional)</w:t>
            </w:r>
          </w:p>
        </w:tc>
        <w:tc>
          <w:tcPr>
            <w:tcW w:type="dxa" w:w="9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3</w:t>
            </w:r>
          </w:p>
        </w:tc>
        <w:tc>
          <w:tcPr>
            <w:tcW w:type="dxa" w:w="44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Enterprise client ERP — same connector pattern as Sage</w:t>
            </w:r>
          </w:p>
        </w:tc>
      </w:tr>
      <w:tr>
        <w:tc>
          <w:tcPr>
            <w:tcW w:type="dxa" w:w="2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Odoo 17</w:t>
            </w:r>
          </w:p>
        </w:tc>
        <w:tc>
          <w:tcPr>
            <w:tcW w:type="dxa" w:w="16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ERP (bidirectional)</w:t>
            </w:r>
          </w:p>
        </w:tc>
        <w:tc>
          <w:tcPr>
            <w:tcW w:type="dxa" w:w="9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3</w:t>
            </w:r>
          </w:p>
        </w:tc>
        <w:tc>
          <w:tcPr>
            <w:tcW w:type="dxa" w:w="44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Open-source ERP option for smaller clients</w:t>
            </w:r>
          </w:p>
        </w:tc>
      </w:tr>
      <w:tr>
        <w:tc>
          <w:tcPr>
            <w:tcW w:type="dxa" w:w="2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Salesforce CRM</w:t>
            </w:r>
          </w:p>
        </w:tc>
        <w:tc>
          <w:tcPr>
            <w:tcW w:type="dxa" w:w="16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CRM (write)</w:t>
            </w:r>
          </w:p>
        </w:tc>
        <w:tc>
          <w:tcPr>
            <w:tcW w:type="dxa" w:w="9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3</w:t>
            </w:r>
          </w:p>
        </w:tc>
        <w:tc>
          <w:tcPr>
            <w:tcW w:type="dxa" w:w="44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Push meeting notes, order activity, and account health scores</w:t>
            </w:r>
          </w:p>
        </w:tc>
      </w:tr>
      <w:tr>
        <w:tc>
          <w:tcPr>
            <w:tcW w:type="dxa" w:w="2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HubSpot CRM</w:t>
            </w:r>
          </w:p>
        </w:tc>
        <w:tc>
          <w:tcPr>
            <w:tcW w:type="dxa" w:w="16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CRM (write)</w:t>
            </w:r>
          </w:p>
        </w:tc>
        <w:tc>
          <w:tcPr>
            <w:tcW w:type="dxa" w:w="9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3</w:t>
            </w:r>
          </w:p>
        </w:tc>
        <w:tc>
          <w:tcPr>
            <w:tcW w:type="dxa" w:w="44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Alternative CRM for clients not on Salesforce</w:t>
            </w:r>
          </w:p>
        </w:tc>
      </w:tr>
      <w:tr>
        <w:tc>
          <w:tcPr>
            <w:tcW w:type="dxa" w:w="2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M-Pesa Daraja API</w:t>
            </w:r>
          </w:p>
        </w:tc>
        <w:tc>
          <w:tcPr>
            <w:tcW w:type="dxa" w:w="16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Payments (bidirectional)</w:t>
            </w:r>
          </w:p>
        </w:tc>
        <w:tc>
          <w:tcPr>
            <w:tcW w:type="dxa" w:w="9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3</w:t>
            </w:r>
          </w:p>
        </w:tc>
        <w:tc>
          <w:tcPr>
            <w:tcW w:type="dxa" w:w="44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Customer payment collection and reconciliation</w:t>
            </w:r>
          </w:p>
        </w:tc>
      </w:tr>
      <w:tr>
        <w:tc>
          <w:tcPr>
            <w:tcW w:type="dxa" w:w="2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Equity Bank API</w:t>
            </w:r>
          </w:p>
        </w:tc>
        <w:tc>
          <w:tcPr>
            <w:tcW w:type="dxa" w:w="16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Payments (read)</w:t>
            </w:r>
          </w:p>
        </w:tc>
        <w:tc>
          <w:tcPr>
            <w:tcW w:type="dxa" w:w="9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4</w:t>
            </w:r>
          </w:p>
        </w:tc>
        <w:tc>
          <w:tcPr>
            <w:tcW w:type="dxa" w:w="44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Bank payment reconciliation for non-M-Pesa customers</w:t>
            </w:r>
          </w:p>
        </w:tc>
      </w:tr>
      <w:tr>
        <w:tc>
          <w:tcPr>
            <w:tcW w:type="dxa" w:w="2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Africa's Talking / Twilio</w:t>
            </w:r>
          </w:p>
        </w:tc>
        <w:tc>
          <w:tcPr>
            <w:tcW w:type="dxa" w:w="16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SMS (outbound)</w:t>
            </w:r>
          </w:p>
        </w:tc>
        <w:tc>
          <w:tcPr>
            <w:tcW w:type="dxa" w:w="9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2</w:t>
            </w:r>
          </w:p>
        </w:tc>
        <w:tc>
          <w:tcPr>
            <w:tcW w:type="dxa" w:w="44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Payment reminders, order status, approval notifications</w:t>
            </w:r>
          </w:p>
        </w:tc>
      </w:tr>
      <w:tr>
        <w:tc>
          <w:tcPr>
            <w:tcW w:type="dxa" w:w="2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WhatsApp Business API</w:t>
            </w:r>
          </w:p>
        </w:tc>
        <w:tc>
          <w:tcPr>
            <w:tcW w:type="dxa" w:w="16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Messaging (outbound)</w:t>
            </w:r>
          </w:p>
        </w:tc>
        <w:tc>
          <w:tcPr>
            <w:tcW w:type="dxa" w:w="9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4</w:t>
            </w:r>
          </w:p>
        </w:tc>
        <w:tc>
          <w:tcPr>
            <w:tcW w:type="dxa" w:w="44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Customer-facing notifications and order confirmations</w:t>
            </w:r>
          </w:p>
        </w:tc>
      </w:tr>
      <w:tr>
        <w:tc>
          <w:tcPr>
            <w:tcW w:type="dxa" w:w="2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Google Maps Platform</w:t>
            </w:r>
          </w:p>
        </w:tc>
        <w:tc>
          <w:tcPr>
            <w:tcW w:type="dxa" w:w="16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Maps / Routing</w:t>
            </w:r>
          </w:p>
        </w:tc>
        <w:tc>
          <w:tcPr>
            <w:tcW w:type="dxa" w:w="9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1</w:t>
            </w:r>
          </w:p>
        </w:tc>
        <w:tc>
          <w:tcPr>
            <w:tcW w:type="dxa" w:w="44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GPS check-in, route optimisation, PJP map view</w:t>
            </w:r>
          </w:p>
        </w:tc>
      </w:tr>
      <w:tr>
        <w:tc>
          <w:tcPr>
            <w:tcW w:type="dxa" w:w="2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16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9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1</w:t>
            </w:r>
          </w:p>
        </w:tc>
        <w:tc>
          <w:tcPr>
            <w:tcW w:type="dxa" w:w="44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Real-time alerts to mobile app (approval, order, payment)</w:t>
            </w:r>
          </w:p>
        </w:tc>
      </w:tr>
      <w:tr>
        <w:tc>
          <w:tcPr>
            <w:tcW w:type="dxa" w:w="2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Postmark</w:t>
            </w:r>
          </w:p>
        </w:tc>
        <w:tc>
          <w:tcPr>
            <w:tcW w:type="dxa" w:w="16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Transactional email</w:t>
            </w:r>
          </w:p>
        </w:tc>
        <w:tc>
          <w:tcPr>
            <w:tcW w:type="dxa" w:w="9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1</w:t>
            </w:r>
          </w:p>
        </w:tc>
        <w:tc>
          <w:tcPr>
            <w:tcW w:type="dxa" w:w="44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Approval notifications, weekly reports, system alerts</w:t>
            </w:r>
          </w:p>
        </w:tc>
      </w:tr>
      <w:tr>
        <w:tc>
          <w:tcPr>
            <w:tcW w:type="dxa" w:w="2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AWS S3</w:t>
            </w:r>
          </w:p>
        </w:tc>
        <w:tc>
          <w:tcPr>
            <w:tcW w:type="dxa" w:w="16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9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1</w:t>
            </w:r>
          </w:p>
        </w:tc>
        <w:tc>
          <w:tcPr>
            <w:tcW w:type="dxa" w:w="44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Meeting photos, dispenser installation images, PDF agreements</w:t>
            </w:r>
          </w:p>
        </w:tc>
      </w:tr>
      <w:tr>
        <w:tc>
          <w:tcPr>
            <w:tcW w:type="dxa" w:w="2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Custom REST / SOAP</w:t>
            </w:r>
          </w:p>
        </w:tc>
        <w:tc>
          <w:tcPr>
            <w:tcW w:type="dxa" w:w="16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Any ERP</w:t>
            </w:r>
          </w:p>
        </w:tc>
        <w:tc>
          <w:tcPr>
            <w:tcW w:type="dxa" w:w="9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3</w:t>
            </w:r>
          </w:p>
        </w:tc>
        <w:tc>
          <w:tcPr>
            <w:tcW w:type="dxa" w:w="44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Fallback connector for non-standard ERP systems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35BFF" w:sz="4" w:space="6"/>
        </w:pBdr>
        <w:spacing w:after="120" w:before="320"/>
      </w:pPr>
      <w:r>
        <w:rPr>
          <w:rFonts w:ascii="Calibri" w:cs="Calibri" w:eastAsia="Calibri" w:hAnsi="Calibri"/>
          <w:b/>
          <w:bCs/>
          <w:color w:val="0A2540"/>
          <w:sz w:val="36"/>
          <w:szCs w:val="36"/>
        </w:rPr>
        <w:t xml:space="preserve">13.  Open Questions &amp; Decisions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1800"/>
        <w:gridCol w:w="3160"/>
      </w:tblGrid>
      <w:tr>
        <w:trPr>
          <w:tblHeader/>
        </w:trPr>
        <w:tc>
          <w:tcPr>
            <w:tcW w:type="dxa" w:w="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1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35BFF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Which ERP does KimFay EA currently use? (Determines Phase 3 integration approach)</w:t>
            </w:r>
          </w:p>
        </w:tc>
        <w:tc>
          <w:tcPr>
            <w:tcW w:type="dxa" w:w="1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25466"/>
                <w:sz w:val="20"/>
                <w:szCs w:val="20"/>
              </w:rPr>
              <w:t xml:space="preserve">KimFay Finance + IT</w:t>
            </w:r>
          </w:p>
        </w:tc>
        <w:tc>
          <w:tcPr>
            <w:tcW w:type="dxa" w:w="31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F1B41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35BFF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What is the price change approval threshold (KES value) for line manager vs. senior management?</w:t>
            </w:r>
          </w:p>
        </w:tc>
        <w:tc>
          <w:tcPr>
            <w:tcW w:type="dxa" w:w="1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25466"/>
                <w:sz w:val="20"/>
                <w:szCs w:val="20"/>
              </w:rPr>
              <w:t xml:space="preserve">Sales Director</w:t>
            </w:r>
          </w:p>
        </w:tc>
        <w:tc>
          <w:tcPr>
            <w:tcW w:type="dxa" w:w="31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F1B41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35BFF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What is the minimum purchase volume commitment for FOL dispenser eligibility?</w:t>
            </w:r>
          </w:p>
        </w:tc>
        <w:tc>
          <w:tcPr>
            <w:tcW w:type="dxa" w:w="1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25466"/>
                <w:sz w:val="20"/>
                <w:szCs w:val="20"/>
              </w:rPr>
              <w:t xml:space="preserve">Commercial team</w:t>
            </w:r>
          </w:p>
        </w:tc>
        <w:tc>
          <w:tcPr>
            <w:tcW w:type="dxa" w:w="31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F1B41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35BFF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Which mobile network provider(s) for SMS — Africa's Talking or Twilio?</w:t>
            </w:r>
          </w:p>
        </w:tc>
        <w:tc>
          <w:tcPr>
            <w:tcW w:type="dxa" w:w="1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25466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31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F1B41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35BFF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Will Farmers Choice and QMP share a single tenant or require data isolation?</w:t>
            </w:r>
          </w:p>
        </w:tc>
        <w:tc>
          <w:tcPr>
            <w:tcW w:type="dxa" w:w="1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25466"/>
                <w:sz w:val="20"/>
                <w:szCs w:val="20"/>
              </w:rPr>
              <w:t xml:space="preserve">Product + Legal</w:t>
            </w:r>
          </w:p>
        </w:tc>
        <w:tc>
          <w:tcPr>
            <w:tcW w:type="dxa" w:w="31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F1B41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35BFF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What working hours should GPS tracking be active? (Default: 07:00–18:00 Mon–Sat)</w:t>
            </w:r>
          </w:p>
        </w:tc>
        <w:tc>
          <w:tcPr>
            <w:tcW w:type="dxa" w:w="1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25466"/>
                <w:sz w:val="20"/>
                <w:szCs w:val="20"/>
              </w:rPr>
              <w:t xml:space="preserve">HR + Legal</w:t>
            </w:r>
          </w:p>
        </w:tc>
        <w:tc>
          <w:tcPr>
            <w:tcW w:type="dxa" w:w="31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F1B41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35BFF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Who owns the developer accounts for App Store and Play Store submissions?</w:t>
            </w:r>
          </w:p>
        </w:tc>
        <w:tc>
          <w:tcPr>
            <w:tcW w:type="dxa" w:w="1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25466"/>
                <w:sz w:val="20"/>
                <w:szCs w:val="20"/>
              </w:rPr>
              <w:t xml:space="preserve">Client IT</w:t>
            </w:r>
          </w:p>
        </w:tc>
        <w:tc>
          <w:tcPr>
            <w:tcW w:type="dxa" w:w="31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F1B41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35BFF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Is there a requirement for Arabic/Swahili UI localisation in addition to English?</w:t>
            </w:r>
          </w:p>
        </w:tc>
        <w:tc>
          <w:tcPr>
            <w:tcW w:type="dxa" w:w="18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25466"/>
                <w:sz w:val="20"/>
                <w:szCs w:val="20"/>
              </w:rPr>
              <w:t xml:space="preserve">Product</w:t>
            </w:r>
          </w:p>
        </w:tc>
        <w:tc>
          <w:tcPr>
            <w:tcW w:type="dxa" w:w="31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6F9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F1B41"/>
                <w:sz w:val="20"/>
                <w:szCs w:val="20"/>
              </w:rPr>
              <w:t xml:space="preserve">Open</w:t>
            </w:r>
          </w:p>
        </w:tc>
      </w:tr>
    </w:tbl>
    <w:p>
      <w:pPr>
        <w:pBdr>
          <w:bottom w:val="single" w:color="E0E6EB" w:sz="2" w:space="1"/>
        </w:pBd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1"/>
        <w:pBdr>
          <w:bottom w:val="single" w:color="635BFF" w:sz="4" w:space="6"/>
        </w:pBdr>
        <w:spacing w:after="120" w:before="320"/>
      </w:pPr>
      <w:r>
        <w:rPr>
          <w:rFonts w:ascii="Calibri" w:cs="Calibri" w:eastAsia="Calibri" w:hAnsi="Calibri"/>
          <w:b/>
          <w:bCs/>
          <w:color w:val="0A2540"/>
          <w:sz w:val="36"/>
          <w:szCs w:val="36"/>
        </w:rPr>
        <w:t xml:space="preserve">14.  Document Sign-Off</w:t>
      </w:r>
    </w:p>
    <w:p>
      <w:pPr>
        <w:spacing w:after="80" w:before="120"/>
        <w:jc w:val="left"/>
      </w:pPr>
      <w:r>
        <w:rPr>
          <w:rFonts w:ascii="Calibri" w:cs="Calibri" w:eastAsia="Calibri" w:hAnsi="Calibri"/>
          <w:b w:val="false"/>
          <w:bCs w:val="false"/>
          <w:color w:val="0A2540"/>
          <w:sz w:val="22"/>
          <w:szCs w:val="22"/>
        </w:rPr>
        <w:t xml:space="preserve">This PRD requires sign-off from the following stakeholders before Phase 1 development commences.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0A254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</w:tr>
      <w:tr>
        <w:tc>
          <w:tcPr>
            <w:tcW w:type="dxa" w:w="2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792A2"/>
                <w:sz w:val="20"/>
                <w:szCs w:val="20"/>
              </w:rPr>
              <w:t xml:space="preserve">__________________________</w:t>
            </w:r>
          </w:p>
        </w:tc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Product Owner (KimFay)</w:t>
            </w:r>
          </w:p>
        </w:tc>
        <w:tc>
          <w:tcPr>
            <w:tcW w:type="dxa" w:w="2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792A2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5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792A2"/>
                <w:sz w:val="20"/>
                <w:szCs w:val="20"/>
              </w:rPr>
              <w:t xml:space="preserve">___________________________</w:t>
            </w:r>
          </w:p>
        </w:tc>
      </w:tr>
      <w:tr>
        <w:tc>
          <w:tcPr>
            <w:tcW w:type="dxa" w:w="2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792A2"/>
                <w:sz w:val="20"/>
                <w:szCs w:val="20"/>
              </w:rPr>
              <w:t xml:space="preserve">__________________________</w:t>
            </w:r>
          </w:p>
        </w:tc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Sales Director</w:t>
            </w:r>
          </w:p>
        </w:tc>
        <w:tc>
          <w:tcPr>
            <w:tcW w:type="dxa" w:w="2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792A2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5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792A2"/>
                <w:sz w:val="20"/>
                <w:szCs w:val="20"/>
              </w:rPr>
              <w:t xml:space="preserve">___________________________</w:t>
            </w:r>
          </w:p>
        </w:tc>
      </w:tr>
      <w:tr>
        <w:tc>
          <w:tcPr>
            <w:tcW w:type="dxa" w:w="2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792A2"/>
                <w:sz w:val="20"/>
                <w:szCs w:val="20"/>
              </w:rPr>
              <w:t xml:space="preserve">__________________________</w:t>
            </w:r>
          </w:p>
        </w:tc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Finance / Credit Control</w:t>
            </w:r>
          </w:p>
        </w:tc>
        <w:tc>
          <w:tcPr>
            <w:tcW w:type="dxa" w:w="2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792A2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5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792A2"/>
                <w:sz w:val="20"/>
                <w:szCs w:val="20"/>
              </w:rPr>
              <w:t xml:space="preserve">___________________________</w:t>
            </w:r>
          </w:p>
        </w:tc>
      </w:tr>
      <w:tr>
        <w:tc>
          <w:tcPr>
            <w:tcW w:type="dxa" w:w="2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792A2"/>
                <w:sz w:val="20"/>
                <w:szCs w:val="20"/>
              </w:rPr>
              <w:t xml:space="preserve">__________________________</w:t>
            </w:r>
          </w:p>
        </w:tc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Head of IT / Technology</w:t>
            </w:r>
          </w:p>
        </w:tc>
        <w:tc>
          <w:tcPr>
            <w:tcW w:type="dxa" w:w="2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792A2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5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792A2"/>
                <w:sz w:val="20"/>
                <w:szCs w:val="20"/>
              </w:rPr>
              <w:t xml:space="preserve">___________________________</w:t>
            </w:r>
          </w:p>
        </w:tc>
      </w:tr>
      <w:tr>
        <w:tc>
          <w:tcPr>
            <w:tcW w:type="dxa" w:w="2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792A2"/>
                <w:sz w:val="20"/>
                <w:szCs w:val="20"/>
              </w:rPr>
              <w:t xml:space="preserve">__________________________</w:t>
            </w:r>
          </w:p>
        </w:tc>
        <w:tc>
          <w:tcPr>
            <w:tcW w:type="dxa" w:w="20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A2540"/>
                <w:sz w:val="20"/>
                <w:szCs w:val="20"/>
              </w:rPr>
              <w:t xml:space="preserve">Platform Lead (Agency)</w:t>
            </w:r>
          </w:p>
        </w:tc>
        <w:tc>
          <w:tcPr>
            <w:tcW w:type="dxa" w:w="240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792A2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2560"/>
            <w:tcBorders>
              <w:top w:val="single" w:color="E0E6EB" w:sz="1"/>
              <w:left w:val="single" w:color="E0E6EB" w:sz="1"/>
              <w:bottom w:val="single" w:color="E0E6EB" w:sz="1"/>
              <w:right w:val="single" w:color="E0E6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792A2"/>
                <w:sz w:val="20"/>
                <w:szCs w:val="20"/>
              </w:rPr>
              <w:t xml:space="preserve">___________________________</w:t>
            </w:r>
          </w:p>
        </w:tc>
      </w:tr>
    </w:tbl>
    <w:p>
      <w:pPr>
        <w:spacing w:after="0" w:before="200"/>
        <w:jc w:val="left"/>
      </w:pP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color w:val="8792A2"/>
          <w:sz w:val="18"/>
          <w:szCs w:val="18"/>
        </w:rPr>
        <w:t xml:space="preserve">Document version history: PRD v1.0 — April 2026  ·  Initial draft from requirements document and stakeholder workshops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6EB" w:sz="2" w:space="4"/>
      </w:pBdr>
    </w:pPr>
    <w:r>
      <w:rPr>
        <w:sz w:val="4"/>
        <w:szCs w:val="4"/>
      </w:rPr>
      <w:t xml:space="preserve"/>
    </w:r>
  </w:p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140"/>
            <w:bottom w:type="dxa" w:w="80"/>
            <w:right w:type="dxa" w:w="140"/>
          </w:tcMar>
          <w:vAlign w:val="top"/>
        </w:tcPr>
        <w:p>
          <w:pPr>
            <w:spacing w:after="80" w:before="120"/>
            <w:jc w:val="left"/>
          </w:pPr>
          <w:r>
            <w:rPr>
              <w:rFonts w:ascii="Calibri" w:cs="Calibri" w:eastAsia="Calibri" w:hAnsi="Calibri"/>
              <w:b w:val="false"/>
              <w:bCs w:val="false"/>
              <w:color w:val="8792A2"/>
              <w:sz w:val="18"/>
              <w:szCs w:val="18"/>
            </w:rPr>
            <w:t xml:space="preserve">© 2026 KimFay Professional. Confidential.</w:t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140"/>
            <w:bottom w:type="dxa" w:w="80"/>
            <w:right w:type="dxa" w:w="140"/>
          </w:tcMar>
          <w:vAlign w:val="top"/>
        </w:tcPr>
        <w:p>
          <w:pPr>
            <w:spacing w:after="80" w:before="120"/>
            <w:jc w:val="right"/>
          </w:pPr>
          <w:r>
            <w:rPr>
              <w:rFonts w:ascii="Calibri" w:cs="Calibri" w:eastAsia="Calibri" w:hAnsi="Calibri"/>
              <w:b w:val="false"/>
              <w:bCs w:val="false"/>
              <w:color w:val="8792A2"/>
              <w:sz w:val="18"/>
              <w:szCs w:val="18"/>
            </w:rPr>
            <w:t xml:space="preserve">Page </w:t>
          </w:r>
          <w:r>
            <w:rPr>
              <w:rFonts w:ascii="Calibri" w:cs="Calibri" w:eastAsia="Calibri" w:hAnsi="Calibri"/>
              <w:color w:val="8792A2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Calibri" w:cs="Calibri" w:eastAsia="Calibri" w:hAnsi="Calibri"/>
              <w:b w:val="false"/>
              <w:bCs w:val="false"/>
              <w:color w:val="8792A2"/>
              <w:sz w:val="18"/>
              <w:szCs w:val="18"/>
            </w:rPr>
            <w:t xml:space="preserve"> of </w:t>
          </w:r>
          <w:r>
            <w:rPr>
              <w:rFonts w:ascii="Calibri" w:cs="Calibri" w:eastAsia="Calibri" w:hAnsi="Calibri"/>
              <w:color w:val="8792A2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140"/>
            <w:bottom w:type="dxa" w:w="80"/>
            <w:right w:type="dxa" w:w="140"/>
          </w:tcMar>
          <w:vAlign w:val="top"/>
        </w:tcPr>
        <w:p>
          <w:pPr>
            <w:spacing w:after="80" w:before="120"/>
            <w:jc w:val="left"/>
          </w:pPr>
          <w:r>
            <w:rPr>
              <w:rFonts w:ascii="Calibri" w:cs="Calibri" w:eastAsia="Calibri" w:hAnsi="Calibri"/>
              <w:b/>
              <w:bCs/>
              <w:color w:val="635BFF"/>
              <w:sz w:val="22"/>
              <w:szCs w:val="22"/>
            </w:rPr>
            <w:t xml:space="preserve">HorecaOS</w:t>
          </w:r>
          <w:r>
            <w:rPr>
              <w:rFonts w:ascii="Calibri" w:cs="Calibri" w:eastAsia="Calibri" w:hAnsi="Calibri"/>
              <w:b w:val="false"/>
              <w:bCs w:val="false"/>
              <w:color w:val="8792A2"/>
              <w:sz w:val="22"/>
              <w:szCs w:val="22"/>
            </w:rPr>
            <w:t xml:space="preserve">  ·  Product Requirements Document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140"/>
            <w:bottom w:type="dxa" w:w="80"/>
            <w:right w:type="dxa" w:w="140"/>
          </w:tcMar>
          <w:vAlign w:val="top"/>
        </w:tcPr>
        <w:p>
          <w:pPr>
            <w:spacing w:after="80" w:before="120"/>
            <w:jc w:val="right"/>
          </w:pPr>
          <w:r>
            <w:rPr>
              <w:rFonts w:ascii="Calibri" w:cs="Calibri" w:eastAsia="Calibri" w:hAnsi="Calibri"/>
              <w:b w:val="false"/>
              <w:bCs w:val="false"/>
              <w:color w:val="8792A2"/>
              <w:sz w:val="18"/>
              <w:szCs w:val="18"/>
            </w:rPr>
            <w:t xml:space="preserve">CONFIDENTIAL  —  v1.0  ·  April 2026</w:t>
          </w:r>
        </w:p>
      </w:tc>
    </w:tr>
  </w:tbl>
  <w:p>
    <w:pPr>
      <w:pBdr>
        <w:bottom w:val="single" w:color="635BFF" w:sz="4" w:space="4"/>
      </w:pBdr>
    </w:pPr>
    <w:r>
      <w:rPr>
        <w:sz w:val="4"/>
        <w:szCs w:val="4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  <w:lvl w:ilvl="1" w15:tentative="1">
      <w:start w:val="1"/>
      <w:numFmt w:val="lowerLetter"/>
      <w:lvlText w:val="%2.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A25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0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color w:val="0A254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alibri" w:cs="Calibri" w:eastAsia="Calibri" w:hAnsi="Calibri"/>
      <w:b/>
      <w:bCs/>
      <w:color w:val="635BF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HorecaOS — Product Requirements Document</dc:title>
  <dc:creator>HorecaOS Platform Team</dc:creator>
  <dc:description>PRD with guardrails for the KimFay EA HORECA B2B platform</dc:description>
  <cp:lastModifiedBy>Un-named</cp:lastModifiedBy>
  <cp:revision>1</cp:revision>
  <dcterms:created xsi:type="dcterms:W3CDTF">2026-06-26T02:03:42.461Z</dcterms:created>
  <dcterms:modified xsi:type="dcterms:W3CDTF">2026-06-26T02:03:42.461Z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