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Getting Started with simmodlr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simmodlr is a browser-based discrete-event simulation tool. You describe entities (customers, jobs, patients), the queues they wait in, and the events that move them through your system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no code required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Bdr>
          <w:bottom w:val="single" w:color="CCCCCC" w:sz="4" w:space="1"/>
        </w:pBdr>
        <w:spacing w:after="160" w:before="160"/>
      </w:pP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Core Concepts in 60 Seconds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means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Entity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“things” moving through your system — a customer, a job, a patient. Each belongs to an entity class you define, with whatever attributes you need (priority, type, size).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Queue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Where entities wait. Disciplines include first-in/first-out, last-in, priority, shortest job first, earliest due date, or any attribute you choose.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B-Event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scheduled, time-triggered event. Arrivals and completions are B-Events.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C-Event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conditional event that fires whenever its condition becomes true — typically “a server is idle AND the queue is non-empty.”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Resource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server or piece of equipment that entities seize during processing.</w:t>
            </w:r>
          </w:p>
        </w:tc>
      </w:tr>
    </w:tbl>
    <w:p>
      <w:pPr>
        <w:spacing w:after="80" w:before="0"/>
      </w:pPr>
    </w:p>
    <w:p>
      <w:pPr>
        <w:pBdr>
          <w:bottom w:val="single" w:color="CCCCCC" w:sz="4" w:space="1"/>
        </w:pBdr>
        <w:spacing w:after="160" w:before="160"/>
      </w:pP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Four Ways to Build a Model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People work differently. simmodlr supports four authoring approaches, all producing the same model format so you can mix and match:</w:t>
      </w:r>
    </w:p>
    <w:p>
      <w:pPr>
        <w:spacing w:after="80" w:before="0"/>
      </w:pPr>
    </w:p>
    <w:p>
      <w:pPr>
        <w:spacing w:after="10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  Forms &amp; Tabs</w:t>
      </w:r>
      <w:r>
        <w:rPr>
          <w:rFonts w:ascii="Arial" w:cs="Arial" w:eastAsia="Arial" w:hAnsi="Arial"/>
          <w:sz w:val="22"/>
          <w:szCs w:val="22"/>
        </w:rPr>
        <w:t xml:space="preserve"> — Step-by-step structured entry. Define entity types, queues, events, and distributions through dedicated editors. Good for precise control and iterative refinement.</w:t>
      </w:r>
    </w:p>
    <w:p>
      <w:pPr>
        <w:spacing w:after="80" w:before="0"/>
      </w:pPr>
    </w:p>
    <w:p>
      <w:pPr>
        <w:spacing w:after="10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  Visual Designer</w:t>
      </w:r>
      <w:r>
        <w:rPr>
          <w:rFonts w:ascii="Arial" w:cs="Arial" w:eastAsia="Arial" w:hAnsi="Arial"/>
          <w:sz w:val="22"/>
          <w:szCs w:val="22"/>
        </w:rPr>
        <w:t xml:space="preserve"> — Drag-and-drop canvas. Draw your process as a flow diagram; nodes and connections translate directly into the simulation model. Good for communicating structure to stakeholders.</w:t>
      </w:r>
    </w:p>
    <w:p>
      <w:pPr>
        <w:spacing w:after="80" w:before="0"/>
      </w:pPr>
    </w:p>
    <w:p>
      <w:pPr>
        <w:spacing w:after="10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  AI Model Builder</w:t>
      </w:r>
      <w:r>
        <w:rPr>
          <w:rFonts w:ascii="Arial" w:cs="Arial" w:eastAsia="Arial" w:hAnsi="Arial"/>
          <w:sz w:val="22"/>
          <w:szCs w:val="22"/>
        </w:rPr>
        <w:t xml:space="preserve"> — Describe the system in plain language inside simmodlr; the built-in AI generates a first model for you to review, adjust, and run. Good for rapid prototyping from a problem description.</w:t>
      </w:r>
    </w:p>
    <w:p>
      <w:pPr>
        <w:spacing w:after="80" w:before="0"/>
      </w:pPr>
    </w:p>
    <w:p>
      <w:pPr>
        <w:spacing w:after="10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  External LLM Import</w:t>
      </w:r>
      <w:r>
        <w:rPr>
          <w:rFonts w:ascii="Arial" w:cs="Arial" w:eastAsia="Arial" w:hAnsi="Arial"/>
          <w:sz w:val="22"/>
          <w:szCs w:val="22"/>
        </w:rPr>
        <w:t xml:space="preserve"> — simmodlr publishes its full model schema. You can paste that schema into any external AI (ChatGPT, Claude, Gemini, or similar), ask it to build a model, and import the resulting JSON directly. This is particularly powerful when you already have detailed domain knowledge in a document you can share with the AI alongside the schema.</w:t>
      </w:r>
    </w:p>
    <w:p>
      <w:pPr>
        <w:pBdr>
          <w:bottom w:val="single" w:color="CCCCCC" w:sz="4" w:space="1"/>
        </w:pBdr>
        <w:spacing w:after="160" w:before="160"/>
      </w:pP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Step 1 — Build Your Model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Regardless of whether you use the Visual Designer, type a description for the AI to interpret, paste the schema into an external LLM, or fill in the forms directly — this is what you are defining:</w:t>
      </w:r>
    </w:p>
    <w:p>
      <w:pPr>
        <w:spacing w:after="80" w:before="0"/>
      </w:pPr>
    </w:p>
    <w:p>
      <w:pPr>
        <w:spacing w:after="10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Entities</w:t>
      </w:r>
      <w:r>
        <w:rPr>
          <w:rFonts w:ascii="Arial" w:cs="Arial" w:eastAsia="Arial" w:hAnsi="Arial"/>
          <w:sz w:val="22"/>
          <w:szCs w:val="22"/>
        </w:rPr>
        <w:t xml:space="preserve"> — the things that move through your system. Give each class a name (Customer, Job, Patient) and the attributes it carries: priority (number), type (string with allowed values), urgent (boolean). Attributes can be mutable (changed during processing) or fixed at arrival.</w:t>
      </w:r>
    </w:p>
    <w:p>
      <w:pPr>
        <w:spacing w:after="80" w:before="0"/>
      </w:pPr>
    </w:p>
    <w:p>
      <w:pPr>
        <w:spacing w:after="10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Queues</w:t>
      </w:r>
      <w:r>
        <w:rPr>
          <w:rFonts w:ascii="Arial" w:cs="Arial" w:eastAsia="Arial" w:hAnsi="Arial"/>
          <w:sz w:val="22"/>
          <w:szCs w:val="22"/>
        </w:rPr>
        <w:t xml:space="preserve"> — where entities wait. Choose a discipline: FIFO, LIFO, priority-based, shortest job first, earliest due date, or any attribute you define. Optionally set a capacity limit, overflow destination, or balking probability.</w:t>
      </w:r>
    </w:p>
    <w:p>
      <w:pPr>
        <w:spacing w:after="80" w:before="0"/>
      </w:pPr>
    </w:p>
    <w:p>
      <w:pPr>
        <w:spacing w:after="10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Activities</w:t>
      </w:r>
      <w:r>
        <w:rPr>
          <w:rFonts w:ascii="Arial" w:cs="Arial" w:eastAsia="Arial" w:hAnsi="Arial"/>
          <w:sz w:val="22"/>
          <w:szCs w:val="22"/>
        </w:rPr>
        <w:t xml:space="preserve"> — where processing happens. Each activity has a resource (a server or machine with a defined capacity), a service time distribution, and the condition that must hold before service can start — built without writing code using the Predicate Builder.</w:t>
      </w:r>
    </w:p>
    <w:p>
      <w:pPr>
        <w:spacing w:after="80" w:before="0"/>
      </w:pPr>
    </w:p>
    <w:p>
      <w:pPr>
        <w:spacing w:after="10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Sources and Sinks</w:t>
      </w:r>
      <w:r>
        <w:rPr>
          <w:rFonts w:ascii="Arial" w:cs="Arial" w:eastAsia="Arial" w:hAnsi="Arial"/>
          <w:sz w:val="22"/>
          <w:szCs w:val="22"/>
        </w:rPr>
        <w:t xml:space="preserve"> — where entities enter and leave. A Source has an arrival distribution (or a Schedule); a Sink records throughput and time-in-system.</w:t>
      </w:r>
    </w:p>
    <w:p>
      <w:pPr>
        <w:spacing w:after="80" w:before="0"/>
      </w:pPr>
    </w:p>
    <w:p>
      <w:pPr>
        <w:spacing w:after="10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Routing</w:t>
      </w:r>
      <w:r>
        <w:rPr>
          <w:rFonts w:ascii="Arial" w:cs="Arial" w:eastAsia="Arial" w:hAnsi="Arial"/>
          <w:sz w:val="22"/>
          <w:szCs w:val="22"/>
        </w:rPr>
        <w:t xml:space="preserve"> — how entities move between stages. Fixed next-step, conditional (first-match predicate), or probabilistic (weighted split).</w:t>
      </w:r>
    </w:p>
    <w:p>
      <w:pPr>
        <w:spacing w:after="80" w:before="0"/>
      </w:pP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The Visual Designer shows all of this as a flow diagram as you build. Forms &amp; Tabs give you fine-grained control over each element. AI modes generate the structure for you to review. The underlying model is the same either way.</w:t>
      </w:r>
    </w:p>
    <w:p>
      <w:pPr>
        <w:pBdr>
          <w:bottom w:val="single" w:color="CCCCCC" w:sz="4" w:space="1"/>
        </w:pBdr>
        <w:spacing w:after="160" w:before="160"/>
      </w:pP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Step 2 — Run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Click Run to execute a single replication. Watch entities move through the system on the Execute canvas, inspect the step log, and check entity state mid-run.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Use a single run to verify the model behaves as expected before investing time in a full experiment.</w:t>
      </w:r>
    </w:p>
    <w:p>
      <w:pPr>
        <w:pBdr>
          <w:bottom w:val="single" w:color="CCCCCC" w:sz="4" w:space="1"/>
        </w:pBdr>
        <w:spacing w:after="160" w:before="160"/>
      </w:pP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Step 3 — Experiment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Once the model is validated, move to an Experiment (or Study). Experiments let you test what happens when you vary a parameter — server capacity, inter-arrival rate, batch size — across a defined range. simmodlr runs multiple replications for each parameter value, averages the results with confidence intervals, and surfaces where differences are statistically significant.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This is where simulation earns its value: not one answer, but a map of how the system responds to change.</w:t>
      </w:r>
    </w:p>
    <w:p>
      <w:pPr>
        <w:pBdr>
          <w:bottom w:val="single" w:color="CCCCCC" w:sz="4" w:space="1"/>
        </w:pBdr>
        <w:spacing w:after="160" w:before="160"/>
      </w:pP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Step 4 — Read Results and Use the Model Assistant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Key outputs per resource and queue: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Utilisation — average fraction of time in use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Mean queue length and mean wait time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Throughput — entities served per time unit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Renege / abandonment count — entities that left before being served</w:t>
      </w:r>
    </w:p>
    <w:p>
      <w:pPr>
        <w:spacing w:after="80" w:before="0"/>
      </w:pP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The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Model Assistant</w:t>
      </w:r>
      <w:r>
        <w:rPr>
          <w:rFonts w:ascii="Arial" w:cs="Arial" w:eastAsia="Arial" w:hAnsi="Arial"/>
          <w:sz w:val="22"/>
          <w:szCs w:val="22"/>
        </w:rPr>
        <w:t xml:space="preserve"> lets you ask plain-language questions about your results: “Which queue is the main bottleneck?”, “What happens to utilisation if I add a second server?” Answers are grounded in the actual run data.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Use the Report button to generate a formatted summary (Senior Management or Technical depth, HTML or Markdown).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For deeper analysis, use Export to LLM to bundle the model and results into a single document you can paste into any external AI tool.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simmodlr  |  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2026-06-14T11:02:37.913Z</dcterms:created>
  <dcterms:modified xsi:type="dcterms:W3CDTF">2026-06-14T11:02:37.915Z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