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1b9f3da582196336ede92faa945b0ed8d7e5074"/>
    <w:p>
      <w:pPr>
        <w:pStyle w:val="Heading1"/>
      </w:pPr>
      <w:r>
        <w:t xml:space="preserve">Contradictions in EY’s Artificial Intelligence Messaging Since 2022</w:t>
      </w:r>
    </w:p>
    <w:bookmarkStart w:id="23" w:name="scope-corpus-and-method"/>
    <w:p>
      <w:pPr>
        <w:pStyle w:val="Heading2"/>
      </w:pPr>
      <w:r>
        <w:t xml:space="preserve">Scope, corpus and method</w:t>
      </w:r>
    </w:p>
    <w:p>
      <w:pPr>
        <w:pStyle w:val="FirstParagraph"/>
      </w:pPr>
      <w:r>
        <w:t xml:space="preserve">This review examines publicly available articles and downloadable PDFs published by the global entity["company","Ernst &amp; Young Global Ltd.","professional services firm"] network (including “Insights”, “Newsroom” press releases, and service-line thought leadership) from 1 January 2022 onward, with emphasis on claims made after the release of generative AI systems in late 2022 and the subsequent acceleration in 2023–2025. The focus is not on whether the underlying predictions turned out to be “right”, but on where later EY content states (or strongly implies) the opposite of earlier EY content on comparable questions (adoption, democratisation, workforce effects, automation vs augmentation, and value realisation).</w:t>
      </w:r>
      <w:r>
        <w:t xml:space="preserve"> </w:t>
      </w:r>
      <w:hyperlink r:id="rId21">
        <w:r>
          <w:rPr>
            <w:rStyle w:val="Hyperlink"/>
          </w:rPr>
          <w:t xml:space="preserve">[1]</w:t>
        </w:r>
      </w:hyperlink>
    </w:p>
    <w:p>
      <w:pPr>
        <w:pStyle w:val="BodyText"/>
      </w:pPr>
      <w:r>
        <w:t xml:space="preserve">Two practical constraints shape any attempt to find “all” contradictions. First, the EY publishing system republishes near-identical content across many country sites (sometimes months apart), which makes “all articles” partly a deduplication problem rather than a discovery problem.</w:t>
      </w:r>
      <w:r>
        <w:t xml:space="preserve"> </w:t>
      </w:r>
      <w:hyperlink r:id="rId21">
        <w:r>
          <w:rPr>
            <w:rStyle w:val="Hyperlink"/>
          </w:rPr>
          <w:t xml:space="preserve">[2]</w:t>
        </w:r>
      </w:hyperlink>
      <w:r>
        <w:t xml:space="preserve"> </w:t>
      </w:r>
      <w:r>
        <w:t xml:space="preserve">Second, some assets may be intermittently inaccessible to automated retrieval even when publicly linked from EY pages; where that occurred, the analysis relies on the accessible, citable versions of the same narrative where possible.</w:t>
      </w:r>
      <w:r>
        <w:t xml:space="preserve"> </w:t>
      </w:r>
      <w:hyperlink r:id="rId22">
        <w:r>
          <w:rPr>
            <w:rStyle w:val="Hyperlink"/>
          </w:rPr>
          <w:t xml:space="preserve">[3]</w:t>
        </w:r>
      </w:hyperlink>
    </w:p>
    <w:p>
      <w:pPr>
        <w:pStyle w:val="BodyText"/>
      </w:pPr>
      <w:r>
        <w:t xml:space="preserve">Within those constraints, the contradictions below are the clearest “opposites” found across EY’s post‑2021 AI content—i.e., cases where a later article takes a position that reverses (not merely refines) an earlier theme.</w:t>
      </w:r>
      <w:r>
        <w:t xml:space="preserve"> </w:t>
      </w:r>
      <w:hyperlink r:id="rId21">
        <w:r>
          <w:rPr>
            <w:rStyle w:val="Hyperlink"/>
          </w:rPr>
          <w:t xml:space="preserve">[4]</w:t>
        </w:r>
      </w:hyperlink>
    </w:p>
    <w:bookmarkEnd w:id="23"/>
    <w:bookmarkStart w:id="27" w:name="Xc95015b31b82a1afd79102d62aab1cfcbcfd188"/>
    <w:p>
      <w:pPr>
        <w:pStyle w:val="Heading2"/>
      </w:pPr>
      <w:r>
        <w:t xml:space="preserve">Democratisation narrative versus concentration narrative</w:t>
      </w:r>
    </w:p>
    <w:p>
      <w:pPr>
        <w:pStyle w:val="FirstParagraph"/>
      </w:pPr>
      <w:r>
        <w:t xml:space="preserve">A prominent 2023 theme in EY’s AI commentary is that modern generative AI makes advanced capabilities easier to access—shifting AI from something used mainly by specialists to something broader workforces can use. For example, in a sustainability-focused article, EY explicitly frames generative AI as a democratising force: it describes GenAI as opening “intuitive access” to underlying AI capabilities and “democratizing the ability to use AI to create content and novel insights.”</w:t>
      </w:r>
      <w:r>
        <w:t xml:space="preserve"> </w:t>
      </w:r>
      <w:hyperlink r:id="rId24">
        <w:r>
          <w:rPr>
            <w:rStyle w:val="Hyperlink"/>
          </w:rPr>
          <w:t xml:space="preserve">[5]</w:t>
        </w:r>
      </w:hyperlink>
    </w:p>
    <w:p>
      <w:pPr>
        <w:pStyle w:val="BodyText"/>
      </w:pPr>
      <w:r>
        <w:t xml:space="preserve">A similar democratisation claim appears in EY’s tax thought leadership, which argues that GenAI will “disintermediate and democratize enterprise data” and that low-code/no-code capabilities could turn tax professionals into “citizen developers,” reducing reliance on “traditional IT.”</w:t>
      </w:r>
      <w:r>
        <w:t xml:space="preserve"> </w:t>
      </w:r>
      <w:hyperlink r:id="rId25">
        <w:r>
          <w:rPr>
            <w:rStyle w:val="Hyperlink"/>
          </w:rPr>
          <w:t xml:space="preserve">[6]</w:t>
        </w:r>
      </w:hyperlink>
      <w:r>
        <w:t xml:space="preserve"> </w:t>
      </w:r>
      <w:r>
        <w:t xml:space="preserve">In later workforce-oriented content, EY again uses the democratisation frame, describing self-service analytics queried in natural language as “democratizing access to technology.”</w:t>
      </w:r>
      <w:r>
        <w:t xml:space="preserve"> </w:t>
      </w:r>
      <w:hyperlink r:id="rId26">
        <w:r>
          <w:rPr>
            <w:rStyle w:val="Hyperlink"/>
          </w:rPr>
          <w:t xml:space="preserve">[7]</w:t>
        </w:r>
      </w:hyperlink>
    </w:p>
    <w:p>
      <w:pPr>
        <w:pStyle w:val="BodyText"/>
      </w:pPr>
      <w:r>
        <w:t xml:space="preserve">Against that multi-article stream, a later consumer-products article presents a near-inverse claim. It states that AI “has not democratized progress” and instead “has concentrated it,” asserting that only a “handful of mega corporations” control the benefits, while “for most, AI simply does not work,” because “models are inaccessible, data is locked, and talent is out of reach.”</w:t>
      </w:r>
      <w:r>
        <w:t xml:space="preserve"> </w:t>
      </w:r>
      <w:hyperlink r:id="rId21">
        <w:r>
          <w:rPr>
            <w:rStyle w:val="Hyperlink"/>
          </w:rPr>
          <w:t xml:space="preserve">[8]</w:t>
        </w:r>
      </w:hyperlink>
    </w:p>
    <w:p>
      <w:pPr>
        <w:pStyle w:val="BodyText"/>
      </w:pPr>
      <w:r>
        <w:t xml:space="preserve">This pair is important because it is not merely a change in emphasis from “optimistic” to “cautious”; it is a reversal in direction:</w:t>
      </w:r>
      <w:r>
        <w:t xml:space="preserve"> </w:t>
      </w:r>
      <w:r>
        <w:rPr>
          <w:b/>
          <w:bCs/>
        </w:rPr>
        <w:t xml:space="preserve">GenAI as democratiser</w:t>
      </w:r>
      <w:r>
        <w:t xml:space="preserve"> </w:t>
      </w:r>
      <w:r>
        <w:t xml:space="preserve">(broad access expanding) versus</w:t>
      </w:r>
      <w:r>
        <w:t xml:space="preserve"> </w:t>
      </w:r>
      <w:r>
        <w:rPr>
          <w:b/>
          <w:bCs/>
        </w:rPr>
        <w:t xml:space="preserve">AI as concentrator</w:t>
      </w:r>
      <w:r>
        <w:t xml:space="preserve"> </w:t>
      </w:r>
      <w:r>
        <w:t xml:space="preserve">(benefits shrinking to dominant actors). Put differently, EY’s 2023 sustainability and tax narratives imply widening participation and access, while the 2025 consumer-products narrative explicitly claims the opposite dynamic—exclusion and concentration.</w:t>
      </w:r>
      <w:r>
        <w:t xml:space="preserve"> </w:t>
      </w:r>
      <w:hyperlink r:id="rId21">
        <w:r>
          <w:rPr>
            <w:rStyle w:val="Hyperlink"/>
          </w:rPr>
          <w:t xml:space="preserve">[9]</w:t>
        </w:r>
      </w:hyperlink>
    </w:p>
    <w:bookmarkEnd w:id="27"/>
    <w:bookmarkStart w:id="30" w:name="X7f2e7aefbbffa74ca1b246c0470592653b45b05"/>
    <w:p>
      <w:pPr>
        <w:pStyle w:val="Heading2"/>
      </w:pPr>
      <w:r>
        <w:t xml:space="preserve">Hype scepticism versus “live up to the hype” certainty</w:t>
      </w:r>
    </w:p>
    <w:p>
      <w:pPr>
        <w:pStyle w:val="FirstParagraph"/>
      </w:pPr>
      <w:r>
        <w:t xml:space="preserve">A second contradiction is about whether the post‑2022 surge in AI attention reflects substantive technological progress or primarily “hype”. In late 2023, an EY Ireland article argues that the surge of public attention and capital inflows around AI in 2023 “didn’t necessarily reflect genuine advances in AI technology” and was “likely the result of the hype surrounding” ChatGPT and similar models.</w:t>
      </w:r>
      <w:r>
        <w:t xml:space="preserve"> </w:t>
      </w:r>
      <w:hyperlink r:id="rId28">
        <w:r>
          <w:rPr>
            <w:rStyle w:val="Hyperlink"/>
          </w:rPr>
          <w:t xml:space="preserve">[10]</w:t>
        </w:r>
      </w:hyperlink>
    </w:p>
    <w:p>
      <w:pPr>
        <w:pStyle w:val="BodyText"/>
      </w:pPr>
      <w:r>
        <w:t xml:space="preserve">In contrast, a 2023 EY global “point of view” PDF (hosted on EY’s assets domain and linked from other EY pages) makes a much more bullish claim about hype: it says that generative AI and large language models are “set to live up to the hype,” even suggesting their impact “may” surpass the personal computer in impact.</w:t>
      </w:r>
      <w:r>
        <w:t xml:space="preserve"> </w:t>
      </w:r>
      <w:hyperlink r:id="rId29">
        <w:r>
          <w:rPr>
            <w:rStyle w:val="Hyperlink"/>
          </w:rPr>
          <w:t xml:space="preserve">[11]</w:t>
        </w:r>
      </w:hyperlink>
    </w:p>
    <w:p>
      <w:pPr>
        <w:pStyle w:val="BodyText"/>
      </w:pPr>
      <w:r>
        <w:t xml:space="preserve">The tension here is not that one piece is optimistic and another is cautious; it is that they answer the</w:t>
      </w:r>
      <w:r>
        <w:t xml:space="preserve"> </w:t>
      </w:r>
      <w:r>
        <w:rPr>
          <w:i/>
          <w:iCs/>
        </w:rPr>
        <w:t xml:space="preserve">same question</w:t>
      </w:r>
      <w:r>
        <w:t xml:space="preserve"> </w:t>
      </w:r>
      <w:r>
        <w:t xml:space="preserve">(“is attention outpacing advances?”) in different directions. The EY Ireland piece frames the surge as potentially misaligned with technical progress, while the EY global POV frames the surge as justified—“set to live up to the hype.”</w:t>
      </w:r>
      <w:r>
        <w:t xml:space="preserve"> </w:t>
      </w:r>
      <w:hyperlink r:id="rId28">
        <w:r>
          <w:rPr>
            <w:rStyle w:val="Hyperlink"/>
          </w:rPr>
          <w:t xml:space="preserve">[12]</w:t>
        </w:r>
      </w:hyperlink>
    </w:p>
    <w:p>
      <w:pPr>
        <w:pStyle w:val="BodyText"/>
      </w:pPr>
      <w:r>
        <w:t xml:space="preserve">A notable nuance is that both documents are in 2023, so this contradiction is not simply “EY changed its mind over years.” It is better described as</w:t>
      </w:r>
      <w:r>
        <w:t xml:space="preserve"> </w:t>
      </w:r>
      <w:r>
        <w:rPr>
          <w:b/>
          <w:bCs/>
        </w:rPr>
        <w:t xml:space="preserve">parallel publishing of incompatible framings</w:t>
      </w:r>
      <w:r>
        <w:t xml:space="preserve"> </w:t>
      </w:r>
      <w:r>
        <w:t xml:space="preserve">during the same phase of the AI cycle—suggesting that different parts of EY’s publishing ecosystem were not aligned on how strongly to validate the generative AI hype wave.</w:t>
      </w:r>
      <w:r>
        <w:t xml:space="preserve"> </w:t>
      </w:r>
      <w:hyperlink r:id="rId28">
        <w:r>
          <w:rPr>
            <w:rStyle w:val="Hyperlink"/>
          </w:rPr>
          <w:t xml:space="preserve">[13]</w:t>
        </w:r>
      </w:hyperlink>
    </w:p>
    <w:bookmarkEnd w:id="30"/>
    <w:bookmarkStart w:id="34" w:name="X85bd88a23ba5508556bcf95d1d4c7fcabeb3372"/>
    <w:p>
      <w:pPr>
        <w:pStyle w:val="Heading2"/>
      </w:pPr>
      <w:r>
        <w:t xml:space="preserve">Augmentation-first messaging versus automation-first messaging</w:t>
      </w:r>
    </w:p>
    <w:p>
      <w:pPr>
        <w:pStyle w:val="FirstParagraph"/>
      </w:pPr>
      <w:r>
        <w:t xml:space="preserve">A recurrent 2023 theme in EY’s leadership commentary is “augmentation”: AI as a tool that improves human work rather than replacing it, and as something whose true value lies beyond automation.</w:t>
      </w:r>
    </w:p>
    <w:p>
      <w:pPr>
        <w:pStyle w:val="BodyText"/>
      </w:pPr>
      <w:r>
        <w:t xml:space="preserve">The EY Ireland article is unusually explicit: it states that while AI can enable automation, “that is not what the technology has been designed for,” and it repeatedly argues that augmentation is a “clearer” and “better pathway” than automation—concluding that “augmentation will deliver superior results to automation in almost every case.”</w:t>
      </w:r>
      <w:r>
        <w:t xml:space="preserve"> </w:t>
      </w:r>
      <w:hyperlink r:id="rId28">
        <w:r>
          <w:rPr>
            <w:rStyle w:val="Hyperlink"/>
          </w:rPr>
          <w:t xml:space="preserve">[10]</w:t>
        </w:r>
      </w:hyperlink>
    </w:p>
    <w:p>
      <w:pPr>
        <w:pStyle w:val="BodyText"/>
      </w:pPr>
      <w:r>
        <w:t xml:space="preserve">However, within weeks of that piece, EY content in other parts of the organisation strongly adopts an automation-forward framing. A global alliance page promoting “AI-enabled automation services” describes intelligent automation as “designed to boost productivity, reduce manual processes and improve operational efficiencies,” and it promotes “hyper-automation programs” and “unattended, AI-infused automation – at scale.”</w:t>
      </w:r>
      <w:r>
        <w:t xml:space="preserve"> </w:t>
      </w:r>
      <w:hyperlink r:id="rId31">
        <w:r>
          <w:rPr>
            <w:rStyle w:val="Hyperlink"/>
          </w:rPr>
          <w:t xml:space="preserve">[14]</w:t>
        </w:r>
      </w:hyperlink>
    </w:p>
    <w:p>
      <w:pPr>
        <w:pStyle w:val="BodyText"/>
      </w:pPr>
      <w:r>
        <w:t xml:space="preserve">By 2025, automation becomes even more explicit in EY’s public framing through “agentic AI.” A May 2025 article on an EY India site is titled as “the next frontier in automation,” arguing that existing approaches cover only a portion of processes and that agentic AI “takes it further,” applying reasoning to execute actions and deliver “measurable outcomes.”</w:t>
      </w:r>
      <w:r>
        <w:t xml:space="preserve"> </w:t>
      </w:r>
      <w:hyperlink r:id="rId32">
        <w:r>
          <w:rPr>
            <w:rStyle w:val="Hyperlink"/>
          </w:rPr>
          <w:t xml:space="preserve">[15]</w:t>
        </w:r>
      </w:hyperlink>
    </w:p>
    <w:p>
      <w:pPr>
        <w:pStyle w:val="BodyText"/>
      </w:pPr>
      <w:r>
        <w:t xml:space="preserve">In early 2025, EY India’s jobs/productivity content quantifies automation potential in a way that conflicts with the earlier “not designed for automation” line: it reports that 24% of tasks can be “fully automated,” with another 42% significantly reduced, implying that automation is not an edge case but a central value mechanism in knowledge work transformation.</w:t>
      </w:r>
      <w:r>
        <w:t xml:space="preserve"> </w:t>
      </w:r>
      <w:hyperlink r:id="rId33">
        <w:r>
          <w:rPr>
            <w:rStyle w:val="Hyperlink"/>
          </w:rPr>
          <w:t xml:space="preserve">[16]</w:t>
        </w:r>
      </w:hyperlink>
    </w:p>
    <w:p>
      <w:pPr>
        <w:pStyle w:val="BodyText"/>
      </w:pPr>
      <w:r>
        <w:t xml:space="preserve">Taken together, the post‑2021 trajectory shows a</w:t>
      </w:r>
      <w:r>
        <w:t xml:space="preserve"> </w:t>
      </w:r>
      <w:r>
        <w:rPr>
          <w:b/>
          <w:bCs/>
        </w:rPr>
        <w:t xml:space="preserve">shift from a normative claim</w:t>
      </w:r>
      <w:r>
        <w:t xml:space="preserve"> </w:t>
      </w:r>
      <w:r>
        <w:t xml:space="preserve">(“AI isn’t designed for automation; augmentation is the priority”) to</w:t>
      </w:r>
      <w:r>
        <w:t xml:space="preserve"> </w:t>
      </w:r>
      <w:r>
        <w:rPr>
          <w:b/>
          <w:bCs/>
        </w:rPr>
        <w:t xml:space="preserve">an operational claim</w:t>
      </w:r>
      <w:r>
        <w:t xml:space="preserve"> </w:t>
      </w:r>
      <w:r>
        <w:t xml:space="preserve">(“automation programmes at scale; agentic AI extends automation; a quantifiable portion of tasks can be automated”). In practice, those positions can be reconciled only by narrowing the first claim to a philosophical stance rather than a description of typical use; as written, they clash.</w:t>
      </w:r>
      <w:r>
        <w:t xml:space="preserve"> </w:t>
      </w:r>
      <w:hyperlink r:id="rId28">
        <w:r>
          <w:rPr>
            <w:rStyle w:val="Hyperlink"/>
          </w:rPr>
          <w:t xml:space="preserve">[17]</w:t>
        </w:r>
      </w:hyperlink>
    </w:p>
    <w:bookmarkEnd w:id="34"/>
    <w:bookmarkStart w:id="37" w:name="X2776bb7a0f2c2eed2553277df733ddef92d5dcf"/>
    <w:p>
      <w:pPr>
        <w:pStyle w:val="Heading2"/>
      </w:pPr>
      <w:r>
        <w:t xml:space="preserve">Workforce impact: “job redundancy is a reality” versus “rather than reducing headcount”</w:t>
      </w:r>
    </w:p>
    <w:p>
      <w:pPr>
        <w:pStyle w:val="FirstParagraph"/>
      </w:pPr>
      <w:r>
        <w:t xml:space="preserve">EY’s post‑2021 AI publishing also contains sharply different messaging about employment impacts—ranging from strong displacement language to strong augmentation language.</w:t>
      </w:r>
    </w:p>
    <w:p>
      <w:pPr>
        <w:pStyle w:val="BodyText"/>
      </w:pPr>
      <w:r>
        <w:t xml:space="preserve">In an Australia-hosted EY PDF about GenAI and the “people agenda,” EY states that “job redundancy is a reality,” and it gives concrete displacement examples: autonomous trucks could replace millions of driving jobs, automated warehouses could displace warehousing roles, and cashiers are “at risk of job loss due to AI.”</w:t>
      </w:r>
      <w:r>
        <w:t xml:space="preserve"> </w:t>
      </w:r>
      <w:hyperlink r:id="rId35">
        <w:r>
          <w:rPr>
            <w:rStyle w:val="Hyperlink"/>
          </w:rPr>
          <w:t xml:space="preserve">[18]</w:t>
        </w:r>
      </w:hyperlink>
      <w:r>
        <w:t xml:space="preserve"> </w:t>
      </w:r>
      <w:r>
        <w:t xml:space="preserve">The same document also offers a competitive framing of displacement: “For now, you are not going to lose your job to AI, but… you might lose it to someone who can use AI better than you.”</w:t>
      </w:r>
      <w:r>
        <w:t xml:space="preserve"> </w:t>
      </w:r>
      <w:hyperlink r:id="rId35">
        <w:r>
          <w:rPr>
            <w:rStyle w:val="Hyperlink"/>
          </w:rPr>
          <w:t xml:space="preserve">[18]</w:t>
        </w:r>
      </w:hyperlink>
    </w:p>
    <w:p>
      <w:pPr>
        <w:pStyle w:val="BodyText"/>
      </w:pPr>
      <w:r>
        <w:t xml:space="preserve">That displacement framing sits awkwardly alongside EY’s tax-oriented GenAI article, which explicitly argues the opposite for its domain: “Rather than reducing headcount,” GenAI is “likely to augment the talent of tax professionals and create new AI-powered roles.”</w:t>
      </w:r>
      <w:r>
        <w:t xml:space="preserve"> </w:t>
      </w:r>
      <w:hyperlink r:id="rId25">
        <w:r>
          <w:rPr>
            <w:rStyle w:val="Hyperlink"/>
          </w:rPr>
          <w:t xml:space="preserve">[6]</w:t>
        </w:r>
      </w:hyperlink>
    </w:p>
    <w:p>
      <w:pPr>
        <w:pStyle w:val="BodyText"/>
      </w:pPr>
      <w:r>
        <w:t xml:space="preserve">A global CEO-focused press release from mid‑2023 similarly emphasises a counterbalance: it reports that many CEOs believe AI’s workforce replacement effects will be offset by new roles and opportunities created by the technology.</w:t>
      </w:r>
      <w:r>
        <w:t xml:space="preserve"> </w:t>
      </w:r>
      <w:hyperlink r:id="rId36">
        <w:r>
          <w:rPr>
            <w:rStyle w:val="Hyperlink"/>
          </w:rPr>
          <w:t xml:space="preserve">[19]</w:t>
        </w:r>
      </w:hyperlink>
    </w:p>
    <w:p>
      <w:pPr>
        <w:pStyle w:val="BodyText"/>
      </w:pPr>
      <w:r>
        <w:t xml:space="preserve">These statements can be harmonised only by adding scope qualifiers that the documents themselves do not consistently foreground (e.g., “in tax functions we expect augmentation,” “in routine manual jobs we expect displacement”). As published, the “job redundancy is a reality” claim and the “rather than reducing headcount” claim create a straightforward contradiction in the implied direction of impact—especially for readers consuming EY thought leadership as a unified institutional viewpoint.</w:t>
      </w:r>
      <w:r>
        <w:t xml:space="preserve"> </w:t>
      </w:r>
      <w:hyperlink r:id="rId35">
        <w:r>
          <w:rPr>
            <w:rStyle w:val="Hyperlink"/>
          </w:rPr>
          <w:t xml:space="preserve">[20]</w:t>
        </w:r>
      </w:hyperlink>
    </w:p>
    <w:bookmarkEnd w:id="37"/>
    <w:bookmarkStart w:id="39" w:name="Xd79c916be4646b9b75955ad053ae2e3f72cb84b"/>
    <w:p>
      <w:pPr>
        <w:pStyle w:val="Heading2"/>
      </w:pPr>
      <w:r>
        <w:t xml:space="preserve">What the contradictions indicate about EY’s post‑2021 AI evolution</w:t>
      </w:r>
    </w:p>
    <w:p>
      <w:pPr>
        <w:pStyle w:val="FirstParagraph"/>
      </w:pPr>
      <w:r>
        <w:t xml:space="preserve">Across 2022–2025, EY’s AI content increasingly reflects a broadening set of “AI futures” rather than a single institutional thesis: it simultaneously promotes democratisation (GenAI expands access), warns of concentration (AI benefits accrue to dominant players), urges augmentation (humans-first value), and markets automation (hyper-automation and agentic execution).</w:t>
      </w:r>
      <w:r>
        <w:t xml:space="preserve"> </w:t>
      </w:r>
      <w:hyperlink r:id="rId24">
        <w:r>
          <w:rPr>
            <w:rStyle w:val="Hyperlink"/>
          </w:rPr>
          <w:t xml:space="preserve">[21]</w:t>
        </w:r>
      </w:hyperlink>
    </w:p>
    <w:p>
      <w:pPr>
        <w:pStyle w:val="BodyText"/>
      </w:pPr>
      <w:r>
        <w:t xml:space="preserve">Some of the apparent contradictions look like</w:t>
      </w:r>
      <w:r>
        <w:t xml:space="preserve"> </w:t>
      </w:r>
      <w:r>
        <w:rPr>
          <w:b/>
          <w:bCs/>
        </w:rPr>
        <w:t xml:space="preserve">phase shifts</w:t>
      </w:r>
      <w:r>
        <w:t xml:space="preserve"> </w:t>
      </w:r>
      <w:r>
        <w:t xml:space="preserve">in the market narrative: for example, in 2023 EY emphasises that AI’s enterprise promise has not happened at scale and that breakthrough value is still pending, while by 2025 EY simultaneously reports broad productivity/efficiency wins in survey findings and quantifies task automation potential.</w:t>
      </w:r>
      <w:r>
        <w:t xml:space="preserve"> </w:t>
      </w:r>
      <w:hyperlink r:id="rId38">
        <w:r>
          <w:rPr>
            <w:rStyle w:val="Hyperlink"/>
          </w:rPr>
          <w:t xml:space="preserve">[22]</w:t>
        </w:r>
      </w:hyperlink>
      <w:r>
        <w:t xml:space="preserve"> </w:t>
      </w:r>
      <w:r>
        <w:t xml:space="preserve">But several contradictions do not reduce to “time passed”; they are explicit reversals of direction (democratisation vs concentration) and co-existing messages within the same era (hype scepticism vs “live up to the hype”).</w:t>
      </w:r>
      <w:r>
        <w:t xml:space="preserve"> </w:t>
      </w:r>
      <w:hyperlink r:id="rId21">
        <w:r>
          <w:rPr>
            <w:rStyle w:val="Hyperlink"/>
          </w:rPr>
          <w:t xml:space="preserve">[23]</w:t>
        </w:r>
      </w:hyperlink>
    </w:p>
    <w:p>
      <w:pPr>
        <w:pStyle w:val="BodyText"/>
      </w:pPr>
      <w:r>
        <w:t xml:space="preserve">From a “deep research” standpoint, the strongest post‑2021 contradiction cluster is the</w:t>
      </w:r>
      <w:r>
        <w:t xml:space="preserve"> </w:t>
      </w:r>
      <w:r>
        <w:rPr>
          <w:b/>
          <w:bCs/>
        </w:rPr>
        <w:t xml:space="preserve">access story</w:t>
      </w:r>
      <w:r>
        <w:t xml:space="preserve">:</w:t>
      </w:r>
    </w:p>
    <w:p>
      <w:pPr>
        <w:pStyle w:val="Compact"/>
        <w:numPr>
          <w:ilvl w:val="0"/>
          <w:numId w:val="1001"/>
        </w:numPr>
      </w:pPr>
      <w:r>
        <w:t xml:space="preserve">2023–2024: GenAI is framed as opening up AI (democratising access to data, insights, and even software creation through low-code/no-code).</w:t>
      </w:r>
      <w:r>
        <w:t xml:space="preserve"> </w:t>
      </w:r>
      <w:hyperlink r:id="rId24">
        <w:r>
          <w:rPr>
            <w:rStyle w:val="Hyperlink"/>
          </w:rPr>
          <w:t xml:space="preserve">[24]</w:t>
        </w:r>
      </w:hyperlink>
    </w:p>
    <w:p>
      <w:pPr>
        <w:pStyle w:val="Compact"/>
        <w:numPr>
          <w:ilvl w:val="0"/>
          <w:numId w:val="1001"/>
        </w:numPr>
      </w:pPr>
      <w:r>
        <w:t xml:space="preserve">2025: AI is framed—at least in one major industry scenario—as scaling exclusion and concentrating benefits among powerful incumbents, with models, data, and talent becoming inaccessible for most firms.</w:t>
      </w:r>
      <w:r>
        <w:t xml:space="preserve"> </w:t>
      </w:r>
      <w:hyperlink r:id="rId21">
        <w:r>
          <w:rPr>
            <w:rStyle w:val="Hyperlink"/>
          </w:rPr>
          <w:t xml:space="preserve">[8]</w:t>
        </w:r>
      </w:hyperlink>
    </w:p>
    <w:p>
      <w:pPr>
        <w:pStyle w:val="FirstParagraph"/>
      </w:pPr>
      <w:r>
        <w:t xml:space="preserve">The second strongest cluster is the</w:t>
      </w:r>
      <w:r>
        <w:t xml:space="preserve"> </w:t>
      </w:r>
      <w:r>
        <w:rPr>
          <w:b/>
          <w:bCs/>
        </w:rPr>
        <w:t xml:space="preserve">work design story</w:t>
      </w:r>
      <w:r>
        <w:t xml:space="preserve">:</w:t>
      </w:r>
    </w:p>
    <w:p>
      <w:pPr>
        <w:pStyle w:val="Compact"/>
        <w:numPr>
          <w:ilvl w:val="0"/>
          <w:numId w:val="1002"/>
        </w:numPr>
      </w:pPr>
      <w:r>
        <w:t xml:space="preserve">2023: parts of EY’s narrative argue AI is not “designed” for automation and that augmentation dominates as the value path.</w:t>
      </w:r>
      <w:r>
        <w:t xml:space="preserve"> </w:t>
      </w:r>
      <w:hyperlink r:id="rId28">
        <w:r>
          <w:rPr>
            <w:rStyle w:val="Hyperlink"/>
          </w:rPr>
          <w:t xml:space="preserve">[10]</w:t>
        </w:r>
      </w:hyperlink>
    </w:p>
    <w:p>
      <w:pPr>
        <w:pStyle w:val="Compact"/>
        <w:numPr>
          <w:ilvl w:val="0"/>
          <w:numId w:val="1002"/>
        </w:numPr>
      </w:pPr>
      <w:r>
        <w:t xml:space="preserve">2023–2025: other parts of EY’s narrative adopt an automation-first and “agentic” framing (hyper-automation at scale, and quantifiable full automation of a material share of tasks).</w:t>
      </w:r>
      <w:r>
        <w:t xml:space="preserve"> </w:t>
      </w:r>
      <w:hyperlink r:id="rId31">
        <w:r>
          <w:rPr>
            <w:rStyle w:val="Hyperlink"/>
          </w:rPr>
          <w:t xml:space="preserve">[25]</w:t>
        </w:r>
      </w:hyperlink>
    </w:p>
    <w:p>
      <w:pPr>
        <w:pStyle w:val="FirstParagraph"/>
      </w:pPr>
      <w:r>
        <w:t xml:space="preserve">A rigorous reading is that EY’s post‑2021 AI publishing behaves less like a single evolving viewpoint and more like a collection of partially independent voices—service lines, geographies and content types—whose messages can legitimately differ, but which sometimes land as contradictory when consumed together under one brand.</w:t>
      </w:r>
      <w:r>
        <w:t xml:space="preserve"> </w:t>
      </w:r>
      <w:hyperlink r:id="rId28">
        <w:r>
          <w:rPr>
            <w:rStyle w:val="Hyperlink"/>
          </w:rPr>
          <w:t xml:space="preserve">[26]</w:t>
        </w:r>
      </w:hyperlink>
    </w:p>
    <w:bookmarkEnd w:id="39"/>
    <w:bookmarkEnd w:id="40"/>
    <w:bookmarkEnd w:id="41"/>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[23]</w:t>
        </w:r>
      </w:hyperlink>
      <w:r>
        <w:t xml:space="preserve"> </w:t>
      </w:r>
      <w:r>
        <w:t xml:space="preserve">How to shape the future of AI in consumer products | EY China</w:t>
      </w:r>
    </w:p>
    <w:p>
      <w:pPr>
        <w:pStyle w:val="BodyText"/>
      </w:pPr>
      <w:hyperlink r:id="rId21">
        <w:r>
          <w:rPr>
            <w:rStyle w:val="Hyperlink"/>
          </w:rPr>
          <w:t xml:space="preserve">https://www.ey.com/en_cn/insights/consumer-products/how-to-shape-the-future-of-ai-in-consumer-products</w:t>
        </w:r>
      </w:hyperlink>
    </w:p>
    <w:p>
      <w:pPr>
        <w:pStyle w:val="BodyText"/>
      </w:pPr>
      <w:hyperlink r:id="rId22">
        <w:r>
          <w:rPr>
            <w:rStyle w:val="Hyperlink"/>
          </w:rPr>
          <w:t xml:space="preserve">[3]</w:t>
        </w:r>
      </w:hyperlink>
      <w:r>
        <w:t xml:space="preserve"> </w:t>
      </w:r>
      <w:r>
        <w:t xml:space="preserve">Internal Error</w:t>
      </w:r>
    </w:p>
    <w:p>
      <w:pPr>
        <w:pStyle w:val="BodyText"/>
      </w:pPr>
      <w:hyperlink r:id="rId22"/>
    </w:p>
    <w:p>
      <w:pPr>
        <w:pStyle w:val="BodyText"/>
      </w:pPr>
      <w:hyperlink r:id="rId24">
        <w:r>
          <w:rPr>
            <w:rStyle w:val="Hyperlink"/>
          </w:rPr>
          <w:t xml:space="preserve">[5]</w:t>
        </w:r>
      </w:hyperlink>
      <w:r>
        <w:t xml:space="preserve"> </w:t>
      </w:r>
      <w:hyperlink r:id="rId24">
        <w:r>
          <w:rPr>
            <w:rStyle w:val="Hyperlink"/>
          </w:rPr>
          <w:t xml:space="preserve">[21]</w:t>
        </w:r>
      </w:hyperlink>
      <w:r>
        <w:t xml:space="preserve"> </w:t>
      </w:r>
      <w:hyperlink r:id="rId24">
        <w:r>
          <w:rPr>
            <w:rStyle w:val="Hyperlink"/>
          </w:rPr>
          <w:t xml:space="preserve">[24]</w:t>
        </w:r>
      </w:hyperlink>
      <w:r>
        <w:t xml:space="preserve"> </w:t>
      </w:r>
      <w:r>
        <w:t xml:space="preserve">How AI can help accelerate the pace of change | EY - Global</w:t>
      </w:r>
    </w:p>
    <w:p>
      <w:pPr>
        <w:pStyle w:val="BodyText"/>
      </w:pPr>
      <w:hyperlink r:id="rId24">
        <w:r>
          <w:rPr>
            <w:rStyle w:val="Hyperlink"/>
          </w:rPr>
          <w:t xml:space="preserve">https://www.ey.com/en_gl/insights/sustainability/how-can-ai-help-us-accelerate-the-pace-of-change-the-world-needs</w:t>
        </w:r>
      </w:hyperlink>
    </w:p>
    <w:p>
      <w:pPr>
        <w:pStyle w:val="BodyText"/>
      </w:pPr>
      <w:hyperlink r:id="rId25">
        <w:r>
          <w:rPr>
            <w:rStyle w:val="Hyperlink"/>
          </w:rPr>
          <w:t xml:space="preserve">[6]</w:t>
        </w:r>
      </w:hyperlink>
      <w:r>
        <w:t xml:space="preserve"> </w:t>
      </w:r>
      <w:r>
        <w:t xml:space="preserve">GenAI can help tax functions address challenges | EY - Global</w:t>
      </w:r>
    </w:p>
    <w:p>
      <w:pPr>
        <w:pStyle w:val="BodyText"/>
      </w:pPr>
      <w:hyperlink r:id="rId25">
        <w:r>
          <w:rPr>
            <w:rStyle w:val="Hyperlink"/>
          </w:rPr>
          <w:t xml:space="preserve">https://www.ey.com/en_rs/insights/tax/how-generative-ai-might-help-tax-functions-tackle-challenges</w:t>
        </w:r>
      </w:hyperlink>
    </w:p>
    <w:p>
      <w:pPr>
        <w:pStyle w:val="BodyText"/>
      </w:pPr>
      <w:hyperlink r:id="rId26">
        <w:r>
          <w:rPr>
            <w:rStyle w:val="Hyperlink"/>
          </w:rPr>
          <w:t xml:space="preserve">[7]</w:t>
        </w:r>
      </w:hyperlink>
      <w:r>
        <w:t xml:space="preserve"> </w:t>
      </w:r>
      <w:r>
        <w:t xml:space="preserve">Three AI trends transforming the future of work | EY - US</w:t>
      </w:r>
    </w:p>
    <w:p>
      <w:pPr>
        <w:pStyle w:val="BodyText"/>
      </w:pPr>
      <w:hyperlink r:id="rId26">
        <w:r>
          <w:rPr>
            <w:rStyle w:val="Hyperlink"/>
          </w:rPr>
          <w:t xml:space="preserve">https://www.ey.com/en_us/insights/emerging-technologies/three-ai-trends-transforming-the-future-of-work</w:t>
        </w:r>
      </w:hyperlink>
    </w:p>
    <w:p>
      <w:pPr>
        <w:pStyle w:val="BodyText"/>
      </w:pPr>
      <w:hyperlink r:id="rId28">
        <w:r>
          <w:rPr>
            <w:rStyle w:val="Hyperlink"/>
          </w:rPr>
          <w:t xml:space="preserve">[10]</w:t>
        </w:r>
      </w:hyperlink>
      <w:r>
        <w:t xml:space="preserve"> </w:t>
      </w:r>
      <w:hyperlink r:id="rId28">
        <w:r>
          <w:rPr>
            <w:rStyle w:val="Hyperlink"/>
          </w:rPr>
          <w:t xml:space="preserve">[12]</w:t>
        </w:r>
      </w:hyperlink>
      <w:r>
        <w:t xml:space="preserve"> </w:t>
      </w:r>
      <w:hyperlink r:id="rId28">
        <w:r>
          <w:rPr>
            <w:rStyle w:val="Hyperlink"/>
          </w:rPr>
          <w:t xml:space="preserve">[13]</w:t>
        </w:r>
      </w:hyperlink>
      <w:r>
        <w:t xml:space="preserve"> </w:t>
      </w:r>
      <w:hyperlink r:id="rId28">
        <w:r>
          <w:rPr>
            <w:rStyle w:val="Hyperlink"/>
          </w:rPr>
          <w:t xml:space="preserve">[17]</w:t>
        </w:r>
      </w:hyperlink>
      <w:r>
        <w:t xml:space="preserve"> </w:t>
      </w:r>
      <w:hyperlink r:id="rId28">
        <w:r>
          <w:rPr>
            <w:rStyle w:val="Hyperlink"/>
          </w:rPr>
          <w:t xml:space="preserve">[26]</w:t>
        </w:r>
      </w:hyperlink>
      <w:r>
        <w:t xml:space="preserve"> </w:t>
      </w:r>
      <w:r>
        <w:t xml:space="preserve">How AI can enhance the value of human ability to drive business growth | EY - Ireland</w:t>
      </w:r>
    </w:p>
    <w:p>
      <w:pPr>
        <w:pStyle w:val="BodyText"/>
      </w:pPr>
      <w:hyperlink r:id="rId28">
        <w:r>
          <w:rPr>
            <w:rStyle w:val="Hyperlink"/>
          </w:rPr>
          <w:t xml:space="preserve">https://www.ey.com/en_ie/insights/consulting/how-ai-can-enhance-the-value-of-human-ability-to-drive-business-growth</w:t>
        </w:r>
      </w:hyperlink>
    </w:p>
    <w:p>
      <w:pPr>
        <w:pStyle w:val="BodyText"/>
      </w:pPr>
      <w:hyperlink r:id="rId29">
        <w:r>
          <w:rPr>
            <w:rStyle w:val="Hyperlink"/>
          </w:rPr>
          <w:t xml:space="preserve">[11]</w:t>
        </w:r>
      </w:hyperlink>
      <w:r>
        <w:t xml:space="preserve"> </w:t>
      </w:r>
      <w:r>
        <w:t xml:space="preserve">assets.ey.com</w:t>
      </w:r>
    </w:p>
    <w:p>
      <w:pPr>
        <w:pStyle w:val="BodyText"/>
      </w:pPr>
      <w:hyperlink r:id="rId29">
        <w:r>
          <w:rPr>
            <w:rStyle w:val="Hyperlink"/>
          </w:rPr>
          <w:t xml:space="preserve">https://assets.ey.com/content/dam/ey-sites/ey-com/en_gl/topics/ai/ey-ai-external-pov-v2.pdf</w:t>
        </w:r>
      </w:hyperlink>
    </w:p>
    <w:p>
      <w:pPr>
        <w:pStyle w:val="BodyText"/>
      </w:pPr>
      <w:hyperlink r:id="rId31">
        <w:r>
          <w:rPr>
            <w:rStyle w:val="Hyperlink"/>
          </w:rPr>
          <w:t xml:space="preserve">[14]</w:t>
        </w:r>
      </w:hyperlink>
      <w:r>
        <w:t xml:space="preserve"> </w:t>
      </w:r>
      <w:hyperlink r:id="rId31">
        <w:r>
          <w:rPr>
            <w:rStyle w:val="Hyperlink"/>
          </w:rPr>
          <w:t xml:space="preserve">[25]</w:t>
        </w:r>
      </w:hyperlink>
      <w:r>
        <w:t xml:space="preserve"> </w:t>
      </w:r>
      <w:r>
        <w:t xml:space="preserve">AI-enabled automation services | EY - Global</w:t>
      </w:r>
    </w:p>
    <w:p>
      <w:pPr>
        <w:pStyle w:val="BodyText"/>
      </w:pPr>
      <w:hyperlink r:id="rId31">
        <w:r>
          <w:rPr>
            <w:rStyle w:val="Hyperlink"/>
          </w:rPr>
          <w:t xml:space="preserve">https://www.ey.com/en_gl/alliances/microsoft/ai-enabled-automation-services</w:t>
        </w:r>
      </w:hyperlink>
    </w:p>
    <w:p>
      <w:pPr>
        <w:pStyle w:val="BodyText"/>
      </w:pPr>
      <w:hyperlink r:id="rId32">
        <w:r>
          <w:rPr>
            <w:rStyle w:val="Hyperlink"/>
          </w:rPr>
          <w:t xml:space="preserve">[15]</w:t>
        </w:r>
      </w:hyperlink>
      <w:r>
        <w:t xml:space="preserve"> </w:t>
      </w:r>
      <w:r>
        <w:t xml:space="preserve">Agentic AI: The Next Frontier in Automation | EY - India</w:t>
      </w:r>
    </w:p>
    <w:p>
      <w:pPr>
        <w:pStyle w:val="BodyText"/>
      </w:pPr>
      <w:hyperlink r:id="rId32">
        <w:r>
          <w:rPr>
            <w:rStyle w:val="Hyperlink"/>
          </w:rPr>
          <w:t xml:space="preserve">https://www.ey.com/en_in/insights/ai/agentic-ai-the-next-frontier-in-automation</w:t>
        </w:r>
      </w:hyperlink>
    </w:p>
    <w:p>
      <w:pPr>
        <w:pStyle w:val="BodyText"/>
      </w:pPr>
      <w:hyperlink r:id="rId33">
        <w:r>
          <w:rPr>
            <w:rStyle w:val="Hyperlink"/>
          </w:rPr>
          <w:t xml:space="preserve">[16]</w:t>
        </w:r>
      </w:hyperlink>
      <w:r>
        <w:t xml:space="preserve"> </w:t>
      </w:r>
      <w:r>
        <w:t xml:space="preserve">GenAI Transforming Workforce Productivity &amp; Jobs in India | EY - India</w:t>
      </w:r>
    </w:p>
    <w:p>
      <w:pPr>
        <w:pStyle w:val="BodyText"/>
      </w:pPr>
      <w:hyperlink r:id="rId33">
        <w:r>
          <w:rPr>
            <w:rStyle w:val="Hyperlink"/>
          </w:rPr>
          <w:t xml:space="preserve">https://www.ey.com/en_in/insights/ai/generative-ai-india-2025-report/gen-ai-productivity-impact-india-jobs-study</w:t>
        </w:r>
      </w:hyperlink>
    </w:p>
    <w:p>
      <w:pPr>
        <w:pStyle w:val="BodyText"/>
      </w:pPr>
      <w:hyperlink r:id="rId35">
        <w:r>
          <w:rPr>
            <w:rStyle w:val="Hyperlink"/>
          </w:rPr>
          <w:t xml:space="preserve">[18]</w:t>
        </w:r>
      </w:hyperlink>
      <w:r>
        <w:t xml:space="preserve"> </w:t>
      </w:r>
      <w:hyperlink r:id="rId35">
        <w:r>
          <w:rPr>
            <w:rStyle w:val="Hyperlink"/>
          </w:rPr>
          <w:t xml:space="preserve">[20]</w:t>
        </w:r>
      </w:hyperlink>
      <w:r>
        <w:t xml:space="preserve"> </w:t>
      </w:r>
      <w:r>
        <w:t xml:space="preserve">ey.com</w:t>
      </w:r>
    </w:p>
    <w:p>
      <w:pPr>
        <w:pStyle w:val="BodyText"/>
      </w:pPr>
      <w:hyperlink r:id="rId35">
        <w:r>
          <w:rPr>
            <w:rStyle w:val="Hyperlink"/>
          </w:rPr>
          <w:t xml:space="preserve">https://www.ey.com/content/dam/ey-unified-site/ey-com/en-au/insights/ai/documents/ey-genai-and-the-people-agenda-will-ai-change-the-world-for-good-or-just-change-it.pdf</w:t>
        </w:r>
      </w:hyperlink>
    </w:p>
    <w:p>
      <w:pPr>
        <w:pStyle w:val="BodyText"/>
      </w:pPr>
      <w:hyperlink r:id="rId36">
        <w:r>
          <w:rPr>
            <w:rStyle w:val="Hyperlink"/>
          </w:rPr>
          <w:t xml:space="preserve">[19]</w:t>
        </w:r>
      </w:hyperlink>
      <w:r>
        <w:t xml:space="preserve"> </w:t>
      </w:r>
      <w:r>
        <w:t xml:space="preserve">CEO confidence in artificial intelligence tempered by social, ethical and security risks | EY - Global</w:t>
      </w:r>
    </w:p>
    <w:p>
      <w:pPr>
        <w:pStyle w:val="BodyText"/>
      </w:pPr>
      <w:hyperlink r:id="rId36">
        <w:r>
          <w:rPr>
            <w:rStyle w:val="Hyperlink"/>
          </w:rPr>
          <w:t xml:space="preserve">https://www.ey.com/en_gl/newsroom/2023/07/ceo-confidence-in-artificial-intelligence-tempered-by-social-ethical-and-security-risks</w:t>
        </w:r>
      </w:hyperlink>
    </w:p>
    <w:p>
      <w:pPr>
        <w:pStyle w:val="BodyText"/>
      </w:pPr>
      <w:hyperlink r:id="rId38">
        <w:r>
          <w:rPr>
            <w:rStyle w:val="Hyperlink"/>
          </w:rPr>
          <w:t xml:space="preserve">[22]</w:t>
        </w:r>
      </w:hyperlink>
      <w:r>
        <w:t xml:space="preserve"> </w:t>
      </w:r>
      <w:r>
        <w:t xml:space="preserve">Why enabling AI’s full value requires top-down thinking | EY - Global</w:t>
      </w:r>
    </w:p>
    <w:p>
      <w:pPr>
        <w:pStyle w:val="BodyText"/>
      </w:pPr>
      <w:hyperlink r:id="rId38">
        <w:r>
          <w:rPr>
            <w:rStyle w:val="Hyperlink"/>
          </w:rPr>
          <w:t xml:space="preserve">https://www.ey.com/en_gl/insights/consulting/why-enabling-ais-full-value-requires-top-down-thinking</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 TargetMode="External" /><Relationship Type="http://schemas.openxmlformats.org/officeDocument/2006/relationships/hyperlink" Id="rId29" Target="https://assets.ey.com/content/dam/ey-sites/ey-com/en_gl/topics/ai/ey-ai-external-pov-v2.pdf" TargetMode="External" /><Relationship Type="http://schemas.openxmlformats.org/officeDocument/2006/relationships/hyperlink" Id="rId35" Target="https://www.ey.com/content/dam/ey-unified-site/ey-com/en-au/insights/ai/documents/ey-genai-and-the-people-agenda-will-ai-change-the-world-for-good-or-just-change-it.pdf" TargetMode="External" /><Relationship Type="http://schemas.openxmlformats.org/officeDocument/2006/relationships/hyperlink" Id="rId21" Target="https://www.ey.com/en_cn/insights/consumer-products/how-to-shape-the-future-of-ai-in-consumer-products" TargetMode="External" /><Relationship Type="http://schemas.openxmlformats.org/officeDocument/2006/relationships/hyperlink" Id="rId31" Target="https://www.ey.com/en_gl/alliances/microsoft/ai-enabled-automation-services" TargetMode="External" /><Relationship Type="http://schemas.openxmlformats.org/officeDocument/2006/relationships/hyperlink" Id="rId38" Target="https://www.ey.com/en_gl/insights/consulting/why-enabling-ais-full-value-requires-top-down-thinking" TargetMode="External" /><Relationship Type="http://schemas.openxmlformats.org/officeDocument/2006/relationships/hyperlink" Id="rId24" Target="https://www.ey.com/en_gl/insights/sustainability/how-can-ai-help-us-accelerate-the-pace-of-change-the-world-needs" TargetMode="External" /><Relationship Type="http://schemas.openxmlformats.org/officeDocument/2006/relationships/hyperlink" Id="rId36" Target="https://www.ey.com/en_gl/newsroom/2023/07/ceo-confidence-in-artificial-intelligence-tempered-by-social-ethical-and-security-risks" TargetMode="External" /><Relationship Type="http://schemas.openxmlformats.org/officeDocument/2006/relationships/hyperlink" Id="rId28" Target="https://www.ey.com/en_ie/insights/consulting/how-ai-can-enhance-the-value-of-human-ability-to-drive-business-growth" TargetMode="External" /><Relationship Type="http://schemas.openxmlformats.org/officeDocument/2006/relationships/hyperlink" Id="rId32" Target="https://www.ey.com/en_in/insights/ai/agentic-ai-the-next-frontier-in-automation" TargetMode="External" /><Relationship Type="http://schemas.openxmlformats.org/officeDocument/2006/relationships/hyperlink" Id="rId33" Target="https://www.ey.com/en_in/insights/ai/generative-ai-india-2025-report/gen-ai-productivity-impact-india-jobs-study" TargetMode="External" /><Relationship Type="http://schemas.openxmlformats.org/officeDocument/2006/relationships/hyperlink" Id="rId25" Target="https://www.ey.com/en_rs/insights/tax/how-generative-ai-might-help-tax-functions-tackle-challenges" TargetMode="External" /><Relationship Type="http://schemas.openxmlformats.org/officeDocument/2006/relationships/hyperlink" Id="rId26" Target="https://www.ey.com/en_us/insights/emerging-technologies/three-ai-trends-transforming-the-future-of-work" TargetMode="External" /></Relationships>
</file>

<file path=word/_rels/footnotes.xml.rels><?xml version="1.0" encoding="UTF-8"?><Relationships xmlns="http://schemas.openxmlformats.org/package/2006/relationships"><Relationship Type="http://schemas.openxmlformats.org/officeDocument/2006/relationships/hyperlink" Id="rId22" Target="" TargetMode="External" /><Relationship Type="http://schemas.openxmlformats.org/officeDocument/2006/relationships/hyperlink" Id="rId29" Target="https://assets.ey.com/content/dam/ey-sites/ey-com/en_gl/topics/ai/ey-ai-external-pov-v2.pdf" TargetMode="External" /><Relationship Type="http://schemas.openxmlformats.org/officeDocument/2006/relationships/hyperlink" Id="rId35" Target="https://www.ey.com/content/dam/ey-unified-site/ey-com/en-au/insights/ai/documents/ey-genai-and-the-people-agenda-will-ai-change-the-world-for-good-or-just-change-it.pdf" TargetMode="External" /><Relationship Type="http://schemas.openxmlformats.org/officeDocument/2006/relationships/hyperlink" Id="rId21" Target="https://www.ey.com/en_cn/insights/consumer-products/how-to-shape-the-future-of-ai-in-consumer-products" TargetMode="External" /><Relationship Type="http://schemas.openxmlformats.org/officeDocument/2006/relationships/hyperlink" Id="rId31" Target="https://www.ey.com/en_gl/alliances/microsoft/ai-enabled-automation-services" TargetMode="External" /><Relationship Type="http://schemas.openxmlformats.org/officeDocument/2006/relationships/hyperlink" Id="rId38" Target="https://www.ey.com/en_gl/insights/consulting/why-enabling-ais-full-value-requires-top-down-thinking" TargetMode="External" /><Relationship Type="http://schemas.openxmlformats.org/officeDocument/2006/relationships/hyperlink" Id="rId24" Target="https://www.ey.com/en_gl/insights/sustainability/how-can-ai-help-us-accelerate-the-pace-of-change-the-world-needs" TargetMode="External" /><Relationship Type="http://schemas.openxmlformats.org/officeDocument/2006/relationships/hyperlink" Id="rId36" Target="https://www.ey.com/en_gl/newsroom/2023/07/ceo-confidence-in-artificial-intelligence-tempered-by-social-ethical-and-security-risks" TargetMode="External" /><Relationship Type="http://schemas.openxmlformats.org/officeDocument/2006/relationships/hyperlink" Id="rId28" Target="https://www.ey.com/en_ie/insights/consulting/how-ai-can-enhance-the-value-of-human-ability-to-drive-business-growth" TargetMode="External" /><Relationship Type="http://schemas.openxmlformats.org/officeDocument/2006/relationships/hyperlink" Id="rId32" Target="https://www.ey.com/en_in/insights/ai/agentic-ai-the-next-frontier-in-automation" TargetMode="External" /><Relationship Type="http://schemas.openxmlformats.org/officeDocument/2006/relationships/hyperlink" Id="rId33" Target="https://www.ey.com/en_in/insights/ai/generative-ai-india-2025-report/gen-ai-productivity-impact-india-jobs-study" TargetMode="External" /><Relationship Type="http://schemas.openxmlformats.org/officeDocument/2006/relationships/hyperlink" Id="rId25" Target="https://www.ey.com/en_rs/insights/tax/how-generative-ai-might-help-tax-functions-tackle-challenges" TargetMode="External" /><Relationship Type="http://schemas.openxmlformats.org/officeDocument/2006/relationships/hyperlink" Id="rId26" Target="https://www.ey.com/en_us/insights/emerging-technologies/three-ai-trends-transforming-the-future-of-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2026-02-07T16:30:42Z</dcterms:created>
  <dcterms:modified xsi:type="dcterms:W3CDTF">2026-02-07T16:30:42Z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