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2" w:name="content"/>
    <w:bookmarkStart w:id="51" w:name="Xa08eda3b5b49a0663635a23e8c25bd6792966bb"/>
    <w:p>
      <w:pPr>
        <w:pStyle w:val="Heading1"/>
      </w:pPr>
      <w:r>
        <w:t xml:space="preserve">Contradictions in KPMG’s AI narrative in the years following the pandemic</w:t>
      </w:r>
    </w:p>
    <w:bookmarkStart w:id="23" w:name="scope-and-method"/>
    <w:p>
      <w:pPr>
        <w:pStyle w:val="Heading2"/>
      </w:pPr>
      <w:r>
        <w:t xml:space="preserve">Scope and method</w:t>
      </w:r>
    </w:p>
    <w:p>
      <w:pPr>
        <w:pStyle w:val="FirstParagraph"/>
      </w:pPr>
      <w:r>
        <w:t xml:space="preserve">This report reviews publicly accessible AI-related content published on KPMG web domains in the period after the end of two thousand and twenty one (from early two thousand and twenty two through early February two thousand and twenty six). The focus is not whether individual claims were “right” or “wrong”, but whether KPMG’s own published statements (across member-firm sites, global “xx” pages, and downloadable PDFs) materially conflict over time (and sometimes even within the same year).</w:t>
      </w:r>
    </w:p>
    <w:p>
      <w:pPr>
        <w:pStyle w:val="BodyText"/>
      </w:pPr>
      <w:r>
        <w:t xml:space="preserve">To operationalise “contradicted itself”, I used two working tests:</w:t>
      </w:r>
    </w:p>
    <w:p>
      <w:pPr>
        <w:pStyle w:val="Compact"/>
        <w:numPr>
          <w:ilvl w:val="0"/>
          <w:numId w:val="1001"/>
        </w:numPr>
      </w:pPr>
      <w:r>
        <w:rPr>
          <w:b/>
          <w:bCs/>
        </w:rPr>
        <w:t xml:space="preserve">Direct contradiction:</w:t>
      </w:r>
      <w:r>
        <w:t xml:space="preserve"> </w:t>
      </w:r>
      <w:r>
        <w:t xml:space="preserve">two statements cannot both be true as written (for example, “AI won’t replace humans” versus “AI will replace humans” in the same operational context).</w:t>
      </w:r>
    </w:p>
    <w:p>
      <w:pPr>
        <w:pStyle w:val="Compact"/>
        <w:numPr>
          <w:ilvl w:val="0"/>
          <w:numId w:val="1001"/>
        </w:numPr>
      </w:pPr>
      <w:r>
        <w:rPr>
          <w:b/>
          <w:bCs/>
        </w:rPr>
        <w:t xml:space="preserve">Practical contradiction:</w:t>
      </w:r>
      <w:r>
        <w:t xml:space="preserve"> </w:t>
      </w:r>
      <w:r>
        <w:t xml:space="preserve">statements are not logically incompatible in a narrow philosophical sense, but they give readers materially different guidance about</w:t>
      </w:r>
      <w:r>
        <w:t xml:space="preserve"> </w:t>
      </w:r>
      <w:r>
        <w:rPr>
          <w:i/>
          <w:iCs/>
        </w:rPr>
        <w:t xml:space="preserve">pace</w:t>
      </w:r>
      <w:r>
        <w:t xml:space="preserve">,</w:t>
      </w:r>
      <w:r>
        <w:t xml:space="preserve"> </w:t>
      </w:r>
      <w:r>
        <w:rPr>
          <w:i/>
          <w:iCs/>
        </w:rPr>
        <w:t xml:space="preserve">risk</w:t>
      </w:r>
      <w:r>
        <w:t xml:space="preserve">, or</w:t>
      </w:r>
      <w:r>
        <w:t xml:space="preserve"> </w:t>
      </w:r>
      <w:r>
        <w:rPr>
          <w:i/>
          <w:iCs/>
        </w:rPr>
        <w:t xml:space="preserve">human oversight</w:t>
      </w:r>
      <w:r>
        <w:t xml:space="preserve"> </w:t>
      </w:r>
      <w:r>
        <w:t xml:space="preserve">with no clear scoping qualifiers (for example, “fully automates what humans do” alongside “cannot yet replace human oversight”).</w:t>
      </w:r>
      <w:r>
        <w:t xml:space="preserve"> </w:t>
      </w:r>
      <w:hyperlink r:id="rId21">
        <w:r>
          <w:rPr>
            <w:rStyle w:val="Hyperlink"/>
          </w:rPr>
          <w:t xml:space="preserve">[1]</w:t>
        </w:r>
      </w:hyperlink>
    </w:p>
    <w:p>
      <w:pPr>
        <w:pStyle w:val="FirstParagraph"/>
      </w:pPr>
      <w:r>
        <w:t xml:space="preserve">A key contextual factor is that “KPMG” is a</w:t>
      </w:r>
      <w:r>
        <w:t xml:space="preserve"> </w:t>
      </w:r>
      <w:r>
        <w:rPr>
          <w:b/>
          <w:bCs/>
        </w:rPr>
        <w:t xml:space="preserve">global organisation of legally distinct member firms</w:t>
      </w:r>
      <w:r>
        <w:t xml:space="preserve">, and published content is often attributed to specific national firms or to entity["company","KPMG International Limited","global umbrella entity"]. Member firms are described as independent and locally owned/managed; and KPMG International is explicitly described as providing no client services.</w:t>
      </w:r>
      <w:r>
        <w:t xml:space="preserve"> </w:t>
      </w:r>
      <w:hyperlink r:id="rId22">
        <w:r>
          <w:rPr>
            <w:rStyle w:val="Hyperlink"/>
          </w:rPr>
          <w:t xml:space="preserve">[2]</w:t>
        </w:r>
      </w:hyperlink>
    </w:p>
    <w:p>
      <w:pPr>
        <w:pStyle w:val="BodyText"/>
      </w:pPr>
      <w:r>
        <w:t xml:space="preserve">This structure explains</w:t>
      </w:r>
      <w:r>
        <w:t xml:space="preserve"> </w:t>
      </w:r>
      <w:r>
        <w:rPr>
          <w:i/>
          <w:iCs/>
        </w:rPr>
        <w:t xml:space="preserve">how</w:t>
      </w:r>
      <w:r>
        <w:t xml:space="preserve"> </w:t>
      </w:r>
      <w:r>
        <w:t xml:space="preserve">inconsistency can happen, but it does not remove the inconsistency a reader experiences when KPMG-branded content makes opposing claims.</w:t>
      </w:r>
    </w:p>
    <w:bookmarkEnd w:id="23"/>
    <w:bookmarkStart w:id="30" w:name="source-corpus-and-high-signal-examples"/>
    <w:p>
      <w:pPr>
        <w:pStyle w:val="Heading2"/>
      </w:pPr>
      <w:r>
        <w:t xml:space="preserve">Source corpus and high-signal examples</w:t>
      </w:r>
    </w:p>
    <w:p>
      <w:pPr>
        <w:pStyle w:val="FirstParagraph"/>
      </w:pPr>
      <w:r>
        <w:t xml:space="preserve">The evidence base for the contradiction analysis is drawn from KPMG-branded articles and PDFs that explicitly discuss: workforce displacement, human augmentation, “agentic AI”, autonomy, governance, adoption pace, and ROI/value realisation.</w:t>
      </w:r>
    </w:p>
    <w:p>
      <w:pPr>
        <w:pStyle w:val="BodyText"/>
      </w:pPr>
      <w:r>
        <w:t xml:space="preserve">A useful “control” document for interpreting all other messaging is KPMG’s global Trusted AI framing: the Trusted AI framework positions KPMG’s AI approach as</w:t>
      </w:r>
      <w:r>
        <w:t xml:space="preserve"> </w:t>
      </w:r>
      <w:r>
        <w:rPr>
          <w:b/>
          <w:bCs/>
        </w:rPr>
        <w:t xml:space="preserve">human-centric</w:t>
      </w:r>
      <w:r>
        <w:t xml:space="preserve">, explicitly focused on “empower and augment human capabilities,” and it also states that AI is rapidly evolving and that KPMG’s approach will be reviewed and evolved as standards mature.</w:t>
      </w:r>
      <w:r>
        <w:t xml:space="preserve"> </w:t>
      </w:r>
      <w:hyperlink r:id="rId24">
        <w:r>
          <w:rPr>
            <w:rStyle w:val="Hyperlink"/>
          </w:rPr>
          <w:t xml:space="preserve">[3]</w:t>
        </w:r>
      </w:hyperlink>
    </w:p>
    <w:p>
      <w:pPr>
        <w:pStyle w:val="BodyText"/>
      </w:pPr>
      <w:r>
        <w:t xml:space="preserve">image_group{"layout":"carousel","aspect_ratio":"16:9","query":["KPMG global AI in finance report 2024 cover","KPMG AI Workforce From Hype to Hard Truths report cover","KPMG AI and automation in financial reporting guide cover November 2024","KPMG Trusted AI framework KPMG graphic"],"num_per_query":1}</w:t>
      </w:r>
    </w:p>
    <w:p>
      <w:pPr>
        <w:pStyle w:val="BodyText"/>
      </w:pPr>
      <w:r>
        <w:t xml:space="preserve">The table below highlights the most explicit contradictions found (each expanded in later sections).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Contradiction theme</w:t>
            </w:r>
          </w:p>
        </w:tc>
        <w:tc>
          <w:tcPr/>
          <w:p>
            <w:pPr>
              <w:pStyle w:val="Compact"/>
            </w:pPr>
            <w:r>
              <w:t xml:space="preserve">“Position A” in KPMG content</w:t>
            </w:r>
          </w:p>
        </w:tc>
        <w:tc>
          <w:tcPr/>
          <w:p>
            <w:pPr>
              <w:pStyle w:val="Compact"/>
            </w:pPr>
            <w:r>
              <w:t xml:space="preserve">“Position B” in KPMG content</w:t>
            </w:r>
          </w:p>
        </w:tc>
      </w:tr>
      <w:tr>
        <w:tc>
          <w:tcPr/>
          <w:p>
            <w:pPr>
              <w:pStyle w:val="Compact"/>
            </w:pPr>
            <w:r>
              <w:t xml:space="preserve">Humans replaced vs humans augmented</w:t>
            </w:r>
          </w:p>
        </w:tc>
        <w:tc>
          <w:tcPr/>
          <w:p>
            <w:pPr>
              <w:pStyle w:val="Compact"/>
            </w:pPr>
            <w:r>
              <w:t xml:space="preserve">KPMG messaging repeatedly claims AI “won’t replace humans” / should be seen as job-creating or augmenting.</w:t>
            </w:r>
            <w:r>
              <w:t xml:space="preserve"> </w:t>
            </w:r>
            <w:hyperlink r:id="rId25">
              <w:r>
                <w:rPr>
                  <w:rStyle w:val="Hyperlink"/>
                </w:rPr>
                <w:t xml:space="preserve">[4]</w:t>
              </w:r>
            </w:hyperlink>
          </w:p>
        </w:tc>
        <w:tc>
          <w:tcPr/>
          <w:p>
            <w:pPr>
              <w:pStyle w:val="Compact"/>
            </w:pPr>
            <w:r>
              <w:t xml:space="preserve">Other KPMG content says (in present tense) that AI will replace humans in certain tasks, or defines AI as replacing humans in cognitive work.</w:t>
            </w:r>
            <w:r>
              <w:t xml:space="preserve"> </w:t>
            </w:r>
            <w:hyperlink r:id="rId26">
              <w:r>
                <w:rPr>
                  <w:rStyle w:val="Hyperlink"/>
                </w:rPr>
                <w:t xml:space="preserve">[5]</w:t>
              </w:r>
            </w:hyperlink>
          </w:p>
        </w:tc>
      </w:tr>
      <w:tr>
        <w:tc>
          <w:tcPr/>
          <w:p>
            <w:pPr>
              <w:pStyle w:val="Compact"/>
            </w:pPr>
            <w:r>
              <w:t xml:space="preserve">Agentic autonomy vs human-in-the-loop necessity</w:t>
            </w:r>
          </w:p>
        </w:tc>
        <w:tc>
          <w:tcPr/>
          <w:p>
            <w:pPr>
              <w:pStyle w:val="Compact"/>
            </w:pPr>
            <w:r>
              <w:t xml:space="preserve">KPMG “agentic AI” narratives sometimes claim agents “fully automate what humans do.”</w:t>
            </w:r>
            <w:r>
              <w:t xml:space="preserve"> </w:t>
            </w:r>
            <w:hyperlink r:id="rId21">
              <w:r>
                <w:rPr>
                  <w:rStyle w:val="Hyperlink"/>
                </w:rPr>
                <w:t xml:space="preserve">[6]</w:t>
              </w:r>
            </w:hyperlink>
          </w:p>
        </w:tc>
        <w:tc>
          <w:tcPr/>
          <w:p>
            <w:pPr>
              <w:pStyle w:val="Compact"/>
            </w:pPr>
            <w:r>
              <w:t xml:space="preserve">A separate KPMG paper argues AI cannot yet replace human oversight in high-stakes work and that agentic AI is not expected to replace legal teams.</w:t>
            </w:r>
            <w:r>
              <w:t xml:space="preserve"> </w:t>
            </w:r>
            <w:hyperlink r:id="rId27">
              <w:r>
                <w:rPr>
                  <w:rStyle w:val="Hyperlink"/>
                </w:rPr>
                <w:t xml:space="preserve">[7]</w:t>
              </w:r>
            </w:hyperlink>
          </w:p>
        </w:tc>
      </w:tr>
      <w:tr>
        <w:tc>
          <w:tcPr/>
          <w:p>
            <w:pPr>
              <w:pStyle w:val="Compact"/>
            </w:pPr>
            <w:r>
              <w:t xml:space="preserve">Adoption is rapid vs most organisations still far from value</w:t>
            </w:r>
          </w:p>
        </w:tc>
        <w:tc>
          <w:tcPr/>
          <w:p>
            <w:pPr>
              <w:pStyle w:val="Compact"/>
            </w:pPr>
            <w:r>
              <w:t xml:space="preserve">KPMG International and member-firm research claims AI use is already widespread in finance and is “a game-changer,” with rapid change even across six months in the studies.</w:t>
            </w:r>
            <w:r>
              <w:t xml:space="preserve"> </w:t>
            </w:r>
            <w:hyperlink r:id="rId28">
              <w:r>
                <w:rPr>
                  <w:rStyle w:val="Hyperlink"/>
                </w:rPr>
                <w:t xml:space="preserve">[8]</w:t>
              </w:r>
            </w:hyperlink>
          </w:p>
        </w:tc>
        <w:tc>
          <w:tcPr/>
          <w:p>
            <w:pPr>
              <w:pStyle w:val="Compact"/>
            </w:pPr>
            <w:r>
              <w:t xml:space="preserve">A later workforce-focused report claims “most organisations are nowhere near capturing AI’s full potential” and suggests the workplace is still early on the adoption curve.</w:t>
            </w:r>
            <w:r>
              <w:t xml:space="preserve"> </w:t>
            </w:r>
            <w:hyperlink r:id="rId29">
              <w:r>
                <w:rPr>
                  <w:rStyle w:val="Hyperlink"/>
                </w:rPr>
                <w:t xml:space="preserve">[9]</w:t>
              </w:r>
            </w:hyperlink>
          </w:p>
        </w:tc>
      </w:tr>
    </w:tbl>
    <w:p>
      <w:pPr>
        <w:pStyle w:val="BodyText"/>
      </w:pPr>
      <w:r>
        <w:t xml:space="preserve">The remainder of this report unpacks each contradiction theme, shows the language used in the relevant publications, and explains why the conflicts are difficult to reconcile if you treat “KPMG” as a single coherent narrator.</w:t>
      </w:r>
    </w:p>
    <w:bookmarkEnd w:id="30"/>
    <w:bookmarkStart w:id="37" w:name="humans-replaced-versus-humans-augmented"/>
    <w:p>
      <w:pPr>
        <w:pStyle w:val="Heading2"/>
      </w:pPr>
      <w:r>
        <w:t xml:space="preserve">Humans replaced versus humans augmented</w:t>
      </w:r>
    </w:p>
    <w:bookmarkStart w:id="33" w:name="the-augmentation-narrative"/>
    <w:p>
      <w:pPr>
        <w:pStyle w:val="Heading3"/>
      </w:pPr>
      <w:r>
        <w:t xml:space="preserve">The augmentation narrative</w:t>
      </w:r>
    </w:p>
    <w:p>
      <w:pPr>
        <w:pStyle w:val="FirstParagraph"/>
      </w:pPr>
      <w:r>
        <w:t xml:space="preserve">Across multiple KPMG channels, the dominant aspirational line is “augmentation” (AI increases productivity and creativity; humans retain judgement and decision-making).</w:t>
      </w:r>
    </w:p>
    <w:p>
      <w:pPr>
        <w:pStyle w:val="Compact"/>
        <w:numPr>
          <w:ilvl w:val="0"/>
          <w:numId w:val="1002"/>
        </w:numPr>
      </w:pPr>
      <w:r>
        <w:t xml:space="preserve">KPMG’s Trusted AI framing explicitly states a “human-centric” approach aimed at “empower and augment human capabilities.”</w:t>
      </w:r>
      <w:r>
        <w:t xml:space="preserve"> </w:t>
      </w:r>
      <w:hyperlink r:id="rId24">
        <w:r>
          <w:rPr>
            <w:rStyle w:val="Hyperlink"/>
          </w:rPr>
          <w:t xml:space="preserve">[3]</w:t>
        </w:r>
      </w:hyperlink>
    </w:p>
    <w:p>
      <w:pPr>
        <w:pStyle w:val="Compact"/>
        <w:numPr>
          <w:ilvl w:val="0"/>
          <w:numId w:val="1002"/>
        </w:numPr>
      </w:pPr>
      <w:r>
        <w:t xml:space="preserve">A entity["company","KPMG LLP","us member firm, usa"] article in its “What’s Your aIQ?” series states that integrating AI “won’t replace humans” and instead enhances capabilities; it emphasises that human insight and decision-making “unlock its true value.”</w:t>
      </w:r>
      <w:r>
        <w:t xml:space="preserve"> </w:t>
      </w:r>
      <w:hyperlink r:id="rId25">
        <w:r>
          <w:rPr>
            <w:rStyle w:val="Hyperlink"/>
          </w:rPr>
          <w:t xml:space="preserve">[10]</w:t>
        </w:r>
      </w:hyperlink>
    </w:p>
    <w:p>
      <w:pPr>
        <w:pStyle w:val="Compact"/>
        <w:numPr>
          <w:ilvl w:val="0"/>
          <w:numId w:val="1002"/>
        </w:numPr>
      </w:pPr>
      <w:r>
        <w:t xml:space="preserve">Another KPMG US PDF (focused on government transformation) states that GenAI “won’t replace your existing employees, systems, or processes” and frames GenAI as a tool that augments and accelerates transformation rather than replacing the workforce.</w:t>
      </w:r>
      <w:r>
        <w:t xml:space="preserve"> </w:t>
      </w:r>
      <w:hyperlink r:id="rId31">
        <w:r>
          <w:rPr>
            <w:rStyle w:val="Hyperlink"/>
          </w:rPr>
          <w:t xml:space="preserve">[11]</w:t>
        </w:r>
      </w:hyperlink>
    </w:p>
    <w:p>
      <w:pPr>
        <w:pStyle w:val="Compact"/>
        <w:numPr>
          <w:ilvl w:val="0"/>
          <w:numId w:val="1002"/>
        </w:numPr>
      </w:pPr>
      <w:r>
        <w:t xml:space="preserve">A entity["company","KPMG in Canada","member firm, canada"] article (posted in October two thousand and twenty four) states plainly that “AI won’t replace the human workforce,” while simultaneously arguing reskilling is required.</w:t>
      </w:r>
      <w:r>
        <w:t xml:space="preserve"> </w:t>
      </w:r>
      <w:hyperlink r:id="rId32">
        <w:r>
          <w:rPr>
            <w:rStyle w:val="Hyperlink"/>
          </w:rPr>
          <w:t xml:space="preserve">[12]</w:t>
        </w:r>
      </w:hyperlink>
    </w:p>
    <w:p>
      <w:pPr>
        <w:pStyle w:val="FirstParagraph"/>
      </w:pPr>
      <w:r>
        <w:t xml:space="preserve">Taken together, this cluster communicates: AI is powerful, but value is human-led, and replacement is not the intended trajectory.</w:t>
      </w:r>
    </w:p>
    <w:bookmarkEnd w:id="33"/>
    <w:bookmarkStart w:id="35" w:name="the-replacement-narrative"/>
    <w:p>
      <w:pPr>
        <w:pStyle w:val="Heading3"/>
      </w:pPr>
      <w:r>
        <w:t xml:space="preserve">The replacement narrative</w:t>
      </w:r>
    </w:p>
    <w:p>
      <w:pPr>
        <w:pStyle w:val="FirstParagraph"/>
      </w:pPr>
      <w:r>
        <w:t xml:space="preserve">In the same overall post-two-thousand-and-twenty-one period, other KPMG publications introduce “replacement” as an active expectation—either descriptively (“we believe…”) or as part of definitions.</w:t>
      </w:r>
    </w:p>
    <w:p>
      <w:pPr>
        <w:pStyle w:val="Compact"/>
        <w:numPr>
          <w:ilvl w:val="0"/>
          <w:numId w:val="1003"/>
        </w:numPr>
      </w:pPr>
      <w:r>
        <w:t xml:space="preserve">A entity["company","KPMG in Ireland","member firm, ireland"] article on preparing for the AI-enabled workforce states: “At present we believe AI will replace humans in low-stakes tasks,” giving the example of customer engagement chat functions.</w:t>
      </w:r>
      <w:r>
        <w:t xml:space="preserve"> </w:t>
      </w:r>
      <w:hyperlink r:id="rId26">
        <w:r>
          <w:rPr>
            <w:rStyle w:val="Hyperlink"/>
          </w:rPr>
          <w:t xml:space="preserve">[13]</w:t>
        </w:r>
      </w:hyperlink>
    </w:p>
    <w:p>
      <w:pPr>
        <w:pStyle w:val="Compact"/>
        <w:numPr>
          <w:ilvl w:val="0"/>
          <w:numId w:val="1003"/>
        </w:numPr>
      </w:pPr>
      <w:r>
        <w:t xml:space="preserve">A KPMG US financial reporting/internal control guide defines automation as augmenting human activity, but defines AI as algorithms that can “emulate human intelligence to replace humans in performing cognitive tasks.”</w:t>
      </w:r>
      <w:r>
        <w:t xml:space="preserve"> </w:t>
      </w:r>
      <w:hyperlink r:id="rId34">
        <w:r>
          <w:rPr>
            <w:rStyle w:val="Hyperlink"/>
          </w:rPr>
          <w:t xml:space="preserve">[14]</w:t>
        </w:r>
      </w:hyperlink>
    </w:p>
    <w:p>
      <w:pPr>
        <w:pStyle w:val="FirstParagraph"/>
      </w:pPr>
      <w:r>
        <w:t xml:space="preserve">These are not subtle tonal differences. One set of documents tells readers that AI will not replace humans (and should be treated as job-creating/augmenting), while another explicitly says humans</w:t>
      </w:r>
      <w:r>
        <w:t xml:space="preserve"> </w:t>
      </w:r>
      <w:r>
        <w:rPr>
          <w:i/>
          <w:iCs/>
        </w:rPr>
        <w:t xml:space="preserve">will</w:t>
      </w:r>
      <w:r>
        <w:t xml:space="preserve"> </w:t>
      </w:r>
      <w:r>
        <w:t xml:space="preserve">be replaced in at least some category of work (even if scoped to “low-stakes tasks”), and an audit/controls handbook uses “replace humans” as a definitional feature of AI.</w:t>
      </w:r>
      <w:r>
        <w:t xml:space="preserve"> </w:t>
      </w:r>
      <w:hyperlink r:id="rId25">
        <w:r>
          <w:rPr>
            <w:rStyle w:val="Hyperlink"/>
          </w:rPr>
          <w:t xml:space="preserve">[15]</w:t>
        </w:r>
      </w:hyperlink>
    </w:p>
    <w:bookmarkEnd w:id="35"/>
    <w:bookmarkStart w:id="36" w:name="why-this-is-a-contradiction-for-readers"/>
    <w:p>
      <w:pPr>
        <w:pStyle w:val="Heading3"/>
      </w:pPr>
      <w:r>
        <w:t xml:space="preserve">Why this is a contradiction for readers</w:t>
      </w:r>
    </w:p>
    <w:p>
      <w:pPr>
        <w:pStyle w:val="FirstParagraph"/>
      </w:pPr>
      <w:r>
        <w:t xml:space="preserve">A sympathetic interpretation is that KPMG uses “replacement” in a</w:t>
      </w:r>
      <w:r>
        <w:t xml:space="preserve"> </w:t>
      </w:r>
      <w:r>
        <w:rPr>
          <w:b/>
          <w:bCs/>
        </w:rPr>
        <w:t xml:space="preserve">task-level</w:t>
      </w:r>
      <w:r>
        <w:t xml:space="preserve"> </w:t>
      </w:r>
      <w:r>
        <w:t xml:space="preserve">sense (replace a human performing</w:t>
      </w:r>
      <w:r>
        <w:t xml:space="preserve"> </w:t>
      </w:r>
      <w:r>
        <w:rPr>
          <w:i/>
          <w:iCs/>
        </w:rPr>
        <w:t xml:space="preserve">a particular</w:t>
      </w:r>
      <w:r>
        <w:t xml:space="preserve"> </w:t>
      </w:r>
      <w:r>
        <w:t xml:space="preserve">low-stakes activity), while other documents use “won’t replace humans” in a</w:t>
      </w:r>
      <w:r>
        <w:t xml:space="preserve"> </w:t>
      </w:r>
      <w:r>
        <w:rPr>
          <w:b/>
          <w:bCs/>
        </w:rPr>
        <w:t xml:space="preserve">role-level</w:t>
      </w:r>
      <w:r>
        <w:t xml:space="preserve"> </w:t>
      </w:r>
      <w:r>
        <w:t xml:space="preserve">or</w:t>
      </w:r>
      <w:r>
        <w:t xml:space="preserve"> </w:t>
      </w:r>
      <w:r>
        <w:rPr>
          <w:b/>
          <w:bCs/>
        </w:rPr>
        <w:t xml:space="preserve">workforce-level</w:t>
      </w:r>
      <w:r>
        <w:t xml:space="preserve"> </w:t>
      </w:r>
      <w:r>
        <w:t xml:space="preserve">sense (jobs and professions persist, but with changed task compositions). That reconciliation is plausible, but it is not consistently explicit in the publications themselves; at least one KPMG US document makes a broad “won’t replace humans” statement without that task/role distinction.</w:t>
      </w:r>
      <w:r>
        <w:t xml:space="preserve"> </w:t>
      </w:r>
      <w:hyperlink r:id="rId25">
        <w:r>
          <w:rPr>
            <w:rStyle w:val="Hyperlink"/>
          </w:rPr>
          <w:t xml:space="preserve">[16]</w:t>
        </w:r>
      </w:hyperlink>
    </w:p>
    <w:p>
      <w:pPr>
        <w:pStyle w:val="BodyText"/>
      </w:pPr>
      <w:r>
        <w:t xml:space="preserve">Practically, this leaves readers with two incompatible takeaways about workforce impact: “replacement is not the story” versus “replacement is already expected in some work.”</w:t>
      </w:r>
    </w:p>
    <w:bookmarkEnd w:id="36"/>
    <w:bookmarkEnd w:id="37"/>
    <w:bookmarkStart w:id="42" w:name="X487c6c2b5706dc337f31ca1a61ea444cbe65717"/>
    <w:p>
      <w:pPr>
        <w:pStyle w:val="Heading2"/>
      </w:pPr>
      <w:r>
        <w:t xml:space="preserve">Agentic autonomy versus human-in-the-loop necessity</w:t>
      </w:r>
    </w:p>
    <w:p>
      <w:pPr>
        <w:pStyle w:val="FirstParagraph"/>
      </w:pPr>
      <w:r>
        <w:t xml:space="preserve">This is the most striking contradiction because it involves near-identical language used to argue opposite implications.</w:t>
      </w:r>
    </w:p>
    <w:bookmarkStart w:id="39" w:name="X9aa4b3d12c6291db913e5057e377815f206e2b4"/>
    <w:p>
      <w:pPr>
        <w:pStyle w:val="Heading3"/>
      </w:pPr>
      <w:r>
        <w:t xml:space="preserve">“Agentic AI can fully automate what humans do”</w:t>
      </w:r>
    </w:p>
    <w:p>
      <w:pPr>
        <w:pStyle w:val="FirstParagraph"/>
      </w:pPr>
      <w:r>
        <w:t xml:space="preserve">KPMG’s agentic-AI marketing/insight stream repeatedly uses a high-confidence autonomy claim:</w:t>
      </w:r>
    </w:p>
    <w:p>
      <w:pPr>
        <w:pStyle w:val="Compact"/>
        <w:numPr>
          <w:ilvl w:val="0"/>
          <w:numId w:val="1004"/>
        </w:numPr>
      </w:pPr>
      <w:r>
        <w:t xml:space="preserve">In “The agentic AI advantage” (KPMG US), the text contrasts GenAI (augmenting humans) with agentic AI, stating that agentic AI “can fully automate what humans do” by taking actions on their behalf to achieve prescribed outcomes.</w:t>
      </w:r>
      <w:r>
        <w:t xml:space="preserve"> </w:t>
      </w:r>
      <w:hyperlink r:id="rId21">
        <w:r>
          <w:rPr>
            <w:rStyle w:val="Hyperlink"/>
          </w:rPr>
          <w:t xml:space="preserve">[17]</w:t>
        </w:r>
      </w:hyperlink>
    </w:p>
    <w:p>
      <w:pPr>
        <w:pStyle w:val="Compact"/>
        <w:numPr>
          <w:ilvl w:val="0"/>
          <w:numId w:val="1004"/>
        </w:numPr>
      </w:pPr>
      <w:r>
        <w:t xml:space="preserve">A separate KPMG US article, “You can jumpstart your agentic AI journey,” similarly claims that AI agents “can fully automate what humans do.”</w:t>
      </w:r>
      <w:r>
        <w:t xml:space="preserve"> </w:t>
      </w:r>
      <w:hyperlink r:id="rId38">
        <w:r>
          <w:rPr>
            <w:rStyle w:val="Hyperlink"/>
          </w:rPr>
          <w:t xml:space="preserve">[18]</w:t>
        </w:r>
      </w:hyperlink>
    </w:p>
    <w:p>
      <w:pPr>
        <w:pStyle w:val="FirstParagraph"/>
      </w:pPr>
      <w:r>
        <w:t xml:space="preserve">This language frames agentic AI not as incremental automation, but as a step change where humans can be replaced in end-to-end workflows.</w:t>
      </w:r>
    </w:p>
    <w:bookmarkEnd w:id="39"/>
    <w:bookmarkStart w:id="40" w:name="X0da5028914f39f0aad3e5c80b41e6c59df1b121"/>
    <w:p>
      <w:pPr>
        <w:pStyle w:val="Heading3"/>
      </w:pPr>
      <w:r>
        <w:t xml:space="preserve">“AI cannot yet replace human oversight” and “not expected to replace legal teams”</w:t>
      </w:r>
    </w:p>
    <w:p>
      <w:pPr>
        <w:pStyle w:val="FirstParagraph"/>
      </w:pPr>
      <w:r>
        <w:t xml:space="preserve">In tension with the above, a KPMG US PDF focused on contract lifecycle management and agentic AI (“Evolving CLM with Agentic AI: A human-centered approach”) argues almost the opposite conclusion, with repeated emphasis on limits and the need for escalation pathways and humans-in-the-loop:</w:t>
      </w:r>
    </w:p>
    <w:p>
      <w:pPr>
        <w:pStyle w:val="Compact"/>
        <w:numPr>
          <w:ilvl w:val="0"/>
          <w:numId w:val="1005"/>
        </w:numPr>
      </w:pPr>
      <w:r>
        <w:t xml:space="preserve">It states that human oversight “remains indispensable” for reducing risk and providing strategic reasoning in negotiation.</w:t>
      </w:r>
      <w:r>
        <w:t xml:space="preserve"> </w:t>
      </w:r>
      <w:hyperlink r:id="rId27">
        <w:r>
          <w:rPr>
            <w:rStyle w:val="Hyperlink"/>
          </w:rPr>
          <w:t xml:space="preserve">[19]</w:t>
        </w:r>
      </w:hyperlink>
    </w:p>
    <w:p>
      <w:pPr>
        <w:pStyle w:val="Compact"/>
        <w:numPr>
          <w:ilvl w:val="0"/>
          <w:numId w:val="1005"/>
        </w:numPr>
      </w:pPr>
      <w:r>
        <w:t xml:space="preserve">It explicitly says AI “cannot yet replace human oversight in high-stakes agreements” and describes a human-in-the-loop approach as “essential for trust and accountability.”</w:t>
      </w:r>
      <w:r>
        <w:t xml:space="preserve"> </w:t>
      </w:r>
      <w:hyperlink r:id="rId27">
        <w:r>
          <w:rPr>
            <w:rStyle w:val="Hyperlink"/>
          </w:rPr>
          <w:t xml:space="preserve">[20]</w:t>
        </w:r>
      </w:hyperlink>
    </w:p>
    <w:p>
      <w:pPr>
        <w:pStyle w:val="Compact"/>
        <w:numPr>
          <w:ilvl w:val="0"/>
          <w:numId w:val="1005"/>
        </w:numPr>
      </w:pPr>
      <w:r>
        <w:t xml:space="preserve">It also states that agentic AI is “still not expected to replace legal teams” and will instead augment them.</w:t>
      </w:r>
      <w:r>
        <w:t xml:space="preserve"> </w:t>
      </w:r>
      <w:hyperlink r:id="rId27">
        <w:r>
          <w:rPr>
            <w:rStyle w:val="Hyperlink"/>
          </w:rPr>
          <w:t xml:space="preserve">[21]</w:t>
        </w:r>
      </w:hyperlink>
    </w:p>
    <w:p>
      <w:pPr>
        <w:pStyle w:val="FirstParagraph"/>
      </w:pPr>
      <w:r>
        <w:t xml:space="preserve">These statements are not merely softer framing; they directly undercut the idea that agents can already “fully automate what humans do” in domains where stakes are high and accountability matters.</w:t>
      </w:r>
    </w:p>
    <w:bookmarkEnd w:id="40"/>
    <w:bookmarkStart w:id="41" w:name="Xdd2b242fd170c7a691f92bc04c7edab91ea5063"/>
    <w:p>
      <w:pPr>
        <w:pStyle w:val="Heading3"/>
      </w:pPr>
      <w:r>
        <w:t xml:space="preserve">Why this is a contradiction (and what it reveals)</w:t>
      </w:r>
    </w:p>
    <w:p>
      <w:pPr>
        <w:pStyle w:val="FirstParagraph"/>
      </w:pPr>
      <w:r>
        <w:t xml:space="preserve">The most charitable reconciliation is</w:t>
      </w:r>
      <w:r>
        <w:t xml:space="preserve"> </w:t>
      </w:r>
      <w:r>
        <w:rPr>
          <w:b/>
          <w:bCs/>
        </w:rPr>
        <w:t xml:space="preserve">domain scoping</w:t>
      </w:r>
      <w:r>
        <w:t xml:space="preserve">: “fully automate” is intended for lower-risk or well-bounded workflows; “cannot yet replace human oversight” applies to high-stakes agreements and complex negotiations.</w:t>
      </w:r>
      <w:r>
        <w:t xml:space="preserve"> </w:t>
      </w:r>
      <w:hyperlink r:id="rId27">
        <w:r>
          <w:rPr>
            <w:rStyle w:val="Hyperlink"/>
          </w:rPr>
          <w:t xml:space="preserve">[7]</w:t>
        </w:r>
      </w:hyperlink>
    </w:p>
    <w:p>
      <w:pPr>
        <w:pStyle w:val="BodyText"/>
      </w:pPr>
      <w:r>
        <w:t xml:space="preserve">However, the contradiction remains for two reasons:</w:t>
      </w:r>
    </w:p>
    <w:p>
      <w:pPr>
        <w:pStyle w:val="Compact"/>
        <w:numPr>
          <w:ilvl w:val="0"/>
          <w:numId w:val="1006"/>
        </w:numPr>
      </w:pPr>
      <w:r>
        <w:t xml:space="preserve">The “fully automate what humans do” claim is stated in global terms without prominently foregrounding “low-risk only” as a constraint in the key headline language.</w:t>
      </w:r>
      <w:r>
        <w:t xml:space="preserve"> </w:t>
      </w:r>
      <w:hyperlink r:id="rId21">
        <w:r>
          <w:rPr>
            <w:rStyle w:val="Hyperlink"/>
          </w:rPr>
          <w:t xml:space="preserve">[6]</w:t>
        </w:r>
      </w:hyperlink>
    </w:p>
    <w:p>
      <w:pPr>
        <w:pStyle w:val="Compact"/>
        <w:numPr>
          <w:ilvl w:val="0"/>
          <w:numId w:val="1006"/>
        </w:numPr>
      </w:pPr>
      <w:r>
        <w:t xml:space="preserve">The CLM paper frames limits as current, practical barriers (“not possible” in some complex negotiations; only a minority of executives confident in autonomy), which directly conflicts with the “already begun” narrative suggesting corporate boards cannot ignore agentic AI’s transformative potential today.</w:t>
      </w:r>
      <w:r>
        <w:t xml:space="preserve"> </w:t>
      </w:r>
      <w:hyperlink r:id="rId21">
        <w:r>
          <w:rPr>
            <w:rStyle w:val="Hyperlink"/>
          </w:rPr>
          <w:t xml:space="preserve">[22]</w:t>
        </w:r>
      </w:hyperlink>
    </w:p>
    <w:p>
      <w:pPr>
        <w:pStyle w:val="FirstParagraph"/>
      </w:pPr>
      <w:r>
        <w:t xml:space="preserve">This tension suggests KPMG’s agentic AI messaging is split between (a) an adoption-driving narrative built around maximum autonomy and value capture, and (b) a governance/controls narrative built around current limitations, accountability, and escalation design. The two streams are not consistently reconciled in KPMG-branded outputs.</w:t>
      </w:r>
      <w:r>
        <w:t xml:space="preserve"> </w:t>
      </w:r>
      <w:hyperlink r:id="rId21">
        <w:r>
          <w:rPr>
            <w:rStyle w:val="Hyperlink"/>
          </w:rPr>
          <w:t xml:space="preserve">[23]</w:t>
        </w:r>
      </w:hyperlink>
    </w:p>
    <w:bookmarkEnd w:id="41"/>
    <w:bookmarkEnd w:id="42"/>
    <w:bookmarkStart w:id="48" w:name="Xd0766344530ad850158bcf85f6380489730a62e"/>
    <w:p>
      <w:pPr>
        <w:pStyle w:val="Heading2"/>
      </w:pPr>
      <w:r>
        <w:t xml:space="preserve">Adoption is rapid and ROI-positive versus value remains elusive</w:t>
      </w:r>
    </w:p>
    <w:p>
      <w:pPr>
        <w:pStyle w:val="FirstParagraph"/>
      </w:pPr>
      <w:r>
        <w:t xml:space="preserve">This theme is a “practical contradiction”: not logically impossible, but meaningfully different in what it leads readers to believe about where organisations stand.</w:t>
      </w:r>
    </w:p>
    <w:bookmarkStart w:id="44" w:name="X138ae9ee472e3e8713a5f74ba64edb9d65239c3"/>
    <w:p>
      <w:pPr>
        <w:pStyle w:val="Heading3"/>
      </w:pPr>
      <w:r>
        <w:t xml:space="preserve">The rapid-adoption, game-changer narrative</w:t>
      </w:r>
    </w:p>
    <w:p>
      <w:pPr>
        <w:pStyle w:val="FirstParagraph"/>
      </w:pPr>
      <w:r>
        <w:t xml:space="preserve">KPMG International’s AI-in-finance research is explicit that adoption is already widespread and accelerating:</w:t>
      </w:r>
    </w:p>
    <w:p>
      <w:pPr>
        <w:pStyle w:val="Compact"/>
        <w:numPr>
          <w:ilvl w:val="0"/>
          <w:numId w:val="1007"/>
        </w:numPr>
      </w:pPr>
      <w:r>
        <w:t xml:space="preserve">The entity["company","KPMG International","global organisation brand"] global AI in finance report states that in April two thousand and twenty four, its study found nearly three-quarters of companies were already using AI to some degree in financial reporting, with virtually all expecting to do so within three years; it then claims measurable movement occurred even within half a year when follow-up research was fielded in September two thousand and twenty four.</w:t>
      </w:r>
      <w:r>
        <w:t xml:space="preserve"> </w:t>
      </w:r>
      <w:hyperlink r:id="rId28">
        <w:r>
          <w:rPr>
            <w:rStyle w:val="Hyperlink"/>
          </w:rPr>
          <w:t xml:space="preserve">[8]</w:t>
        </w:r>
      </w:hyperlink>
    </w:p>
    <w:p>
      <w:pPr>
        <w:pStyle w:val="Compact"/>
        <w:numPr>
          <w:ilvl w:val="0"/>
          <w:numId w:val="1007"/>
        </w:numPr>
      </w:pPr>
      <w:r>
        <w:t xml:space="preserve">The same report summarises its broader survey: “71 percent of companies are using AI in finance,” calls AI a “game-changer for finance,” and frames the finance function as being in the vanguard of AI-driven transformation.</w:t>
      </w:r>
      <w:r>
        <w:t xml:space="preserve"> </w:t>
      </w:r>
      <w:hyperlink r:id="rId28">
        <w:r>
          <w:rPr>
            <w:rStyle w:val="Hyperlink"/>
          </w:rPr>
          <w:t xml:space="preserve">[8]</w:t>
        </w:r>
      </w:hyperlink>
    </w:p>
    <w:p>
      <w:pPr>
        <w:pStyle w:val="FirstParagraph"/>
      </w:pPr>
      <w:r>
        <w:t xml:space="preserve">Similarly, member-firm survey reporting sometimes presents near-term value and ROI expectations:</w:t>
      </w:r>
    </w:p>
    <w:p>
      <w:pPr>
        <w:pStyle w:val="Compact"/>
        <w:numPr>
          <w:ilvl w:val="0"/>
          <w:numId w:val="1008"/>
        </w:numPr>
      </w:pPr>
      <w:r>
        <w:t xml:space="preserve">A KPMG Singapore GenAI survey write-up claims executives say GenAI is already having a significant impact, and that positive ROI is expected within the next three years (with majorities reporting current business impacts in decision-making and competitive positioning).</w:t>
      </w:r>
      <w:r>
        <w:t xml:space="preserve"> </w:t>
      </w:r>
      <w:hyperlink r:id="rId43">
        <w:r>
          <w:rPr>
            <w:rStyle w:val="Hyperlink"/>
          </w:rPr>
          <w:t xml:space="preserve">[24]</w:t>
        </w:r>
      </w:hyperlink>
    </w:p>
    <w:bookmarkEnd w:id="44"/>
    <w:bookmarkStart w:id="45" w:name="the-value-remains-elusive-narrative"/>
    <w:p>
      <w:pPr>
        <w:pStyle w:val="Heading3"/>
      </w:pPr>
      <w:r>
        <w:t xml:space="preserve">The “value remains elusive” narrative</w:t>
      </w:r>
    </w:p>
    <w:p>
      <w:pPr>
        <w:pStyle w:val="FirstParagraph"/>
      </w:pPr>
      <w:r>
        <w:t xml:space="preserve">By contrast, a later workforce-oriented report states that, despite spending and hype, most organisations are not close to realising AI’s potential:</w:t>
      </w:r>
    </w:p>
    <w:p>
      <w:pPr>
        <w:pStyle w:val="Compact"/>
        <w:numPr>
          <w:ilvl w:val="0"/>
          <w:numId w:val="1009"/>
        </w:numPr>
      </w:pPr>
      <w:r>
        <w:t xml:space="preserve">“AI Workforce – From Hype to Hard Truths” argues that “most organisations are nowhere near capturing AI’s full potential,” and that the majority still have a way to go before translating investment into “true business value.”</w:t>
      </w:r>
      <w:r>
        <w:t xml:space="preserve"> </w:t>
      </w:r>
      <w:hyperlink r:id="rId29">
        <w:r>
          <w:rPr>
            <w:rStyle w:val="Hyperlink"/>
          </w:rPr>
          <w:t xml:space="preserve">[9]</w:t>
        </w:r>
      </w:hyperlink>
    </w:p>
    <w:p>
      <w:pPr>
        <w:pStyle w:val="Compact"/>
        <w:numPr>
          <w:ilvl w:val="0"/>
          <w:numId w:val="1009"/>
        </w:numPr>
      </w:pPr>
      <w:r>
        <w:t xml:space="preserve">The same report strongly implies the workplace is still early on the adoption curve (“innovators and early adopters” pushing boundaries), again clashing with the “already widespread and accelerating” framing.</w:t>
      </w:r>
      <w:r>
        <w:t xml:space="preserve"> </w:t>
      </w:r>
      <w:hyperlink r:id="rId29">
        <w:r>
          <w:rPr>
            <w:rStyle w:val="Hyperlink"/>
          </w:rPr>
          <w:t xml:space="preserve">[9]</w:t>
        </w:r>
      </w:hyperlink>
    </w:p>
    <w:bookmarkEnd w:id="45"/>
    <w:bookmarkStart w:id="47" w:name="why-this-matters-as-a-contradiction"/>
    <w:p>
      <w:pPr>
        <w:pStyle w:val="Heading3"/>
      </w:pPr>
      <w:r>
        <w:t xml:space="preserve">Why this matters as a contradiction</w:t>
      </w:r>
    </w:p>
    <w:p>
      <w:pPr>
        <w:pStyle w:val="FirstParagraph"/>
      </w:pPr>
      <w:r>
        <w:t xml:space="preserve">It is entirely possible for adoption metrics to be high while value realisation is low. But the KPMG reader experience is still contradictory because:</w:t>
      </w:r>
    </w:p>
    <w:p>
      <w:pPr>
        <w:pStyle w:val="Compact"/>
        <w:numPr>
          <w:ilvl w:val="0"/>
          <w:numId w:val="1010"/>
        </w:numPr>
      </w:pPr>
      <w:r>
        <w:t xml:space="preserve">Some KPMG research language encourages the belief that organisations</w:t>
      </w:r>
      <w:r>
        <w:t xml:space="preserve"> </w:t>
      </w:r>
      <w:r>
        <w:rPr>
          <w:i/>
          <w:iCs/>
        </w:rPr>
        <w:t xml:space="preserve">are already using AI broadly and seeing ROI</w:t>
      </w:r>
      <w:r>
        <w:t xml:space="preserve"> </w:t>
      </w:r>
      <w:r>
        <w:t xml:space="preserve">(especially in finance).</w:t>
      </w:r>
      <w:r>
        <w:t xml:space="preserve"> </w:t>
      </w:r>
      <w:hyperlink r:id="rId28">
        <w:r>
          <w:rPr>
            <w:rStyle w:val="Hyperlink"/>
          </w:rPr>
          <w:t xml:space="preserve">[8]</w:t>
        </w:r>
      </w:hyperlink>
    </w:p>
    <w:p>
      <w:pPr>
        <w:pStyle w:val="Compact"/>
        <w:numPr>
          <w:ilvl w:val="0"/>
          <w:numId w:val="1010"/>
        </w:numPr>
      </w:pPr>
      <w:r>
        <w:t xml:space="preserve">Other KPMG content asserts that much of the spend has been misallocated (“licenses without logic, pilots without purpose”) and that most organisations are far from value.</w:t>
      </w:r>
      <w:r>
        <w:t xml:space="preserve"> </w:t>
      </w:r>
      <w:hyperlink r:id="rId29">
        <w:r>
          <w:rPr>
            <w:rStyle w:val="Hyperlink"/>
          </w:rPr>
          <w:t xml:space="preserve">[9]</w:t>
        </w:r>
      </w:hyperlink>
    </w:p>
    <w:p>
      <w:pPr>
        <w:pStyle w:val="FirstParagraph"/>
      </w:pPr>
      <w:r>
        <w:t xml:space="preserve">The difference pushes decision-makers towards different actions: accelerate scale-up and prepare auditors/controls now, versus step back, redesign around people and change management, and treat the “rush” as over.</w:t>
      </w:r>
      <w:r>
        <w:t xml:space="preserve"> </w:t>
      </w:r>
      <w:hyperlink r:id="rId28">
        <w:r>
          <w:rPr>
            <w:rStyle w:val="Hyperlink"/>
          </w:rPr>
          <w:t xml:space="preserve">[25]</w:t>
        </w:r>
      </w:hyperlink>
    </w:p>
    <w:p>
      <w:pPr>
        <w:pStyle w:val="BodyText"/>
      </w:pPr>
      <w:r>
        <w:t xml:space="preserve">A related signal appears inside KPMG’s own trust research: even where uptake is described as rapid, the public’s understanding does not necessarily increase. That creates an additional friction with “AI is everywhere and working” narratives, because it implies adoption can advance while comprehension and trust lag.</w:t>
      </w:r>
      <w:r>
        <w:t xml:space="preserve"> </w:t>
      </w:r>
      <w:hyperlink r:id="rId46">
        <w:r>
          <w:rPr>
            <w:rStyle w:val="Hyperlink"/>
          </w:rPr>
          <w:t xml:space="preserve">[26]</w:t>
        </w:r>
      </w:hyperlink>
    </w:p>
    <w:bookmarkEnd w:id="47"/>
    <w:bookmarkEnd w:id="48"/>
    <w:bookmarkStart w:id="49" w:name="X7d80c65ee324d79590a6b0ef6908d6f3b55679f"/>
    <w:p>
      <w:pPr>
        <w:pStyle w:val="Heading2"/>
      </w:pPr>
      <w:r>
        <w:t xml:space="preserve">What these contradictions imply about KPMG’s AI messaging</w:t>
      </w:r>
    </w:p>
    <w:p>
      <w:pPr>
        <w:pStyle w:val="FirstParagraph"/>
      </w:pPr>
      <w:r>
        <w:t xml:space="preserve">The simplest explanation for these contradictions is not that KPMG “lied” in a single coordinated way, but that KPMG-branded content is produced by multiple teams (and multiple legally distinct firms) that optimise for different goals and audiences—often without a single controlling “editorial voice.” This interpretation is consistent with KPMG’s own description of its global structure as an organisation of independent member firms, and with the recurring disclaimers that KPMG International provides no client services and cannot bind member firms.</w:t>
      </w:r>
      <w:r>
        <w:t xml:space="preserve"> </w:t>
      </w:r>
      <w:hyperlink r:id="rId22">
        <w:r>
          <w:rPr>
            <w:rStyle w:val="Hyperlink"/>
          </w:rPr>
          <w:t xml:space="preserve">[2]</w:t>
        </w:r>
      </w:hyperlink>
    </w:p>
    <w:p>
      <w:pPr>
        <w:pStyle w:val="BodyText"/>
      </w:pPr>
      <w:r>
        <w:t xml:space="preserve">That said, three specific patterns emerge from the post-two-thousand-and-twenty-one corpus:</w:t>
      </w:r>
    </w:p>
    <w:p>
      <w:pPr>
        <w:pStyle w:val="Compact"/>
        <w:numPr>
          <w:ilvl w:val="0"/>
          <w:numId w:val="1011"/>
        </w:numPr>
      </w:pPr>
      <w:r>
        <w:rPr>
          <w:b/>
          <w:bCs/>
        </w:rPr>
        <w:t xml:space="preserve">Human-centric principles coexist with replacement language.</w:t>
      </w:r>
      <w:r>
        <w:t xml:space="preserve"> </w:t>
      </w:r>
      <w:r>
        <w:t xml:space="preserve">KPMG’s Trusted AI posture emphasises augmentation and human impact.</w:t>
      </w:r>
      <w:r>
        <w:t xml:space="preserve"> </w:t>
      </w:r>
      <w:hyperlink r:id="rId24">
        <w:r>
          <w:rPr>
            <w:rStyle w:val="Hyperlink"/>
          </w:rPr>
          <w:t xml:space="preserve">[3]</w:t>
        </w:r>
      </w:hyperlink>
      <w:r>
        <w:t xml:space="preserve"> </w:t>
      </w:r>
      <w:r>
        <w:t xml:space="preserve">Yet KPMG sometimes uses “replace humans” language in definitional materials and workforce commentary (even if scoped to task types).</w:t>
      </w:r>
      <w:r>
        <w:t xml:space="preserve"> </w:t>
      </w:r>
      <w:hyperlink r:id="rId34">
        <w:r>
          <w:rPr>
            <w:rStyle w:val="Hyperlink"/>
          </w:rPr>
          <w:t xml:space="preserve">[27]</w:t>
        </w:r>
      </w:hyperlink>
    </w:p>
    <w:p>
      <w:pPr>
        <w:pStyle w:val="Compact"/>
        <w:numPr>
          <w:ilvl w:val="0"/>
          <w:numId w:val="1011"/>
        </w:numPr>
      </w:pPr>
      <w:r>
        <w:rPr>
          <w:b/>
          <w:bCs/>
        </w:rPr>
        <w:t xml:space="preserve">Agentic AI is described with maximalist autonomy in some channels and with strict human-in-the-loop constraints in others.</w:t>
      </w:r>
      <w:r>
        <w:t xml:space="preserve"> </w:t>
      </w:r>
      <w:r>
        <w:t xml:space="preserve">The “fully automate what humans do” framing is difficult to reconcile with statements that agentic AI cannot yet replace oversight in high-stakes work and is not expected to replace legal teams.</w:t>
      </w:r>
      <w:r>
        <w:t xml:space="preserve"> </w:t>
      </w:r>
      <w:hyperlink r:id="rId21">
        <w:r>
          <w:rPr>
            <w:rStyle w:val="Hyperlink"/>
          </w:rPr>
          <w:t xml:space="preserve">[28]</w:t>
        </w:r>
      </w:hyperlink>
    </w:p>
    <w:p>
      <w:pPr>
        <w:pStyle w:val="Compact"/>
        <w:numPr>
          <w:ilvl w:val="0"/>
          <w:numId w:val="1011"/>
        </w:numPr>
      </w:pPr>
      <w:r>
        <w:rPr>
          <w:b/>
          <w:bCs/>
        </w:rPr>
        <w:t xml:space="preserve">High adoption/ROI claims sit beside warnings that most organisations are not close to value.</w:t>
      </w:r>
      <w:r>
        <w:t xml:space="preserve"> </w:t>
      </w:r>
      <w:r>
        <w:t xml:space="preserve">KPMG International’s finance research emphasises widespread adoption and “game-changer” impact, while later workforce material depicts a post-hype phase where value remains elusive and organisational change is the real bottleneck.</w:t>
      </w:r>
      <w:r>
        <w:t xml:space="preserve"> </w:t>
      </w:r>
      <w:hyperlink r:id="rId28">
        <w:r>
          <w:rPr>
            <w:rStyle w:val="Hyperlink"/>
          </w:rPr>
          <w:t xml:space="preserve">[25]</w:t>
        </w:r>
      </w:hyperlink>
    </w:p>
    <w:p>
      <w:pPr>
        <w:pStyle w:val="FirstParagraph"/>
      </w:pPr>
      <w:r>
        <w:t xml:space="preserve">Importantly, KPMG’s Trusted AI framework itself signals an “evolving approach” as standards mature, which can legitimately explain change over time in governance language.</w:t>
      </w:r>
      <w:r>
        <w:t xml:space="preserve"> </w:t>
      </w:r>
      <w:hyperlink r:id="rId24">
        <w:r>
          <w:rPr>
            <w:rStyle w:val="Hyperlink"/>
          </w:rPr>
          <w:t xml:space="preserve">[3]</w:t>
        </w:r>
      </w:hyperlink>
      <w:r>
        <w:t xml:space="preserve"> </w:t>
      </w:r>
      <w:r>
        <w:t xml:space="preserve">It does not, however, fully explain why simultaneously published KPMG-branded outputs present agentic AI as both “fully automating what humans do” and “not able to replace human oversight” without sharply separating domains and risk levels in the headline claims.</w:t>
      </w:r>
      <w:r>
        <w:t xml:space="preserve"> </w:t>
      </w:r>
      <w:hyperlink r:id="rId21">
        <w:r>
          <w:rPr>
            <w:rStyle w:val="Hyperlink"/>
          </w:rPr>
          <w:t xml:space="preserve">[1]</w:t>
        </w:r>
      </w:hyperlink>
    </w:p>
    <w:bookmarkEnd w:id="49"/>
    <w:bookmarkStart w:id="50" w:name="X4ccd21909cf38f8f9c22efb9789c17ed16a6413"/>
    <w:p>
      <w:pPr>
        <w:pStyle w:val="Heading2"/>
      </w:pPr>
      <w:r>
        <w:t xml:space="preserve">Bottom line: which “KPMG view” should be treated as authoritative?</w:t>
      </w:r>
    </w:p>
    <w:p>
      <w:pPr>
        <w:pStyle w:val="FirstParagraph"/>
      </w:pPr>
      <w:r>
        <w:t xml:space="preserve">Based on the evidence above, there is no single post-two-thousand-and-twenty-one “KPMG position” on AI replacement, autonomy, or readiness that remains stable across time and across publications. Instead, KPMG’s AI narrative reads like an unresolved blend of:</w:t>
      </w:r>
    </w:p>
    <w:p>
      <w:pPr>
        <w:pStyle w:val="Compact"/>
        <w:numPr>
          <w:ilvl w:val="0"/>
          <w:numId w:val="1012"/>
        </w:numPr>
      </w:pPr>
      <w:r>
        <w:rPr>
          <w:b/>
          <w:bCs/>
        </w:rPr>
        <w:t xml:space="preserve">A values-and-trust frame</w:t>
      </w:r>
      <w:r>
        <w:t xml:space="preserve"> </w:t>
      </w:r>
      <w:r>
        <w:t xml:space="preserve">(human-centricity, augmentation, governance, evolving standards).</w:t>
      </w:r>
      <w:r>
        <w:t xml:space="preserve"> </w:t>
      </w:r>
      <w:hyperlink r:id="rId24">
        <w:r>
          <w:rPr>
            <w:rStyle w:val="Hyperlink"/>
          </w:rPr>
          <w:t xml:space="preserve">[29]</w:t>
        </w:r>
      </w:hyperlink>
    </w:p>
    <w:p>
      <w:pPr>
        <w:pStyle w:val="Compact"/>
        <w:numPr>
          <w:ilvl w:val="0"/>
          <w:numId w:val="1012"/>
        </w:numPr>
      </w:pPr>
      <w:r>
        <w:rPr>
          <w:b/>
          <w:bCs/>
        </w:rPr>
        <w:t xml:space="preserve">A transformation/market frame</w:t>
      </w:r>
      <w:r>
        <w:t xml:space="preserve"> </w:t>
      </w:r>
      <w:r>
        <w:t xml:space="preserve">(AI as a game-changer already driving adoption and ROI; urgency to prepare now).</w:t>
      </w:r>
      <w:r>
        <w:t xml:space="preserve"> </w:t>
      </w:r>
      <w:hyperlink r:id="rId28">
        <w:r>
          <w:rPr>
            <w:rStyle w:val="Hyperlink"/>
          </w:rPr>
          <w:t xml:space="preserve">[30]</w:t>
        </w:r>
      </w:hyperlink>
    </w:p>
    <w:p>
      <w:pPr>
        <w:pStyle w:val="Compact"/>
        <w:numPr>
          <w:ilvl w:val="0"/>
          <w:numId w:val="1012"/>
        </w:numPr>
      </w:pPr>
      <w:r>
        <w:rPr>
          <w:b/>
          <w:bCs/>
        </w:rPr>
        <w:t xml:space="preserve">A realism-after-hype frame</w:t>
      </w:r>
      <w:r>
        <w:t xml:space="preserve"> </w:t>
      </w:r>
      <w:r>
        <w:t xml:space="preserve">(most organisations still far from value; the “rush is over”; change management is core).</w:t>
      </w:r>
      <w:r>
        <w:t xml:space="preserve"> </w:t>
      </w:r>
      <w:hyperlink r:id="rId29">
        <w:r>
          <w:rPr>
            <w:rStyle w:val="Hyperlink"/>
          </w:rPr>
          <w:t xml:space="preserve">[31]</w:t>
        </w:r>
      </w:hyperlink>
    </w:p>
    <w:p>
      <w:pPr>
        <w:pStyle w:val="FirstParagraph"/>
      </w:pPr>
      <w:r>
        <w:t xml:space="preserve">If your goal is to catalogue contradictions as due diligence, the highest-confidence contradictory pairs in the post-two-thousand-and-twenty-one period are:</w:t>
      </w:r>
    </w:p>
    <w:p>
      <w:pPr>
        <w:pStyle w:val="Compact"/>
        <w:numPr>
          <w:ilvl w:val="0"/>
          <w:numId w:val="1013"/>
        </w:numPr>
      </w:pPr>
      <w:r>
        <w:t xml:space="preserve">“AI won’t replace humans” (KPMG US aIQ journey) versus “AI will replace humans in low-stakes tasks” (KPMG Ireland workforce article).</w:t>
      </w:r>
      <w:r>
        <w:t xml:space="preserve"> </w:t>
      </w:r>
      <w:hyperlink r:id="rId25">
        <w:r>
          <w:rPr>
            <w:rStyle w:val="Hyperlink"/>
          </w:rPr>
          <w:t xml:space="preserve">[16]</w:t>
        </w:r>
      </w:hyperlink>
    </w:p>
    <w:p>
      <w:pPr>
        <w:pStyle w:val="Compact"/>
        <w:numPr>
          <w:ilvl w:val="0"/>
          <w:numId w:val="1013"/>
        </w:numPr>
      </w:pPr>
      <w:r>
        <w:t xml:space="preserve">“Agentic AI can fully automate what humans do” (KPMG US agentic AI advantage / jumpstart article) versus “AI cannot yet replace human oversight in high-stakes agreements” and “Agentic AI is still not expected to replace legal teams” (KPMG US human-centred CLM paper).</w:t>
      </w:r>
      <w:r>
        <w:t xml:space="preserve"> </w:t>
      </w:r>
      <w:hyperlink r:id="rId21">
        <w:r>
          <w:rPr>
            <w:rStyle w:val="Hyperlink"/>
          </w:rPr>
          <w:t xml:space="preserve">[32]</w:t>
        </w:r>
      </w:hyperlink>
    </w:p>
    <w:p>
      <w:pPr>
        <w:pStyle w:val="Compact"/>
        <w:numPr>
          <w:ilvl w:val="0"/>
          <w:numId w:val="1013"/>
        </w:numPr>
      </w:pPr>
      <w:r>
        <w:t xml:space="preserve">“AI use is rapidly expanding… game-changer… significant ROI” (KPMG International AI in finance report) versus “most organisations are nowhere near capturing AI’s full potential” (AI Workforce report).</w:t>
      </w:r>
      <w:r>
        <w:t xml:space="preserve"> </w:t>
      </w:r>
      <w:hyperlink r:id="rId28">
        <w:r>
          <w:rPr>
            <w:rStyle w:val="Hyperlink"/>
          </w:rPr>
          <w:t xml:space="preserve">[25]</w:t>
        </w:r>
      </w:hyperlink>
    </w:p>
    <w:bookmarkEnd w:id="50"/>
    <w:bookmarkEnd w:id="51"/>
    <w:bookmarkEnd w:id="52"/>
    <w:p>
      <w:r>
        <w:pict>
          <v:rect style="width:0;height:1.5pt" o:hralign="center" o:hrstd="t" o:hr="t"/>
        </w:pict>
      </w:r>
    </w:p>
    <w:bookmarkStart w:id="53" w:name="citations"/>
    <w:p>
      <w:pPr>
        <w:pStyle w:val="FirstParagraph"/>
      </w:pPr>
      <w:hyperlink r:id="rId21">
        <w:r>
          <w:rPr>
            <w:rStyle w:val="Hyperlink"/>
          </w:rPr>
          <w:t xml:space="preserve">[1]</w:t>
        </w:r>
      </w:hyperlink>
      <w:r>
        <w:t xml:space="preserve"> </w:t>
      </w:r>
      <w:hyperlink r:id="rId21">
        <w:r>
          <w:rPr>
            <w:rStyle w:val="Hyperlink"/>
          </w:rPr>
          <w:t xml:space="preserve">[6]</w:t>
        </w:r>
      </w:hyperlink>
      <w:r>
        <w:t xml:space="preserve"> </w:t>
      </w:r>
      <w:hyperlink r:id="rId21">
        <w:r>
          <w:rPr>
            <w:rStyle w:val="Hyperlink"/>
          </w:rPr>
          <w:t xml:space="preserve">[17]</w:t>
        </w:r>
      </w:hyperlink>
      <w:r>
        <w:t xml:space="preserve"> </w:t>
      </w:r>
      <w:hyperlink r:id="rId21">
        <w:r>
          <w:rPr>
            <w:rStyle w:val="Hyperlink"/>
          </w:rPr>
          <w:t xml:space="preserve">[22]</w:t>
        </w:r>
      </w:hyperlink>
      <w:r>
        <w:t xml:space="preserve"> </w:t>
      </w:r>
      <w:hyperlink r:id="rId21">
        <w:r>
          <w:rPr>
            <w:rStyle w:val="Hyperlink"/>
          </w:rPr>
          <w:t xml:space="preserve">[23]</w:t>
        </w:r>
      </w:hyperlink>
      <w:r>
        <w:t xml:space="preserve"> </w:t>
      </w:r>
      <w:hyperlink r:id="rId21">
        <w:r>
          <w:rPr>
            <w:rStyle w:val="Hyperlink"/>
          </w:rPr>
          <w:t xml:space="preserve">[28]</w:t>
        </w:r>
      </w:hyperlink>
      <w:r>
        <w:t xml:space="preserve"> </w:t>
      </w:r>
      <w:hyperlink r:id="rId21">
        <w:r>
          <w:rPr>
            <w:rStyle w:val="Hyperlink"/>
          </w:rPr>
          <w:t xml:space="preserve">[32]</w:t>
        </w:r>
      </w:hyperlink>
      <w:r>
        <w:t xml:space="preserve"> </w:t>
      </w:r>
      <w:r>
        <w:t xml:space="preserve">The agentic AI advantage: Unlocking the next level of AI value</w:t>
      </w:r>
    </w:p>
    <w:p>
      <w:pPr>
        <w:pStyle w:val="BodyText"/>
      </w:pPr>
      <w:hyperlink r:id="rId21">
        <w:r>
          <w:rPr>
            <w:rStyle w:val="Hyperlink"/>
          </w:rPr>
          <w:t xml:space="preserve">https://kpmg.com/us/en/articles/2025/the-agentic-ai-advantage.html</w:t>
        </w:r>
      </w:hyperlink>
    </w:p>
    <w:p>
      <w:pPr>
        <w:pStyle w:val="BodyText"/>
      </w:pPr>
      <w:hyperlink r:id="rId22">
        <w:r>
          <w:rPr>
            <w:rStyle w:val="Hyperlink"/>
          </w:rPr>
          <w:t xml:space="preserve">[2]</w:t>
        </w:r>
      </w:hyperlink>
      <w:r>
        <w:t xml:space="preserve"> </w:t>
      </w:r>
      <w:r>
        <w:t xml:space="preserve">Services</w:t>
      </w:r>
    </w:p>
    <w:p>
      <w:pPr>
        <w:pStyle w:val="BodyText"/>
      </w:pPr>
      <w:hyperlink r:id="rId22">
        <w:r>
          <w:rPr>
            <w:rStyle w:val="Hyperlink"/>
          </w:rPr>
          <w:t xml:space="preserve">https://kpmg.com/xx/en/what-we-do/services.html?utm_source=chatgpt.com</w:t>
        </w:r>
      </w:hyperlink>
    </w:p>
    <w:p>
      <w:pPr>
        <w:pStyle w:val="BodyText"/>
      </w:pPr>
      <w:hyperlink r:id="rId24">
        <w:r>
          <w:rPr>
            <w:rStyle w:val="Hyperlink"/>
          </w:rPr>
          <w:t xml:space="preserve">[3]</w:t>
        </w:r>
      </w:hyperlink>
      <w:r>
        <w:t xml:space="preserve"> </w:t>
      </w:r>
      <w:hyperlink r:id="rId24">
        <w:r>
          <w:rPr>
            <w:rStyle w:val="Hyperlink"/>
          </w:rPr>
          <w:t xml:space="preserve">[29]</w:t>
        </w:r>
      </w:hyperlink>
      <w:r>
        <w:t xml:space="preserve"> </w:t>
      </w:r>
      <w:r>
        <w:t xml:space="preserve">KPMG Trusted AI framework</w:t>
      </w:r>
    </w:p>
    <w:p>
      <w:pPr>
        <w:pStyle w:val="BodyText"/>
      </w:pPr>
      <w:hyperlink r:id="rId24">
        <w:r>
          <w:rPr>
            <w:rStyle w:val="Hyperlink"/>
          </w:rPr>
          <w:t xml:space="preserve">https://kpmg.com/xx/en/what-we-do/services/ai/trusted-ai-framework.html</w:t>
        </w:r>
      </w:hyperlink>
    </w:p>
    <w:p>
      <w:pPr>
        <w:pStyle w:val="BodyText"/>
      </w:pPr>
      <w:hyperlink r:id="rId25">
        <w:r>
          <w:rPr>
            <w:rStyle w:val="Hyperlink"/>
          </w:rPr>
          <w:t xml:space="preserve">[4]</w:t>
        </w:r>
      </w:hyperlink>
      <w:r>
        <w:t xml:space="preserve"> </w:t>
      </w:r>
      <w:hyperlink r:id="rId25">
        <w:r>
          <w:rPr>
            <w:rStyle w:val="Hyperlink"/>
          </w:rPr>
          <w:t xml:space="preserve">[10]</w:t>
        </w:r>
      </w:hyperlink>
      <w:r>
        <w:t xml:space="preserve"> </w:t>
      </w:r>
      <w:hyperlink r:id="rId25">
        <w:r>
          <w:rPr>
            <w:rStyle w:val="Hyperlink"/>
          </w:rPr>
          <w:t xml:space="preserve">[15]</w:t>
        </w:r>
      </w:hyperlink>
      <w:r>
        <w:t xml:space="preserve"> </w:t>
      </w:r>
      <w:hyperlink r:id="rId25">
        <w:r>
          <w:rPr>
            <w:rStyle w:val="Hyperlink"/>
          </w:rPr>
          <w:t xml:space="preserve">[16]</w:t>
        </w:r>
      </w:hyperlink>
      <w:r>
        <w:t xml:space="preserve"> </w:t>
      </w:r>
      <w:r>
        <w:t xml:space="preserve">KPMG’s aIQ Journey</w:t>
      </w:r>
    </w:p>
    <w:p>
      <w:pPr>
        <w:pStyle w:val="BodyText"/>
      </w:pPr>
      <w:hyperlink r:id="rId25">
        <w:r>
          <w:rPr>
            <w:rStyle w:val="Hyperlink"/>
          </w:rPr>
          <w:t xml:space="preserve">https://kpmg.com/us/en/articles/2024/whats-your-aiq.html</w:t>
        </w:r>
      </w:hyperlink>
    </w:p>
    <w:p>
      <w:pPr>
        <w:pStyle w:val="BodyText"/>
      </w:pPr>
      <w:hyperlink r:id="rId26">
        <w:r>
          <w:rPr>
            <w:rStyle w:val="Hyperlink"/>
          </w:rPr>
          <w:t xml:space="preserve">[5]</w:t>
        </w:r>
      </w:hyperlink>
      <w:r>
        <w:t xml:space="preserve"> </w:t>
      </w:r>
      <w:hyperlink r:id="rId26">
        <w:r>
          <w:rPr>
            <w:rStyle w:val="Hyperlink"/>
          </w:rPr>
          <w:t xml:space="preserve">[13]</w:t>
        </w:r>
      </w:hyperlink>
      <w:r>
        <w:t xml:space="preserve"> </w:t>
      </w:r>
      <w:r>
        <w:t xml:space="preserve">Preparing for the AI-enabled workforce of the future</w:t>
      </w:r>
      <w:r>
        <w:t xml:space="preserve"> </w:t>
      </w:r>
    </w:p>
    <w:p>
      <w:pPr>
        <w:pStyle w:val="BodyText"/>
      </w:pPr>
      <w:hyperlink r:id="rId26">
        <w:r>
          <w:rPr>
            <w:rStyle w:val="Hyperlink"/>
          </w:rPr>
          <w:t xml:space="preserve">https://kpmg.com/ie/en/insights/ai-artificial-intelligence/workforce-of-the-future-ai-art-int.html</w:t>
        </w:r>
      </w:hyperlink>
    </w:p>
    <w:p>
      <w:pPr>
        <w:pStyle w:val="BodyText"/>
      </w:pPr>
      <w:hyperlink r:id="rId27">
        <w:r>
          <w:rPr>
            <w:rStyle w:val="Hyperlink"/>
          </w:rPr>
          <w:t xml:space="preserve">[7]</w:t>
        </w:r>
      </w:hyperlink>
      <w:r>
        <w:t xml:space="preserve"> </w:t>
      </w:r>
      <w:hyperlink r:id="rId27">
        <w:r>
          <w:rPr>
            <w:rStyle w:val="Hyperlink"/>
          </w:rPr>
          <w:t xml:space="preserve">[19]</w:t>
        </w:r>
      </w:hyperlink>
      <w:r>
        <w:t xml:space="preserve"> </w:t>
      </w:r>
      <w:hyperlink r:id="rId27">
        <w:r>
          <w:rPr>
            <w:rStyle w:val="Hyperlink"/>
          </w:rPr>
          <w:t xml:space="preserve">[20]</w:t>
        </w:r>
      </w:hyperlink>
      <w:r>
        <w:t xml:space="preserve"> </w:t>
      </w:r>
      <w:hyperlink r:id="rId27">
        <w:r>
          <w:rPr>
            <w:rStyle w:val="Hyperlink"/>
          </w:rPr>
          <w:t xml:space="preserve">[21]</w:t>
        </w:r>
      </w:hyperlink>
      <w:r>
        <w:t xml:space="preserve"> </w:t>
      </w:r>
      <w:r>
        <w:t xml:space="preserve">kpmg.com</w:t>
      </w:r>
    </w:p>
    <w:p>
      <w:pPr>
        <w:pStyle w:val="BodyText"/>
      </w:pPr>
      <w:hyperlink r:id="rId27">
        <w:r>
          <w:rPr>
            <w:rStyle w:val="Hyperlink"/>
          </w:rPr>
          <w:t xml:space="preserve">https://kpmg.com/kpmg-us/content/dam/kpmg/pdf/2025/1a-clm-white-paper-secured.pdf</w:t>
        </w:r>
      </w:hyperlink>
    </w:p>
    <w:p>
      <w:pPr>
        <w:pStyle w:val="BodyText"/>
      </w:pPr>
      <w:hyperlink r:id="rId28">
        <w:r>
          <w:rPr>
            <w:rStyle w:val="Hyperlink"/>
          </w:rPr>
          <w:t xml:space="preserve">[8]</w:t>
        </w:r>
      </w:hyperlink>
      <w:r>
        <w:t xml:space="preserve"> </w:t>
      </w:r>
      <w:hyperlink r:id="rId28">
        <w:r>
          <w:rPr>
            <w:rStyle w:val="Hyperlink"/>
          </w:rPr>
          <w:t xml:space="preserve">[25]</w:t>
        </w:r>
      </w:hyperlink>
      <w:r>
        <w:t xml:space="preserve"> </w:t>
      </w:r>
      <w:hyperlink r:id="rId28">
        <w:r>
          <w:rPr>
            <w:rStyle w:val="Hyperlink"/>
          </w:rPr>
          <w:t xml:space="preserve">[30]</w:t>
        </w:r>
      </w:hyperlink>
      <w:r>
        <w:t xml:space="preserve"> </w:t>
      </w:r>
      <w:r>
        <w:t xml:space="preserve">KPMG global AI in finance report</w:t>
      </w:r>
    </w:p>
    <w:p>
      <w:pPr>
        <w:pStyle w:val="BodyText"/>
      </w:pPr>
      <w:hyperlink r:id="rId28">
        <w:r>
          <w:rPr>
            <w:rStyle w:val="Hyperlink"/>
          </w:rPr>
          <w:t xml:space="preserve">https://kpmg.com/content/dam/kpmgsites/xx/pdf/2024/11/ai-in-finance.pdf.coredownload.inline.pdf</w:t>
        </w:r>
      </w:hyperlink>
    </w:p>
    <w:p>
      <w:pPr>
        <w:pStyle w:val="BodyText"/>
      </w:pPr>
      <w:hyperlink r:id="rId29">
        <w:r>
          <w:rPr>
            <w:rStyle w:val="Hyperlink"/>
          </w:rPr>
          <w:t xml:space="preserve">[9]</w:t>
        </w:r>
      </w:hyperlink>
      <w:r>
        <w:t xml:space="preserve"> </w:t>
      </w:r>
      <w:hyperlink r:id="rId29">
        <w:r>
          <w:rPr>
            <w:rStyle w:val="Hyperlink"/>
          </w:rPr>
          <w:t xml:space="preserve">[31]</w:t>
        </w:r>
      </w:hyperlink>
      <w:r>
        <w:t xml:space="preserve"> </w:t>
      </w:r>
      <w:r>
        <w:t xml:space="preserve">AI Workforce – From Hype to Hard Truths</w:t>
      </w:r>
    </w:p>
    <w:p>
      <w:pPr>
        <w:pStyle w:val="BodyText"/>
      </w:pPr>
      <w:hyperlink r:id="rId29">
        <w:r>
          <w:rPr>
            <w:rStyle w:val="Hyperlink"/>
          </w:rPr>
          <w:t xml:space="preserve">https://assets.kpmg.com/content/dam/kpmgsites/se/pdf/2025/ai-workforce-from-hype-to-hard-truths.pdf.coredownload.inline.pdf</w:t>
        </w:r>
      </w:hyperlink>
    </w:p>
    <w:p>
      <w:pPr>
        <w:pStyle w:val="BodyText"/>
      </w:pPr>
      <w:hyperlink r:id="rId31">
        <w:r>
          <w:rPr>
            <w:rStyle w:val="Hyperlink"/>
          </w:rPr>
          <w:t xml:space="preserve">[11]</w:t>
        </w:r>
      </w:hyperlink>
      <w:r>
        <w:t xml:space="preserve"> </w:t>
      </w:r>
      <w:r>
        <w:t xml:space="preserve">kpmg.com</w:t>
      </w:r>
    </w:p>
    <w:p>
      <w:pPr>
        <w:pStyle w:val="BodyText"/>
      </w:pPr>
      <w:hyperlink r:id="rId31">
        <w:r>
          <w:rPr>
            <w:rStyle w:val="Hyperlink"/>
          </w:rPr>
          <w:t xml:space="preserve">https://kpmg.com/kpmg-us/content/dam/kpmg/pdf/2025/gen-ai-transformation-accelerator.pdf</w:t>
        </w:r>
      </w:hyperlink>
    </w:p>
    <w:p>
      <w:pPr>
        <w:pStyle w:val="BodyText"/>
      </w:pPr>
      <w:hyperlink r:id="rId32">
        <w:r>
          <w:rPr>
            <w:rStyle w:val="Hyperlink"/>
          </w:rPr>
          <w:t xml:space="preserve">[12]</w:t>
        </w:r>
      </w:hyperlink>
      <w:r>
        <w:t xml:space="preserve"> </w:t>
      </w:r>
      <w:r>
        <w:t xml:space="preserve">The CFO and AI: Shaping the future of finance - KPMG Canada</w:t>
      </w:r>
    </w:p>
    <w:p>
      <w:pPr>
        <w:pStyle w:val="BodyText"/>
      </w:pPr>
      <w:hyperlink r:id="rId32">
        <w:r>
          <w:rPr>
            <w:rStyle w:val="Hyperlink"/>
          </w:rPr>
          <w:t xml:space="preserve">https://kpmg.com/ca/en/home/insights/2024/10/the-cfo-and-ai-shaping-the-future-of-finance.html</w:t>
        </w:r>
      </w:hyperlink>
    </w:p>
    <w:p>
      <w:pPr>
        <w:pStyle w:val="BodyText"/>
      </w:pPr>
      <w:hyperlink r:id="rId34">
        <w:r>
          <w:rPr>
            <w:rStyle w:val="Hyperlink"/>
          </w:rPr>
          <w:t xml:space="preserve">[14]</w:t>
        </w:r>
      </w:hyperlink>
      <w:r>
        <w:t xml:space="preserve"> </w:t>
      </w:r>
      <w:hyperlink r:id="rId34">
        <w:r>
          <w:rPr>
            <w:rStyle w:val="Hyperlink"/>
          </w:rPr>
          <w:t xml:space="preserve">[27]</w:t>
        </w:r>
      </w:hyperlink>
      <w:r>
        <w:t xml:space="preserve"> </w:t>
      </w:r>
      <w:r>
        <w:t xml:space="preserve">AI and automation in financial reporting Guide</w:t>
      </w:r>
    </w:p>
    <w:p>
      <w:pPr>
        <w:pStyle w:val="BodyText"/>
      </w:pPr>
      <w:hyperlink r:id="rId34">
        <w:r>
          <w:rPr>
            <w:rStyle w:val="Hyperlink"/>
          </w:rPr>
          <w:t xml:space="preserve">https://kpmg.com/kpmg-us/content/dam/kpmg/frv/pdf/2024/handbook-ai-and-automation-financial-reporting.pdf</w:t>
        </w:r>
      </w:hyperlink>
    </w:p>
    <w:p>
      <w:pPr>
        <w:pStyle w:val="BodyText"/>
      </w:pPr>
      <w:hyperlink r:id="rId38">
        <w:r>
          <w:rPr>
            <w:rStyle w:val="Hyperlink"/>
          </w:rPr>
          <w:t xml:space="preserve">[18]</w:t>
        </w:r>
      </w:hyperlink>
      <w:r>
        <w:t xml:space="preserve"> </w:t>
      </w:r>
      <w:r>
        <w:t xml:space="preserve">You can jumpstart your agentic AI journey</w:t>
      </w:r>
    </w:p>
    <w:p>
      <w:pPr>
        <w:pStyle w:val="BodyText"/>
      </w:pPr>
      <w:hyperlink r:id="rId38">
        <w:r>
          <w:rPr>
            <w:rStyle w:val="Hyperlink"/>
          </w:rPr>
          <w:t xml:space="preserve">https://kpmg.com/us/en/articles/2025/jumpstart-agentic-ai-journey.html</w:t>
        </w:r>
      </w:hyperlink>
    </w:p>
    <w:p>
      <w:pPr>
        <w:pStyle w:val="BodyText"/>
      </w:pPr>
      <w:hyperlink r:id="rId43">
        <w:r>
          <w:rPr>
            <w:rStyle w:val="Hyperlink"/>
          </w:rPr>
          <w:t xml:space="preserve">[24]</w:t>
        </w:r>
      </w:hyperlink>
      <w:r>
        <w:t xml:space="preserve"> </w:t>
      </w:r>
      <w:r>
        <w:t xml:space="preserve"> </w:t>
      </w:r>
      <w:r>
        <w:t xml:space="preserve">KPMG GenAI Survey 2024</w:t>
      </w:r>
    </w:p>
    <w:p>
      <w:pPr>
        <w:pStyle w:val="BodyText"/>
      </w:pPr>
      <w:hyperlink r:id="rId43">
        <w:r>
          <w:rPr>
            <w:rStyle w:val="Hyperlink"/>
          </w:rPr>
          <w:t xml:space="preserve">https://kpmg.com/sg/en/insights/ai-and-innovation/kpmg-gen-ai-survey-2024.html</w:t>
        </w:r>
      </w:hyperlink>
    </w:p>
    <w:p>
      <w:pPr>
        <w:pStyle w:val="BodyText"/>
      </w:pPr>
      <w:hyperlink r:id="rId46">
        <w:r>
          <w:rPr>
            <w:rStyle w:val="Hyperlink"/>
          </w:rPr>
          <w:t xml:space="preserve">[26]</w:t>
        </w:r>
      </w:hyperlink>
      <w:r>
        <w:t xml:space="preserve"> </w:t>
      </w:r>
      <w:r>
        <w:t xml:space="preserve">Trust, attitudes and use of artificial intelligence</w:t>
      </w:r>
    </w:p>
    <w:p>
      <w:pPr>
        <w:pStyle w:val="BodyText"/>
      </w:pPr>
      <w:hyperlink r:id="rId46">
        <w:r>
          <w:rPr>
            <w:rStyle w:val="Hyperlink"/>
          </w:rPr>
          <w:t xml:space="preserve">https://kpmg.com/kpmg-us/content/dam/kpmg/pdf/2025/trust-attitudes-artificial-intelligence-global-report.pdf</w:t>
        </w:r>
      </w:hyperlink>
    </w:p>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9" Target="https://assets.kpmg.com/content/dam/kpmgsites/se/pdf/2025/ai-workforce-from-hype-to-hard-truths.pdf.coredownload.inline.pdf" TargetMode="External" /><Relationship Type="http://schemas.openxmlformats.org/officeDocument/2006/relationships/hyperlink" Id="rId32" Target="https://kpmg.com/ca/en/home/insights/2024/10/the-cfo-and-ai-shaping-the-future-of-finance.html" TargetMode="External" /><Relationship Type="http://schemas.openxmlformats.org/officeDocument/2006/relationships/hyperlink" Id="rId28" Target="https://kpmg.com/content/dam/kpmgsites/xx/pdf/2024/11/ai-in-finance.pdf.coredownload.inline.pdf" TargetMode="External" /><Relationship Type="http://schemas.openxmlformats.org/officeDocument/2006/relationships/hyperlink" Id="rId26" Target="https://kpmg.com/ie/en/insights/ai-artificial-intelligence/workforce-of-the-future-ai-art-int.html" TargetMode="External" /><Relationship Type="http://schemas.openxmlformats.org/officeDocument/2006/relationships/hyperlink" Id="rId34" Target="https://kpmg.com/kpmg-us/content/dam/kpmg/frv/pdf/2024/handbook-ai-and-automation-financial-reporting.pdf" TargetMode="External" /><Relationship Type="http://schemas.openxmlformats.org/officeDocument/2006/relationships/hyperlink" Id="rId27" Target="https://kpmg.com/kpmg-us/content/dam/kpmg/pdf/2025/1a-clm-white-paper-secured.pdf" TargetMode="External" /><Relationship Type="http://schemas.openxmlformats.org/officeDocument/2006/relationships/hyperlink" Id="rId31" Target="https://kpmg.com/kpmg-us/content/dam/kpmg/pdf/2025/gen-ai-transformation-accelerator.pdf" TargetMode="External" /><Relationship Type="http://schemas.openxmlformats.org/officeDocument/2006/relationships/hyperlink" Id="rId46" Target="https://kpmg.com/kpmg-us/content/dam/kpmg/pdf/2025/trust-attitudes-artificial-intelligence-global-report.pdf" TargetMode="External" /><Relationship Type="http://schemas.openxmlformats.org/officeDocument/2006/relationships/hyperlink" Id="rId43" Target="https://kpmg.com/sg/en/insights/ai-and-innovation/kpmg-gen-ai-survey-2024.html" TargetMode="External" /><Relationship Type="http://schemas.openxmlformats.org/officeDocument/2006/relationships/hyperlink" Id="rId25" Target="https://kpmg.com/us/en/articles/2024/whats-your-aiq.html" TargetMode="External" /><Relationship Type="http://schemas.openxmlformats.org/officeDocument/2006/relationships/hyperlink" Id="rId38" Target="https://kpmg.com/us/en/articles/2025/jumpstart-agentic-ai-journey.html" TargetMode="External" /><Relationship Type="http://schemas.openxmlformats.org/officeDocument/2006/relationships/hyperlink" Id="rId21" Target="https://kpmg.com/us/en/articles/2025/the-agentic-ai-advantage.html" TargetMode="External" /><Relationship Type="http://schemas.openxmlformats.org/officeDocument/2006/relationships/hyperlink" Id="rId22" Target="https://kpmg.com/xx/en/what-we-do/services.html?utm_source=chatgpt.com" TargetMode="External" /><Relationship Type="http://schemas.openxmlformats.org/officeDocument/2006/relationships/hyperlink" Id="rId24" Target="https://kpmg.com/xx/en/what-we-do/services/ai/trusted-ai-framework.html" TargetMode="External" /></Relationships>
</file>

<file path=word/_rels/footnotes.xml.rels><?xml version="1.0" encoding="UTF-8"?><Relationships xmlns="http://schemas.openxmlformats.org/package/2006/relationships"><Relationship Type="http://schemas.openxmlformats.org/officeDocument/2006/relationships/hyperlink" Id="rId29" Target="https://assets.kpmg.com/content/dam/kpmgsites/se/pdf/2025/ai-workforce-from-hype-to-hard-truths.pdf.coredownload.inline.pdf" TargetMode="External" /><Relationship Type="http://schemas.openxmlformats.org/officeDocument/2006/relationships/hyperlink" Id="rId32" Target="https://kpmg.com/ca/en/home/insights/2024/10/the-cfo-and-ai-shaping-the-future-of-finance.html" TargetMode="External" /><Relationship Type="http://schemas.openxmlformats.org/officeDocument/2006/relationships/hyperlink" Id="rId28" Target="https://kpmg.com/content/dam/kpmgsites/xx/pdf/2024/11/ai-in-finance.pdf.coredownload.inline.pdf" TargetMode="External" /><Relationship Type="http://schemas.openxmlformats.org/officeDocument/2006/relationships/hyperlink" Id="rId26" Target="https://kpmg.com/ie/en/insights/ai-artificial-intelligence/workforce-of-the-future-ai-art-int.html" TargetMode="External" /><Relationship Type="http://schemas.openxmlformats.org/officeDocument/2006/relationships/hyperlink" Id="rId34" Target="https://kpmg.com/kpmg-us/content/dam/kpmg/frv/pdf/2024/handbook-ai-and-automation-financial-reporting.pdf" TargetMode="External" /><Relationship Type="http://schemas.openxmlformats.org/officeDocument/2006/relationships/hyperlink" Id="rId27" Target="https://kpmg.com/kpmg-us/content/dam/kpmg/pdf/2025/1a-clm-white-paper-secured.pdf" TargetMode="External" /><Relationship Type="http://schemas.openxmlformats.org/officeDocument/2006/relationships/hyperlink" Id="rId31" Target="https://kpmg.com/kpmg-us/content/dam/kpmg/pdf/2025/gen-ai-transformation-accelerator.pdf" TargetMode="External" /><Relationship Type="http://schemas.openxmlformats.org/officeDocument/2006/relationships/hyperlink" Id="rId46" Target="https://kpmg.com/kpmg-us/content/dam/kpmg/pdf/2025/trust-attitudes-artificial-intelligence-global-report.pdf" TargetMode="External" /><Relationship Type="http://schemas.openxmlformats.org/officeDocument/2006/relationships/hyperlink" Id="rId43" Target="https://kpmg.com/sg/en/insights/ai-and-innovation/kpmg-gen-ai-survey-2024.html" TargetMode="External" /><Relationship Type="http://schemas.openxmlformats.org/officeDocument/2006/relationships/hyperlink" Id="rId25" Target="https://kpmg.com/us/en/articles/2024/whats-your-aiq.html" TargetMode="External" /><Relationship Type="http://schemas.openxmlformats.org/officeDocument/2006/relationships/hyperlink" Id="rId38" Target="https://kpmg.com/us/en/articles/2025/jumpstart-agentic-ai-journey.html" TargetMode="External" /><Relationship Type="http://schemas.openxmlformats.org/officeDocument/2006/relationships/hyperlink" Id="rId21" Target="https://kpmg.com/us/en/articles/2025/the-agentic-ai-advantage.html" TargetMode="External" /><Relationship Type="http://schemas.openxmlformats.org/officeDocument/2006/relationships/hyperlink" Id="rId22" Target="https://kpmg.com/xx/en/what-we-do/services.html?utm_source=chatgpt.com" TargetMode="External" /><Relationship Type="http://schemas.openxmlformats.org/officeDocument/2006/relationships/hyperlink" Id="rId24" Target="https://kpmg.com/xx/en/what-we-do/services/ai/trusted-ai-framework.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2026-02-08T06:51:59Z</dcterms:created>
  <dcterms:modified xsi:type="dcterms:W3CDTF">2026-02-08T06:51:59Z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