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Xe6afe5434b464040a3ec2ec00d313de2a909b82"/>
    <w:p>
      <w:pPr>
        <w:pStyle w:val="Heading1"/>
      </w:pPr>
      <w:r>
        <w:t xml:space="preserve">Deloitte’s post-2021 AI thought leadership: where the narrative contradicts itself over time</w:t>
      </w:r>
    </w:p>
    <w:bookmarkStart w:id="25" w:name="scope-and-approach"/>
    <w:p>
      <w:pPr>
        <w:pStyle w:val="Heading2"/>
      </w:pPr>
      <w:r>
        <w:t xml:space="preserve">Scope and approach</w:t>
      </w:r>
    </w:p>
    <w:p>
      <w:pPr>
        <w:pStyle w:val="FirstParagraph"/>
      </w:pPr>
      <w:r>
        <w:t xml:space="preserve">This research focuses on Deloitte web-published content from 2022 through early 2026 (i.e., after 2021), prioritising Deloitte’s repeatable, high-visibility AI “series” where year-on-year comparisons are possible: annual “State of AI in the Enterprise” reporting from the entity["organization","Deloitte AI Institute","deloitte research group"], Deloitte’s quarterly “State of Generative AI in the Enterprise” survey series, and the annual entity["organization","Deloitte Insights","deloitte thought leadership"] Tech Trends programme.</w:t>
      </w:r>
      <w:r>
        <w:t xml:space="preserve"> </w:t>
      </w:r>
      <w:hyperlink r:id="rId21">
        <w:r>
          <w:rPr>
            <w:rStyle w:val="Hyperlink"/>
          </w:rPr>
          <w:t xml:space="preserve">[1]</w:t>
        </w:r>
      </w:hyperlink>
    </w:p>
    <w:p>
      <w:pPr>
        <w:pStyle w:val="BodyText"/>
      </w:pPr>
      <w:r>
        <w:t xml:space="preserve">A key practical constraint is scale: Deloitte publishes a very large volume of AI-related content across many country sites and service lines. Deloitte also explicitly notes that it operates through a network structure with legally separate member firms, which makes fully uniform messaging across all local “articles” unlikely even when topics overlap.</w:t>
      </w:r>
      <w:r>
        <w:t xml:space="preserve"> </w:t>
      </w:r>
      <w:hyperlink r:id="rId22">
        <w:r>
          <w:rPr>
            <w:rStyle w:val="Hyperlink"/>
          </w:rPr>
          <w:t xml:space="preserve">[2]</w:t>
        </w:r>
      </w:hyperlink>
    </w:p>
    <w:p>
      <w:pPr>
        <w:pStyle w:val="BodyText"/>
      </w:pPr>
      <w:r>
        <w:t xml:space="preserve">To make “contradiction” testable (rather than purely rhetorical), this report uses two buckets:</w:t>
      </w:r>
    </w:p>
    <w:p>
      <w:pPr>
        <w:pStyle w:val="Compact"/>
        <w:numPr>
          <w:ilvl w:val="0"/>
          <w:numId w:val="1001"/>
        </w:numPr>
      </w:pPr>
      <w:r>
        <w:rPr>
          <w:b/>
          <w:bCs/>
        </w:rPr>
        <w:t xml:space="preserve">Direct contradictions</w:t>
      </w:r>
      <w:r>
        <w:t xml:space="preserve">: statements that point in opposite directions on the same question (for example, “AI is nascent” versus “AI is already ubiquitous and scaling”), when presented as general enterprise conditions rather than being tightly scoped to one niche.</w:t>
      </w:r>
      <w:r>
        <w:t xml:space="preserve"> </w:t>
      </w:r>
      <w:hyperlink r:id="rId23">
        <w:r>
          <w:rPr>
            <w:rStyle w:val="Hyperlink"/>
          </w:rPr>
          <w:t xml:space="preserve">[3]</w:t>
        </w:r>
      </w:hyperlink>
    </w:p>
    <w:p>
      <w:pPr>
        <w:pStyle w:val="Compact"/>
        <w:numPr>
          <w:ilvl w:val="0"/>
          <w:numId w:val="1001"/>
        </w:numPr>
      </w:pPr>
      <w:r>
        <w:rPr>
          <w:b/>
          <w:bCs/>
        </w:rPr>
        <w:t xml:space="preserve">Apparent contradictions</w:t>
      </w:r>
      <w:r>
        <w:t xml:space="preserve">: tensions that look inconsistent until you account for differences in definitions (AI vs GenAI vs agentic AI), sampling (AI “leaders” vs general public), and framing (survey data vs scenario narrative).</w:t>
      </w:r>
      <w:r>
        <w:t xml:space="preserve"> </w:t>
      </w:r>
      <w:hyperlink r:id="rId24">
        <w:r>
          <w:rPr>
            <w:rStyle w:val="Hyperlink"/>
          </w:rPr>
          <w:t xml:space="preserve">[4]</w:t>
        </w:r>
      </w:hyperlink>
    </w:p>
    <w:bookmarkEnd w:id="25"/>
    <w:bookmarkStart w:id="30" w:name="contradiction-pattern-in-value-claims"/>
    <w:p>
      <w:pPr>
        <w:pStyle w:val="Heading2"/>
      </w:pPr>
      <w:r>
        <w:t xml:space="preserve">Contradiction pattern in value claims</w:t>
      </w:r>
    </w:p>
    <w:p>
      <w:pPr>
        <w:pStyle w:val="FirstParagraph"/>
      </w:pPr>
      <w:r>
        <w:t xml:space="preserve">Across Deloitte’s post-2021 AI publications, a recurring tension shows up as “AI is essential and widely deployed” versus “AI still hasn’t delivered” versus “AI is already exceeding expectations.”</w:t>
      </w:r>
    </w:p>
    <w:p>
      <w:pPr>
        <w:pStyle w:val="BodyText"/>
      </w:pPr>
      <w:r>
        <w:t xml:space="preserve">On the “AI is already here and essential” side, Deloitte’s UK executive summary for the “State of AI in the Enterprise” (5th edition, published 27 Feb 2023) introduces AI as “rapidly transforming” business and “essential across all industries,” then reports that 96% of the global sample had at least one major process or initiative using AI.</w:t>
      </w:r>
      <w:r>
        <w:t xml:space="preserve"> </w:t>
      </w:r>
      <w:hyperlink r:id="rId26">
        <w:r>
          <w:rPr>
            <w:rStyle w:val="Hyperlink"/>
          </w:rPr>
          <w:t xml:space="preserve">[5]</w:t>
        </w:r>
      </w:hyperlink>
    </w:p>
    <w:p>
      <w:pPr>
        <w:pStyle w:val="BodyText"/>
      </w:pPr>
      <w:r>
        <w:t xml:space="preserve">Yet Deloitte entity["organization","Deloitte Insights","deloitte thought leadership"] separately published a late-2022 essay framed around the question “Why hasn’t AI delivered on its promise?”, stating (in its own phrasing) that “the promise of AI remains out of reach” and arguing that value depends on rethinking work and complements rather than simply applying “hot” AI technologies to isolated problems.</w:t>
      </w:r>
      <w:r>
        <w:t xml:space="preserve"> </w:t>
      </w:r>
      <w:hyperlink r:id="rId27">
        <w:r>
          <w:rPr>
            <w:rStyle w:val="Hyperlink"/>
          </w:rPr>
          <w:t xml:space="preserve">[6]</w:t>
        </w:r>
      </w:hyperlink>
    </w:p>
    <w:p>
      <w:pPr>
        <w:pStyle w:val="BodyText"/>
      </w:pPr>
      <w:r>
        <w:t xml:space="preserve">Deloitte’s Australia “State of AI in the Enterprise 2022” page (published 21 Feb 2023) adds a third layer: it acknowledges that leaders view AI as critical to success, but says many organisations are not achieving the value they expected and highlights an increase in “Underachievers” (organisations deploying AI but not at sufficient scale to see outcomes).</w:t>
      </w:r>
      <w:r>
        <w:t xml:space="preserve"> </w:t>
      </w:r>
      <w:hyperlink r:id="rId28">
        <w:r>
          <w:rPr>
            <w:rStyle w:val="Hyperlink"/>
          </w:rPr>
          <w:t xml:space="preserve">[7]</w:t>
        </w:r>
      </w:hyperlink>
    </w:p>
    <w:p>
      <w:pPr>
        <w:pStyle w:val="BodyText"/>
      </w:pPr>
      <w:r>
        <w:t xml:space="preserve">By 2026, Deloitte’s annual “State of AI in the Enterprise” messaging still emphasises a shortfall between pilots and transformation. The 2026 report describes organisations at an “untapped edge” of AI’s potential and quantifies that only 25% of surveyed organisations had moved 40% or more of AI experiments into production at the time of the survey.</w:t>
      </w:r>
      <w:r>
        <w:t xml:space="preserve"> </w:t>
      </w:r>
      <w:hyperlink r:id="rId24">
        <w:r>
          <w:rPr>
            <w:rStyle w:val="Hyperlink"/>
          </w:rPr>
          <w:t xml:space="preserve">[8]</w:t>
        </w:r>
      </w:hyperlink>
    </w:p>
    <w:p>
      <w:pPr>
        <w:pStyle w:val="BodyText"/>
      </w:pPr>
      <w:r>
        <w:t xml:space="preserve">At the same time, Deloitte’s generative AI reporting begins to emphasise pockets of unexpectedly strong value: the year-end Q4 2024 “State of Generative AI in the Enterprise” report notes that leaders ask when GenAI will meet “transformational expectations,” but also states that many are already using GenAI to create value that</w:t>
      </w:r>
      <w:r>
        <w:t xml:space="preserve"> </w:t>
      </w:r>
      <w:r>
        <w:rPr>
          <w:i/>
          <w:iCs/>
        </w:rPr>
        <w:t xml:space="preserve">exceeds</w:t>
      </w:r>
      <w:r>
        <w:t xml:space="preserve"> </w:t>
      </w:r>
      <w:r>
        <w:t xml:space="preserve">expectations.</w:t>
      </w:r>
      <w:r>
        <w:t xml:space="preserve"> </w:t>
      </w:r>
      <w:hyperlink r:id="rId29">
        <w:r>
          <w:rPr>
            <w:rStyle w:val="Hyperlink"/>
          </w:rPr>
          <w:t xml:space="preserve">[9]</w:t>
        </w:r>
      </w:hyperlink>
    </w:p>
    <w:p>
      <w:pPr>
        <w:pStyle w:val="BodyText"/>
      </w:pPr>
      <w:r>
        <w:rPr>
          <w:b/>
          <w:bCs/>
        </w:rPr>
        <w:t xml:space="preserve">Why this is a contradiction (and how it’s often reconciled).</w:t>
      </w:r>
      <w:r>
        <w:t xml:space="preserve"> </w:t>
      </w:r>
      <w:r>
        <w:t xml:space="preserve">The surface-level inconsistency is clear: AI is framed as both pervasive/essential and simultaneously failing to deliver on its promise, while GenAI is framed as already exceeding expectations.</w:t>
      </w:r>
      <w:r>
        <w:t xml:space="preserve"> </w:t>
      </w:r>
      <w:hyperlink r:id="rId26">
        <w:r>
          <w:rPr>
            <w:rStyle w:val="Hyperlink"/>
          </w:rPr>
          <w:t xml:space="preserve">[10]</w:t>
        </w:r>
      </w:hyperlink>
      <w:r>
        <w:t xml:space="preserve"> </w:t>
      </w:r>
      <w:r>
        <w:t xml:space="preserve">A common reconciliation (supported by Deloitte’s own production-scaling and “underachiever” framing) is that</w:t>
      </w:r>
      <w:r>
        <w:t xml:space="preserve"> </w:t>
      </w:r>
      <w:r>
        <w:rPr>
          <w:i/>
          <w:iCs/>
        </w:rPr>
        <w:t xml:space="preserve">deployment breadth</w:t>
      </w:r>
      <w:r>
        <w:t xml:space="preserve"> </w:t>
      </w:r>
      <w:r>
        <w:t xml:space="preserve">(having at least one AI use case) is not the same as</w:t>
      </w:r>
      <w:r>
        <w:t xml:space="preserve"> </w:t>
      </w:r>
      <w:r>
        <w:rPr>
          <w:i/>
          <w:iCs/>
        </w:rPr>
        <w:t xml:space="preserve">enterprise value capture</w:t>
      </w:r>
      <w:r>
        <w:t xml:space="preserve"> </w:t>
      </w:r>
      <w:r>
        <w:t xml:space="preserve">(scaling, process redesign, and measurable outcomes).</w:t>
      </w:r>
      <w:r>
        <w:t xml:space="preserve"> </w:t>
      </w:r>
      <w:hyperlink r:id="rId28">
        <w:r>
          <w:rPr>
            <w:rStyle w:val="Hyperlink"/>
          </w:rPr>
          <w:t xml:space="preserve">[11]</w:t>
        </w:r>
      </w:hyperlink>
    </w:p>
    <w:bookmarkEnd w:id="30"/>
    <w:bookmarkStart w:id="34" w:name="contradiction-pattern-in-maturity-claims"/>
    <w:p>
      <w:pPr>
        <w:pStyle w:val="Heading2"/>
      </w:pPr>
      <w:r>
        <w:t xml:space="preserve">Contradiction pattern in maturity claims</w:t>
      </w:r>
    </w:p>
    <w:p>
      <w:pPr>
        <w:pStyle w:val="FirstParagraph"/>
      </w:pPr>
      <w:r>
        <w:t xml:space="preserve">A sharper post-2021 contradiction is Deloitte’s oscillation between describing AI as “nascent” and describing AI as already foundational, ubiquitous, and scaling.</w:t>
      </w:r>
    </w:p>
    <w:p>
      <w:pPr>
        <w:pStyle w:val="BodyText"/>
      </w:pPr>
      <w:r>
        <w:t xml:space="preserve">In Deloitte’s Tech Trends 2025 AI section (published 11 Dec 2024), Deloitte states that “on an enterprise time scale, AI advancements are still in a nascent phase (crawling or walking).” In the same passage, Deloitte cites surveys suggesting fewer than a third of GenAI experiments had moved into production (and points to data access/cleansing as a barrier to scaling).</w:t>
      </w:r>
      <w:r>
        <w:t xml:space="preserve"> </w:t>
      </w:r>
      <w:hyperlink r:id="rId23">
        <w:r>
          <w:rPr>
            <w:rStyle w:val="Hyperlink"/>
          </w:rPr>
          <w:t xml:space="preserve">[12]</w:t>
        </w:r>
      </w:hyperlink>
    </w:p>
    <w:p>
      <w:pPr>
        <w:pStyle w:val="BodyText"/>
      </w:pPr>
      <w:r>
        <w:t xml:space="preserve">Just one year later, the Tech Trends 2026 executive summary (a PDF edition associated with Tech Trends 2026) declares that a prior hypothesis—AI becoming “akin to electricity”—has been proven, stating that “no corner of enterprise technology is untouched by AI” and that the year’s focus is “all about scaling,” with enterprises operationalising AI-driven processes.</w:t>
      </w:r>
      <w:r>
        <w:t xml:space="preserve"> </w:t>
      </w:r>
      <w:hyperlink r:id="rId31">
        <w:r>
          <w:rPr>
            <w:rStyle w:val="Hyperlink"/>
          </w:rPr>
          <w:t xml:space="preserve">[13]</w:t>
        </w:r>
      </w:hyperlink>
    </w:p>
    <w:p>
      <w:pPr>
        <w:pStyle w:val="BodyText"/>
      </w:pPr>
      <w:r>
        <w:t xml:space="preserve">Simultaneously, the same Tech Trends 2026 executive summary includes a sobering counterpoint on agentic AI: it reports that only 11% of surveyed organisations have deployed agentic systems in production and attributes limited transformation partly to automating existing processes rather than redesigning operations.</w:t>
      </w:r>
      <w:r>
        <w:t xml:space="preserve"> </w:t>
      </w:r>
      <w:hyperlink r:id="rId31">
        <w:r>
          <w:rPr>
            <w:rStyle w:val="Hyperlink"/>
          </w:rPr>
          <w:t xml:space="preserve">[13]</w:t>
        </w:r>
      </w:hyperlink>
    </w:p>
    <w:p>
      <w:pPr>
        <w:pStyle w:val="BodyText"/>
      </w:pPr>
      <w:r>
        <w:t xml:space="preserve">Deloitte’s 2026 “State of AI in the Enterprise” press release reinforces the “scaling is hard” angle, describing a crucial pilot-to-production gap and again giving the 25% figure for moving 40%+ of pilots into production, despite framing AI as shifting from pilots to enterprise scaling.</w:t>
      </w:r>
      <w:r>
        <w:t xml:space="preserve"> </w:t>
      </w:r>
      <w:hyperlink r:id="rId32">
        <w:r>
          <w:rPr>
            <w:rStyle w:val="Hyperlink"/>
          </w:rPr>
          <w:t xml:space="preserve">[14]</w:t>
        </w:r>
      </w:hyperlink>
    </w:p>
    <w:p>
      <w:pPr>
        <w:pStyle w:val="BodyText"/>
      </w:pPr>
      <w:r>
        <w:t xml:space="preserve">A UK-focused 2025 “year in review” research piece on generative AI echoes this slower-to-scale narrative: it says the initial excitement has ebbed and notes that the road to large-scale implementation is “fraught with challenges,” even as commitment remains.</w:t>
      </w:r>
      <w:r>
        <w:t xml:space="preserve"> </w:t>
      </w:r>
      <w:hyperlink r:id="rId33">
        <w:r>
          <w:rPr>
            <w:rStyle w:val="Hyperlink"/>
          </w:rPr>
          <w:t xml:space="preserve">[15]</w:t>
        </w:r>
      </w:hyperlink>
    </w:p>
    <w:p>
      <w:pPr>
        <w:pStyle w:val="BodyText"/>
      </w:pPr>
      <w:r>
        <w:t xml:space="preserve">image_group{"layout":"carousel","aspect_ratio":"16:9","query":["Deloitte Tech Trends 2026 executive summary PDF cover","Deloitte State of AI in the Enterprise 2026 report cover","Deloitte State of Generative AI in the Enterprise Q4 2024 report cover"],"num_per_query":1}</w:t>
      </w:r>
    </w:p>
    <w:p>
      <w:pPr>
        <w:pStyle w:val="BodyText"/>
      </w:pPr>
      <w:r>
        <w:rPr>
          <w:b/>
          <w:bCs/>
        </w:rPr>
        <w:t xml:space="preserve">Why this is a contradiction (and what it reveals).</w:t>
      </w:r>
      <w:r>
        <w:t xml:space="preserve"> </w:t>
      </w:r>
      <w:r>
        <w:t xml:space="preserve">Taken literally, “AI is still nascent” (Dec 2024) and “no corner is untouched” / “this year is all about scaling” (Tech Trends 2026) cannot both describe the same enterprise reality at the same level of generality.</w:t>
      </w:r>
      <w:r>
        <w:t xml:space="preserve"> </w:t>
      </w:r>
      <w:hyperlink r:id="rId23">
        <w:r>
          <w:rPr>
            <w:rStyle w:val="Hyperlink"/>
          </w:rPr>
          <w:t xml:space="preserve">[16]</w:t>
        </w:r>
      </w:hyperlink>
      <w:r>
        <w:t xml:space="preserve"> </w:t>
      </w:r>
      <w:r>
        <w:t xml:space="preserve">Deloitte’s own 2026 data points—only 25% moving large shares of pilots into production and only 11% deploying agentic systems in production—pull in the opposite direction of “ubiquity.”</w:t>
      </w:r>
      <w:r>
        <w:t xml:space="preserve"> </w:t>
      </w:r>
      <w:hyperlink r:id="rId32">
        <w:r>
          <w:rPr>
            <w:rStyle w:val="Hyperlink"/>
          </w:rPr>
          <w:t xml:space="preserve">[17]</w:t>
        </w:r>
      </w:hyperlink>
    </w:p>
    <w:p>
      <w:pPr>
        <w:pStyle w:val="BodyText"/>
      </w:pPr>
      <w:r>
        <w:t xml:space="preserve">The most defensible way to interpret this “contradiction over time” is that Deloitte is:</w:t>
      </w:r>
      <w:r>
        <w:t xml:space="preserve"> </w:t>
      </w:r>
      <w:r>
        <w:t xml:space="preserve">- using</w:t>
      </w:r>
      <w:r>
        <w:t xml:space="preserve"> </w:t>
      </w:r>
      <w:r>
        <w:rPr>
          <w:b/>
          <w:bCs/>
        </w:rPr>
        <w:t xml:space="preserve">different meanings of “AI maturity”</w:t>
      </w:r>
      <w:r>
        <w:t xml:space="preserve"> </w:t>
      </w:r>
      <w:r>
        <w:t xml:space="preserve">(general AI embedded somewhere vs widespread production scaling vs business-model reinvention), and</w:t>
      </w:r>
      <w:r>
        <w:br/>
      </w:r>
      <w:r>
        <w:t xml:space="preserve">- mixing</w:t>
      </w:r>
      <w:r>
        <w:t xml:space="preserve"> </w:t>
      </w:r>
      <w:r>
        <w:rPr>
          <w:b/>
          <w:bCs/>
        </w:rPr>
        <w:t xml:space="preserve">scenario-led narrative</w:t>
      </w:r>
      <w:r>
        <w:t xml:space="preserve"> </w:t>
      </w:r>
      <w:r>
        <w:t xml:space="preserve">(Tech Trends positioning) with</w:t>
      </w:r>
      <w:r>
        <w:t xml:space="preserve"> </w:t>
      </w:r>
      <w:r>
        <w:rPr>
          <w:b/>
          <w:bCs/>
        </w:rPr>
        <w:t xml:space="preserve">survey thresholds</w:t>
      </w:r>
      <w:r>
        <w:t xml:space="preserve"> </w:t>
      </w:r>
      <w:r>
        <w:t xml:space="preserve">(production deployment, pilot conversion), which naturally reduces consistency if presented as a single storyline.</w:t>
      </w:r>
      <w:r>
        <w:t xml:space="preserve"> </w:t>
      </w:r>
      <w:hyperlink r:id="rId31">
        <w:r>
          <w:rPr>
            <w:rStyle w:val="Hyperlink"/>
          </w:rPr>
          <w:t xml:space="preserve">[18]</w:t>
        </w:r>
      </w:hyperlink>
    </w:p>
    <w:bookmarkEnd w:id="34"/>
    <w:bookmarkStart w:id="36" w:name="X9acdc1f2dc9ad678b644636540f8461652732d7"/>
    <w:p>
      <w:pPr>
        <w:pStyle w:val="Heading2"/>
      </w:pPr>
      <w:r>
        <w:t xml:space="preserve">Contradiction pattern in speed and urgency</w:t>
      </w:r>
    </w:p>
    <w:p>
      <w:pPr>
        <w:pStyle w:val="FirstParagraph"/>
      </w:pPr>
      <w:r>
        <w:t xml:space="preserve">Another consistent post-2021 contradiction is a push–pull between “move quickly now” and “accept an organisational speed limit.”</w:t>
      </w:r>
    </w:p>
    <w:p>
      <w:pPr>
        <w:pStyle w:val="BodyText"/>
      </w:pPr>
      <w:r>
        <w:t xml:space="preserve">Deloitte’s January 2024 press release on “State of Generative AI in the Enterprise” frames GenAI as being at an “inflection point,” while stressing that many organisations feel pressure to quickly realise value and must accelerate their path to value while managing risk “appropriately.”</w:t>
      </w:r>
      <w:r>
        <w:t xml:space="preserve"> </w:t>
      </w:r>
      <w:hyperlink r:id="rId22">
        <w:r>
          <w:rPr>
            <w:rStyle w:val="Hyperlink"/>
          </w:rPr>
          <w:t xml:space="preserve">[19]</w:t>
        </w:r>
      </w:hyperlink>
    </w:p>
    <w:p>
      <w:pPr>
        <w:pStyle w:val="BodyText"/>
      </w:pPr>
      <w:r>
        <w:t xml:space="preserve">However, Deloitte’s year-end Q4 2024 GenAI report explicitly introduces speed constraints. It states: “There is a speed limit,” arguing that while GenAI advances quickly, most organisations move at the “speed of organisations,” not the speed of technology. In a later “Key findings” page, it adds that reaching full-scale deployment and desired ROI may be a multi-year journey for some organisations.</w:t>
      </w:r>
      <w:r>
        <w:t xml:space="preserve"> </w:t>
      </w:r>
      <w:hyperlink r:id="rId29">
        <w:r>
          <w:rPr>
            <w:rStyle w:val="Hyperlink"/>
          </w:rPr>
          <w:t xml:space="preserve">[20]</w:t>
        </w:r>
      </w:hyperlink>
    </w:p>
    <w:p>
      <w:pPr>
        <w:pStyle w:val="BodyText"/>
      </w:pPr>
      <w:r>
        <w:t xml:space="preserve">Meanwhile, Tech Trends 2026 frames the leadership challenge as shifting from experimentation to measurable impact and says organisations must “redesign rather than merely automate” and “execute rapidly,” a stance that rhetorically pulls against the “speed limit” framing.</w:t>
      </w:r>
      <w:r>
        <w:t xml:space="preserve"> </w:t>
      </w:r>
      <w:hyperlink r:id="rId31">
        <w:r>
          <w:rPr>
            <w:rStyle w:val="Hyperlink"/>
          </w:rPr>
          <w:t xml:space="preserve">[13]</w:t>
        </w:r>
      </w:hyperlink>
    </w:p>
    <w:p>
      <w:pPr>
        <w:pStyle w:val="BodyText"/>
      </w:pPr>
      <w:r>
        <w:t xml:space="preserve">Deloitte also publishes ROI-oriented modelling suggesting that disciplined scaling is where financial returns compound, reinforcing the “move from experimentation to scaling” imperative, even if value is achieved “incrementally.”</w:t>
      </w:r>
      <w:r>
        <w:t xml:space="preserve"> </w:t>
      </w:r>
      <w:hyperlink r:id="rId35">
        <w:r>
          <w:rPr>
            <w:rStyle w:val="Hyperlink"/>
          </w:rPr>
          <w:t xml:space="preserve">[21]</w:t>
        </w:r>
      </w:hyperlink>
    </w:p>
    <w:p>
      <w:pPr>
        <w:pStyle w:val="BodyText"/>
      </w:pPr>
      <w:r>
        <w:rPr>
          <w:b/>
          <w:bCs/>
        </w:rPr>
        <w:t xml:space="preserve">Why this is a contradiction (and a likely synthesis).</w:t>
      </w:r>
      <w:r>
        <w:t xml:space="preserve"> </w:t>
      </w:r>
      <w:r>
        <w:t xml:space="preserve">Deloitte’s content simultaneously creates urgency (“pressure to quickly realise value”; “execute rapidly”) and cautions that enterprise adoption is rate-limited by organisational change.</w:t>
      </w:r>
      <w:r>
        <w:t xml:space="preserve"> </w:t>
      </w:r>
      <w:hyperlink r:id="rId22">
        <w:r>
          <w:rPr>
            <w:rStyle w:val="Hyperlink"/>
          </w:rPr>
          <w:t xml:space="preserve">[22]</w:t>
        </w:r>
      </w:hyperlink>
      <w:r>
        <w:t xml:space="preserve"> </w:t>
      </w:r>
      <w:r>
        <w:t xml:space="preserve">Read together, Deloitte’s implicit synthesis is: accelerate</w:t>
      </w:r>
      <w:r>
        <w:t xml:space="preserve"> </w:t>
      </w:r>
      <w:r>
        <w:rPr>
          <w:i/>
          <w:iCs/>
        </w:rPr>
        <w:t xml:space="preserve">decision-making and learning velocity</w:t>
      </w:r>
      <w:r>
        <w:t xml:space="preserve"> </w:t>
      </w:r>
      <w:r>
        <w:t xml:space="preserve">(pilots, governance, data readiness), but accept that</w:t>
      </w:r>
      <w:r>
        <w:t xml:space="preserve"> </w:t>
      </w:r>
      <w:r>
        <w:rPr>
          <w:i/>
          <w:iCs/>
        </w:rPr>
        <w:t xml:space="preserve">deep integration</w:t>
      </w:r>
      <w:r>
        <w:t xml:space="preserve"> </w:t>
      </w:r>
      <w:r>
        <w:t xml:space="preserve">(process redesign, operating model shifts) will remain slower and may take years.</w:t>
      </w:r>
      <w:r>
        <w:t xml:space="preserve"> </w:t>
      </w:r>
      <w:hyperlink r:id="rId29">
        <w:r>
          <w:rPr>
            <w:rStyle w:val="Hyperlink"/>
          </w:rPr>
          <w:t xml:space="preserve">[23]</w:t>
        </w:r>
      </w:hyperlink>
    </w:p>
    <w:bookmarkEnd w:id="36"/>
    <w:bookmarkStart w:id="40" w:name="X52a644edea1a754e4f61066f2b2648d855bd248"/>
    <w:p>
      <w:pPr>
        <w:pStyle w:val="Heading2"/>
      </w:pPr>
      <w:r>
        <w:t xml:space="preserve">Contradiction pattern in workforce claims</w:t>
      </w:r>
    </w:p>
    <w:p>
      <w:pPr>
        <w:pStyle w:val="FirstParagraph"/>
      </w:pPr>
      <w:r>
        <w:t xml:space="preserve">Workforce messaging shows some of Deloitte’s most visible contradictions over time because it blends (a) public opinion data, (b) executive survey data, and (c) Deloitte’s guidance about augmentation versus replacement.</w:t>
      </w:r>
    </w:p>
    <w:p>
      <w:pPr>
        <w:pStyle w:val="BodyText"/>
      </w:pPr>
      <w:r>
        <w:t xml:space="preserve">In Tech Trends 2023-era content (published 6 Dec 2022), Deloitte argues that no job will be untouched by machines but also explicitly says that does</w:t>
      </w:r>
      <w:r>
        <w:t xml:space="preserve"> </w:t>
      </w:r>
      <w:r>
        <w:rPr>
          <w:i/>
          <w:iCs/>
        </w:rPr>
        <w:t xml:space="preserve">not</w:t>
      </w:r>
      <w:r>
        <w:t xml:space="preserve"> </w:t>
      </w:r>
      <w:r>
        <w:t xml:space="preserve">mean jobs are “going away,” recommending that organisations position AI tools as assistants rather than competitors.</w:t>
      </w:r>
      <w:r>
        <w:t xml:space="preserve"> </w:t>
      </w:r>
      <w:hyperlink r:id="rId37">
        <w:r>
          <w:rPr>
            <w:rStyle w:val="Hyperlink"/>
          </w:rPr>
          <w:t xml:space="preserve">[24]</w:t>
        </w:r>
      </w:hyperlink>
    </w:p>
    <w:p>
      <w:pPr>
        <w:pStyle w:val="BodyText"/>
      </w:pPr>
      <w:r>
        <w:t xml:space="preserve">In contrast, Deloitte’s UK press release on consumer use of generative AI (dated 12 Jul 2023) reports that nearly two-thirds of UK respondents who have heard of GenAI expect it to reduce the number of jobs available, and around half worry AI will replace part of their role. The same release also describes GenAI as “relatively nascent” with regulatory environment and accuracy still a work in progress.</w:t>
      </w:r>
      <w:r>
        <w:t xml:space="preserve"> </w:t>
      </w:r>
      <w:hyperlink r:id="rId38">
        <w:r>
          <w:rPr>
            <w:rStyle w:val="Hyperlink"/>
          </w:rPr>
          <w:t xml:space="preserve">[25]</w:t>
        </w:r>
      </w:hyperlink>
    </w:p>
    <w:p>
      <w:pPr>
        <w:pStyle w:val="BodyText"/>
      </w:pPr>
      <w:r>
        <w:t xml:space="preserve">Deloitte’s own executive-facing AI research points to an organisational readiness gap that complicates either a “job-loss wave” or a “smooth augmentation” narrative: the 2026 State of AI report says 84% of companies have not redesigned jobs or the nature of work around AI capabilities, even while describing worker skills as a major integration barrier.</w:t>
      </w:r>
      <w:r>
        <w:t xml:space="preserve"> </w:t>
      </w:r>
      <w:hyperlink r:id="rId24">
        <w:r>
          <w:rPr>
            <w:rStyle w:val="Hyperlink"/>
          </w:rPr>
          <w:t xml:space="preserve">[26]</w:t>
        </w:r>
      </w:hyperlink>
    </w:p>
    <w:p>
      <w:pPr>
        <w:pStyle w:val="BodyText"/>
      </w:pPr>
      <w:r>
        <w:t xml:space="preserve">Alongside this, Deloitte’s forward-looking “agentic enterprise 2028” framing uses the language of “job creation” and “redeploying talent to higher-value work,” presenting a more optimistic labour-market narrative centred on organisational reinvention rather than displacement.</w:t>
      </w:r>
      <w:r>
        <w:t xml:space="preserve"> </w:t>
      </w:r>
      <w:hyperlink r:id="rId39">
        <w:r>
          <w:rPr>
            <w:rStyle w:val="Hyperlink"/>
          </w:rPr>
          <w:t xml:space="preserve">[27]</w:t>
        </w:r>
      </w:hyperlink>
    </w:p>
    <w:p>
      <w:pPr>
        <w:pStyle w:val="BodyText"/>
      </w:pPr>
      <w:r>
        <w:t xml:space="preserve">Even in Deloitte’s financially oriented modelling, reducing workforce capacity without reinvesting (e.g., in automation and capability building) is warned against as potentially lowering output and slowing value creation, implying that simplistic “AI = fewer people” strategies can backfire.</w:t>
      </w:r>
      <w:r>
        <w:t xml:space="preserve"> </w:t>
      </w:r>
      <w:hyperlink r:id="rId35">
        <w:r>
          <w:rPr>
            <w:rStyle w:val="Hyperlink"/>
          </w:rPr>
          <w:t xml:space="preserve">[21]</w:t>
        </w:r>
      </w:hyperlink>
    </w:p>
    <w:p>
      <w:pPr>
        <w:pStyle w:val="BodyText"/>
      </w:pPr>
      <w:r>
        <w:rPr>
          <w:b/>
          <w:bCs/>
        </w:rPr>
        <w:t xml:space="preserve">Why this is a contradiction (and what it suggests).</w:t>
      </w:r>
      <w:r>
        <w:t xml:space="preserve"> </w:t>
      </w:r>
      <w:r>
        <w:t xml:space="preserve">Deloitte content simultaneously reassures (jobs not going away; AI as assistant), reports widespread fear and job-loss expectations in the public, and highlights that most organisations haven’t done the hard job redesign work that would make “augmentation” real in practice.</w:t>
      </w:r>
      <w:r>
        <w:t xml:space="preserve"> </w:t>
      </w:r>
      <w:hyperlink r:id="rId37">
        <w:r>
          <w:rPr>
            <w:rStyle w:val="Hyperlink"/>
          </w:rPr>
          <w:t xml:space="preserve">[28]</w:t>
        </w:r>
      </w:hyperlink>
      <w:r>
        <w:t xml:space="preserve"> </w:t>
      </w:r>
      <w:r>
        <w:t xml:space="preserve">The most coherent reading is that Deloitte is describing</w:t>
      </w:r>
      <w:r>
        <w:t xml:space="preserve"> </w:t>
      </w:r>
      <w:r>
        <w:rPr>
          <w:b/>
          <w:bCs/>
        </w:rPr>
        <w:t xml:space="preserve">three different “workforce realities”</w:t>
      </w:r>
      <w:r>
        <w:t xml:space="preserve">: public anxiety, executive ambition, and operational inertia—each evidenced in different Deloitte publications and samples.</w:t>
      </w:r>
      <w:r>
        <w:t xml:space="preserve"> </w:t>
      </w:r>
      <w:hyperlink r:id="rId38">
        <w:r>
          <w:rPr>
            <w:rStyle w:val="Hyperlink"/>
          </w:rPr>
          <w:t xml:space="preserve">[29]</w:t>
        </w:r>
      </w:hyperlink>
    </w:p>
    <w:bookmarkEnd w:id="40"/>
    <w:bookmarkStart w:id="43" w:name="X90bb26cb06e3a1c3c933a8759d1b8a7ddc97d6b"/>
    <w:p>
      <w:pPr>
        <w:pStyle w:val="Heading2"/>
      </w:pPr>
      <w:r>
        <w:t xml:space="preserve">Contradiction pattern in governance and regulation</w:t>
      </w:r>
    </w:p>
    <w:p>
      <w:pPr>
        <w:pStyle w:val="FirstParagraph"/>
      </w:pPr>
      <w:r>
        <w:t xml:space="preserve">Governance is an area where Deloitte’s publications repeatedly juxtapose “scale is happening” with “guardrails are missing,” and where editorials can diverge depending on whether the focus is technical trend, enterprise adoption, or financial-services regulation.</w:t>
      </w:r>
    </w:p>
    <w:p>
      <w:pPr>
        <w:pStyle w:val="BodyText"/>
      </w:pPr>
      <w:r>
        <w:t xml:space="preserve">Deloitte’s 2026 State of AI press release explicitly frames a governance mismatch for agentic AI: it reports that close to three-quarters of companies plan to deploy agentic AI within two years, but only 21% report a mature model for agent governance.</w:t>
      </w:r>
      <w:r>
        <w:t xml:space="preserve"> </w:t>
      </w:r>
      <w:hyperlink r:id="rId32">
        <w:r>
          <w:rPr>
            <w:rStyle w:val="Hyperlink"/>
          </w:rPr>
          <w:t xml:space="preserve">[30]</w:t>
        </w:r>
      </w:hyperlink>
      <w:r>
        <w:t xml:space="preserve"> </w:t>
      </w:r>
      <w:r>
        <w:t xml:space="preserve">Deloitte’s Tech Trends 2026 executive summary reinforces the “governance lag” narrative, associating limited transformation with inadequate governance frameworks and low production deployment for agentic systems.</w:t>
      </w:r>
      <w:r>
        <w:t xml:space="preserve"> </w:t>
      </w:r>
      <w:hyperlink r:id="rId31">
        <w:r>
          <w:rPr>
            <w:rStyle w:val="Hyperlink"/>
          </w:rPr>
          <w:t xml:space="preserve">[31]</w:t>
        </w:r>
      </w:hyperlink>
    </w:p>
    <w:p>
      <w:pPr>
        <w:pStyle w:val="BodyText"/>
      </w:pPr>
      <w:r>
        <w:t xml:space="preserve">At the same time, Deloitte’s AI trends blog (published Sept 2025) underscores uncertainty by stating that organisations are weighing risks “at a time when no regulatory frameworks specific to agentic AI exist,” and frames adoption as “still nascent.”</w:t>
      </w:r>
      <w:r>
        <w:t xml:space="preserve"> </w:t>
      </w:r>
      <w:hyperlink r:id="rId41">
        <w:r>
          <w:rPr>
            <w:rStyle w:val="Hyperlink"/>
          </w:rPr>
          <w:t xml:space="preserve">[32]</w:t>
        </w:r>
      </w:hyperlink>
    </w:p>
    <w:p>
      <w:pPr>
        <w:pStyle w:val="BodyText"/>
      </w:pPr>
      <w:r>
        <w:t xml:space="preserve">By early 2026, Deloitte’s financial-services regulatory outlook takes a different tone: it says the international regulatory environment for AI is a “mix of well-established and still-evolving frameworks,” and then details divergence between UK and EU approaches (including the evolving implementation timeline for the EU AI Act).</w:t>
      </w:r>
      <w:r>
        <w:t xml:space="preserve"> </w:t>
      </w:r>
      <w:hyperlink r:id="rId42">
        <w:r>
          <w:rPr>
            <w:rStyle w:val="Hyperlink"/>
          </w:rPr>
          <w:t xml:space="preserve">[33]</w:t>
        </w:r>
      </w:hyperlink>
    </w:p>
    <w:p>
      <w:pPr>
        <w:pStyle w:val="BodyText"/>
      </w:pPr>
      <w:r>
        <w:t xml:space="preserve">Deloitte’s year-end Q4 2024 GenAI report also adds that regulatory uncertainty and risk management have risen on organisations’ lists of concerns, and that trust levels remain moderate for many organisations—again emphasising barriers rather than inevitability.</w:t>
      </w:r>
      <w:r>
        <w:t xml:space="preserve"> </w:t>
      </w:r>
      <w:hyperlink r:id="rId29">
        <w:r>
          <w:rPr>
            <w:rStyle w:val="Hyperlink"/>
          </w:rPr>
          <w:t xml:space="preserve">[34]</w:t>
        </w:r>
      </w:hyperlink>
    </w:p>
    <w:p>
      <w:pPr>
        <w:pStyle w:val="BodyText"/>
      </w:pPr>
      <w:r>
        <w:rPr>
          <w:b/>
          <w:bCs/>
        </w:rPr>
        <w:t xml:space="preserve">Why this is a contradiction (and a practical takeaway).</w:t>
      </w:r>
      <w:r>
        <w:t xml:space="preserve"> </w:t>
      </w:r>
      <w:r>
        <w:t xml:space="preserve">Deloitte’s post-2021 governance narrative can appear inconsistent because one part of its publishing ecosystem argues that regulation and governance are not keeping pace (especially for</w:t>
      </w:r>
      <w:r>
        <w:t xml:space="preserve"> </w:t>
      </w:r>
      <w:r>
        <w:rPr>
          <w:i/>
          <w:iCs/>
        </w:rPr>
        <w:t xml:space="preserve">agentic</w:t>
      </w:r>
      <w:r>
        <w:t xml:space="preserve"> </w:t>
      </w:r>
      <w:r>
        <w:t xml:space="preserve">systems), while another part (notably FS regulatory analysis) argues that firms already operate under multiple established frameworks and that AI-specific regulation is only part of the story.</w:t>
      </w:r>
      <w:r>
        <w:t xml:space="preserve"> </w:t>
      </w:r>
      <w:hyperlink r:id="rId41">
        <w:r>
          <w:rPr>
            <w:rStyle w:val="Hyperlink"/>
          </w:rPr>
          <w:t xml:space="preserve">[35]</w:t>
        </w:r>
      </w:hyperlink>
      <w:r>
        <w:t xml:space="preserve"> </w:t>
      </w:r>
      <w:r>
        <w:t xml:space="preserve">A grounded takeaway is that Deloitte is effectively distinguishing between</w:t>
      </w:r>
      <w:r>
        <w:t xml:space="preserve"> </w:t>
      </w:r>
      <w:r>
        <w:rPr>
          <w:b/>
          <w:bCs/>
        </w:rPr>
        <w:t xml:space="preserve">(a) “AI regulation as a whole”</w:t>
      </w:r>
      <w:r>
        <w:t xml:space="preserve"> </w:t>
      </w:r>
      <w:r>
        <w:t xml:space="preserve">(many frameworks already apply) and</w:t>
      </w:r>
      <w:r>
        <w:t xml:space="preserve"> </w:t>
      </w:r>
      <w:r>
        <w:rPr>
          <w:b/>
          <w:bCs/>
        </w:rPr>
        <w:t xml:space="preserve">(b) “regulation tailored to a new AI form factor”</w:t>
      </w:r>
      <w:r>
        <w:t xml:space="preserve"> </w:t>
      </w:r>
      <w:r>
        <w:t xml:space="preserve">(agentic AI-specific rules still emerging).</w:t>
      </w:r>
      <w:r>
        <w:t xml:space="preserve"> </w:t>
      </w:r>
      <w:hyperlink r:id="rId42">
        <w:r>
          <w:rPr>
            <w:rStyle w:val="Hyperlink"/>
          </w:rPr>
          <w:t xml:space="preserve">[36]</w:t>
        </w:r>
      </w:hyperlink>
    </w:p>
    <w:bookmarkEnd w:id="43"/>
    <w:bookmarkEnd w:id="44"/>
    <w:bookmarkEnd w:id="45"/>
    <w:p>
      <w:r>
        <w:pict>
          <v:rect style="width:0;height:1.5pt" o:hralign="center" o:hrstd="t" o:hr="t"/>
        </w:pict>
      </w:r>
    </w:p>
    <w:bookmarkStart w:id="46" w:name="citations"/>
    <w:p>
      <w:pPr>
        <w:pStyle w:val="FirstParagraph"/>
      </w:pPr>
      <w:hyperlink r:id="rId21">
        <w:r>
          <w:rPr>
            <w:rStyle w:val="Hyperlink"/>
          </w:rPr>
          <w:t xml:space="preserve">[1]</w:t>
        </w:r>
      </w:hyperlink>
      <w:r>
        <w:t xml:space="preserve"> </w:t>
      </w:r>
      <w:r>
        <w:t xml:space="preserve">Tech Trends archive | Deloitte Insights</w:t>
      </w:r>
    </w:p>
    <w:p>
      <w:pPr>
        <w:pStyle w:val="BodyText"/>
      </w:pPr>
      <w:hyperlink r:id="rId21">
        <w:r>
          <w:rPr>
            <w:rStyle w:val="Hyperlink"/>
          </w:rPr>
          <w:t xml:space="preserve">https://www.deloitte.com/us/en/insights/topics/technology-management/tech-trends/tech-trends-archive.html</w:t>
        </w:r>
      </w:hyperlink>
    </w:p>
    <w:p>
      <w:pPr>
        <w:pStyle w:val="BodyText"/>
      </w:pPr>
      <w:hyperlink r:id="rId22">
        <w:r>
          <w:rPr>
            <w:rStyle w:val="Hyperlink"/>
          </w:rPr>
          <w:t xml:space="preserve">[2]</w:t>
        </w:r>
      </w:hyperlink>
      <w:r>
        <w:t xml:space="preserve"> </w:t>
      </w:r>
      <w:hyperlink r:id="rId22">
        <w:r>
          <w:rPr>
            <w:rStyle w:val="Hyperlink"/>
          </w:rPr>
          <w:t xml:space="preserve">[19]</w:t>
        </w:r>
      </w:hyperlink>
      <w:r>
        <w:t xml:space="preserve"> </w:t>
      </w:r>
      <w:hyperlink r:id="rId22">
        <w:r>
          <w:rPr>
            <w:rStyle w:val="Hyperlink"/>
          </w:rPr>
          <w:t xml:space="preserve">[22]</w:t>
        </w:r>
      </w:hyperlink>
      <w:r>
        <w:t xml:space="preserve"> </w:t>
      </w:r>
      <w:r>
        <w:t xml:space="preserve">New Deloitte survey finds expectations for Gen AI remain high, but many are feeling pressure to quickly realize value while managing risks | Deloitte Global</w:t>
      </w:r>
    </w:p>
    <w:p>
      <w:pPr>
        <w:pStyle w:val="BodyText"/>
      </w:pPr>
      <w:hyperlink r:id="rId22">
        <w:r>
          <w:rPr>
            <w:rStyle w:val="Hyperlink"/>
          </w:rPr>
          <w:t xml:space="preserve">https://www.deloitte.com/global/en/about/press-room/gen-ai-survey.html</w:t>
        </w:r>
      </w:hyperlink>
    </w:p>
    <w:p>
      <w:pPr>
        <w:pStyle w:val="BodyText"/>
      </w:pPr>
      <w:hyperlink r:id="rId23">
        <w:r>
          <w:rPr>
            <w:rStyle w:val="Hyperlink"/>
          </w:rPr>
          <w:t xml:space="preserve">[3]</w:t>
        </w:r>
      </w:hyperlink>
      <w:r>
        <w:t xml:space="preserve"> </w:t>
      </w:r>
      <w:hyperlink r:id="rId23">
        <w:r>
          <w:rPr>
            <w:rStyle w:val="Hyperlink"/>
          </w:rPr>
          <w:t xml:space="preserve">[12]</w:t>
        </w:r>
      </w:hyperlink>
      <w:r>
        <w:t xml:space="preserve"> </w:t>
      </w:r>
      <w:hyperlink r:id="rId23">
        <w:r>
          <w:rPr>
            <w:rStyle w:val="Hyperlink"/>
          </w:rPr>
          <w:t xml:space="preserve">[16]</w:t>
        </w:r>
      </w:hyperlink>
      <w:r>
        <w:t xml:space="preserve"> </w:t>
      </w:r>
      <w:r>
        <w:t xml:space="preserve">AI agents and autonomous AI | Deloitte Insights</w:t>
      </w:r>
    </w:p>
    <w:p>
      <w:pPr>
        <w:pStyle w:val="BodyText"/>
      </w:pPr>
      <w:hyperlink r:id="rId23">
        <w:r>
          <w:rPr>
            <w:rStyle w:val="Hyperlink"/>
          </w:rPr>
          <w:t xml:space="preserve">https://www.deloitte.com/us/en/insights/focus/tech-trends/2025/tech-trends-ai-agents-and-autonomous-ai.html</w:t>
        </w:r>
      </w:hyperlink>
    </w:p>
    <w:p>
      <w:pPr>
        <w:pStyle w:val="BodyText"/>
      </w:pPr>
      <w:hyperlink r:id="rId24">
        <w:r>
          <w:rPr>
            <w:rStyle w:val="Hyperlink"/>
          </w:rPr>
          <w:t xml:space="preserve">[4]</w:t>
        </w:r>
      </w:hyperlink>
      <w:r>
        <w:t xml:space="preserve"> </w:t>
      </w:r>
      <w:hyperlink r:id="rId24">
        <w:r>
          <w:rPr>
            <w:rStyle w:val="Hyperlink"/>
          </w:rPr>
          <w:t xml:space="preserve">[8]</w:t>
        </w:r>
      </w:hyperlink>
      <w:r>
        <w:t xml:space="preserve"> </w:t>
      </w:r>
      <w:hyperlink r:id="rId24">
        <w:r>
          <w:rPr>
            <w:rStyle w:val="Hyperlink"/>
          </w:rPr>
          <w:t xml:space="preserve">[26]</w:t>
        </w:r>
      </w:hyperlink>
      <w:r>
        <w:t xml:space="preserve"> </w:t>
      </w:r>
      <w:r>
        <w:t xml:space="preserve">StateofAI_Report_vF</w:t>
      </w:r>
    </w:p>
    <w:p>
      <w:pPr>
        <w:pStyle w:val="BodyText"/>
      </w:pPr>
      <w:hyperlink r:id="rId24">
        <w:r>
          <w:rPr>
            <w:rStyle w:val="Hyperlink"/>
          </w:rPr>
          <w:t xml:space="preserve">https://www.deloitte.com/content/dam/assets-zone3/us/en/docs/services/consulting/2026/state-of-ai-2026.pdf</w:t>
        </w:r>
      </w:hyperlink>
    </w:p>
    <w:p>
      <w:pPr>
        <w:pStyle w:val="BodyText"/>
      </w:pPr>
      <w:hyperlink r:id="rId26">
        <w:r>
          <w:rPr>
            <w:rStyle w:val="Hyperlink"/>
          </w:rPr>
          <w:t xml:space="preserve">[5]</w:t>
        </w:r>
      </w:hyperlink>
      <w:r>
        <w:t xml:space="preserve"> </w:t>
      </w:r>
      <w:hyperlink r:id="rId26">
        <w:r>
          <w:rPr>
            <w:rStyle w:val="Hyperlink"/>
          </w:rPr>
          <w:t xml:space="preserve">[10]</w:t>
        </w:r>
      </w:hyperlink>
      <w:r>
        <w:t xml:space="preserve"> </w:t>
      </w:r>
      <w:r>
        <w:t xml:space="preserve">State of AI in the Enterprise, 5th Edition | Deloitte UK</w:t>
      </w:r>
    </w:p>
    <w:p>
      <w:pPr>
        <w:pStyle w:val="BodyText"/>
      </w:pPr>
      <w:hyperlink r:id="rId26">
        <w:r>
          <w:rPr>
            <w:rStyle w:val="Hyperlink"/>
          </w:rPr>
          <w:t xml:space="preserve">https://www.deloitte.com/uk/en/Industries/technology/research/state-of-aiin-the-enterprise-5th-edition.html</w:t>
        </w:r>
      </w:hyperlink>
    </w:p>
    <w:p>
      <w:pPr>
        <w:pStyle w:val="BodyText"/>
      </w:pPr>
      <w:hyperlink r:id="rId27">
        <w:r>
          <w:rPr>
            <w:rStyle w:val="Hyperlink"/>
          </w:rPr>
          <w:t xml:space="preserve">[6]</w:t>
        </w:r>
      </w:hyperlink>
      <w:r>
        <w:t xml:space="preserve"> </w:t>
      </w:r>
      <w:r>
        <w:t xml:space="preserve">Why hasn’t AI delivered on its promise? | Deloitte Insights</w:t>
      </w:r>
    </w:p>
    <w:p>
      <w:pPr>
        <w:pStyle w:val="BodyText"/>
      </w:pPr>
      <w:hyperlink r:id="rId27">
        <w:r>
          <w:rPr>
            <w:rStyle w:val="Hyperlink"/>
          </w:rPr>
          <w:t xml:space="preserve">https://www.deloitte.com/us/en/insights/topics/emerging-technologies/ai-adoption-challenges.html</w:t>
        </w:r>
      </w:hyperlink>
    </w:p>
    <w:p>
      <w:pPr>
        <w:pStyle w:val="BodyText"/>
      </w:pPr>
      <w:hyperlink r:id="rId28">
        <w:r>
          <w:rPr>
            <w:rStyle w:val="Hyperlink"/>
          </w:rPr>
          <w:t xml:space="preserve">[7]</w:t>
        </w:r>
      </w:hyperlink>
      <w:r>
        <w:t xml:space="preserve"> </w:t>
      </w:r>
      <w:hyperlink r:id="rId28">
        <w:r>
          <w:rPr>
            <w:rStyle w:val="Hyperlink"/>
          </w:rPr>
          <w:t xml:space="preserve">[11]</w:t>
        </w:r>
      </w:hyperlink>
      <w:r>
        <w:t xml:space="preserve"> </w:t>
      </w:r>
      <w:r>
        <w:t xml:space="preserve">State of AI in the Enterprise 2022 | Deloitte Australia</w:t>
      </w:r>
    </w:p>
    <w:p>
      <w:pPr>
        <w:pStyle w:val="BodyText"/>
      </w:pPr>
      <w:hyperlink r:id="rId28">
        <w:r>
          <w:rPr>
            <w:rStyle w:val="Hyperlink"/>
          </w:rPr>
          <w:t xml:space="preserve">https://www.deloitte.com/au/en/services/consulting/research/state-of-ai-in-enterprise-2022.html</w:t>
        </w:r>
      </w:hyperlink>
    </w:p>
    <w:p>
      <w:pPr>
        <w:pStyle w:val="BodyText"/>
      </w:pPr>
      <w:hyperlink r:id="rId29">
        <w:r>
          <w:rPr>
            <w:rStyle w:val="Hyperlink"/>
          </w:rPr>
          <w:t xml:space="preserve">[9]</w:t>
        </w:r>
      </w:hyperlink>
      <w:r>
        <w:t xml:space="preserve"> </w:t>
      </w:r>
      <w:hyperlink r:id="rId29">
        <w:r>
          <w:rPr>
            <w:rStyle w:val="Hyperlink"/>
          </w:rPr>
          <w:t xml:space="preserve">[20]</w:t>
        </w:r>
      </w:hyperlink>
      <w:r>
        <w:t xml:space="preserve"> </w:t>
      </w:r>
      <w:hyperlink r:id="rId29">
        <w:r>
          <w:rPr>
            <w:rStyle w:val="Hyperlink"/>
          </w:rPr>
          <w:t xml:space="preserve">[23]</w:t>
        </w:r>
      </w:hyperlink>
      <w:r>
        <w:t xml:space="preserve"> </w:t>
      </w:r>
      <w:hyperlink r:id="rId29">
        <w:r>
          <w:rPr>
            <w:rStyle w:val="Hyperlink"/>
          </w:rPr>
          <w:t xml:space="preserve">[34]</w:t>
        </w:r>
      </w:hyperlink>
      <w:r>
        <w:t xml:space="preserve"> </w:t>
      </w:r>
      <w:r>
        <w:t xml:space="preserve">deloitte.com</w:t>
      </w:r>
    </w:p>
    <w:p>
      <w:pPr>
        <w:pStyle w:val="BodyText"/>
      </w:pPr>
      <w:hyperlink r:id="rId29">
        <w:r>
          <w:rPr>
            <w:rStyle w:val="Hyperlink"/>
          </w:rPr>
          <w:t xml:space="preserve">https://www.deloitte.com/content/dam/assets-zone3/us/en/docs/campaigns/2025/us-state-of-gen-ai-2024-q4.pdf</w:t>
        </w:r>
      </w:hyperlink>
    </w:p>
    <w:p>
      <w:pPr>
        <w:pStyle w:val="BodyText"/>
      </w:pPr>
      <w:hyperlink r:id="rId31">
        <w:r>
          <w:rPr>
            <w:rStyle w:val="Hyperlink"/>
          </w:rPr>
          <w:t xml:space="preserve">[13]</w:t>
        </w:r>
      </w:hyperlink>
      <w:r>
        <w:t xml:space="preserve"> </w:t>
      </w:r>
      <w:hyperlink r:id="rId31">
        <w:r>
          <w:rPr>
            <w:rStyle w:val="Hyperlink"/>
          </w:rPr>
          <w:t xml:space="preserve">[18]</w:t>
        </w:r>
      </w:hyperlink>
      <w:r>
        <w:t xml:space="preserve"> </w:t>
      </w:r>
      <w:hyperlink r:id="rId31">
        <w:r>
          <w:rPr>
            <w:rStyle w:val="Hyperlink"/>
          </w:rPr>
          <w:t xml:space="preserve">[31]</w:t>
        </w:r>
      </w:hyperlink>
      <w:r>
        <w:t xml:space="preserve"> </w:t>
      </w:r>
      <w:r>
        <w:t xml:space="preserve">mkto.deloitte.com</w:t>
      </w:r>
    </w:p>
    <w:p>
      <w:pPr>
        <w:pStyle w:val="BodyText"/>
      </w:pPr>
      <w:hyperlink r:id="rId31">
        <w:r>
          <w:rPr>
            <w:rStyle w:val="Hyperlink"/>
          </w:rPr>
          <w:t xml:space="preserve">https://mkto.deloitte.com/rs/712-CNF-326/images/DI_Tech-trends-2026.pdf</w:t>
        </w:r>
      </w:hyperlink>
    </w:p>
    <w:p>
      <w:pPr>
        <w:pStyle w:val="BodyText"/>
      </w:pPr>
      <w:hyperlink r:id="rId32">
        <w:r>
          <w:rPr>
            <w:rStyle w:val="Hyperlink"/>
          </w:rPr>
          <w:t xml:space="preserve">[14]</w:t>
        </w:r>
      </w:hyperlink>
      <w:r>
        <w:t xml:space="preserve"> </w:t>
      </w:r>
      <w:hyperlink r:id="rId32">
        <w:r>
          <w:rPr>
            <w:rStyle w:val="Hyperlink"/>
          </w:rPr>
          <w:t xml:space="preserve">[17]</w:t>
        </w:r>
      </w:hyperlink>
      <w:r>
        <w:t xml:space="preserve"> </w:t>
      </w:r>
      <w:hyperlink r:id="rId32">
        <w:r>
          <w:rPr>
            <w:rStyle w:val="Hyperlink"/>
          </w:rPr>
          <w:t xml:space="preserve">[30]</w:t>
        </w:r>
      </w:hyperlink>
      <w:r>
        <w:t xml:space="preserve"> </w:t>
      </w:r>
      <w:r>
        <w:t xml:space="preserve">From Ambition to Activation: Organizations Stand at the Untapped Edge of AI’s Potential, Reveals Deloitte Survey – Press Release | Deloitte US</w:t>
      </w:r>
    </w:p>
    <w:p>
      <w:pPr>
        <w:pStyle w:val="BodyText"/>
      </w:pPr>
      <w:hyperlink r:id="rId32">
        <w:r>
          <w:rPr>
            <w:rStyle w:val="Hyperlink"/>
          </w:rPr>
          <w:t xml:space="preserve">https://www.deloitte.com/us/en/about/press-room/state-of-ai-report-2026.html</w:t>
        </w:r>
      </w:hyperlink>
    </w:p>
    <w:p>
      <w:pPr>
        <w:pStyle w:val="BodyText"/>
      </w:pPr>
      <w:hyperlink r:id="rId33">
        <w:r>
          <w:rPr>
            <w:rStyle w:val="Hyperlink"/>
          </w:rPr>
          <w:t xml:space="preserve">[15]</w:t>
        </w:r>
      </w:hyperlink>
      <w:r>
        <w:t xml:space="preserve"> </w:t>
      </w:r>
      <w:r>
        <w:t xml:space="preserve">Generative AI in the UK: A year in review | From hype to action | Deloitte UK</w:t>
      </w:r>
    </w:p>
    <w:p>
      <w:pPr>
        <w:pStyle w:val="BodyText"/>
      </w:pPr>
      <w:hyperlink r:id="rId33">
        <w:r>
          <w:rPr>
            <w:rStyle w:val="Hyperlink"/>
          </w:rPr>
          <w:t xml:space="preserve">https://www.deloitte.com/uk/en/issues/generative-ai/impact-of-generative-ai-on-uk-organisations-review.html</w:t>
        </w:r>
      </w:hyperlink>
    </w:p>
    <w:p>
      <w:pPr>
        <w:pStyle w:val="BodyText"/>
      </w:pPr>
      <w:hyperlink r:id="rId35">
        <w:r>
          <w:rPr>
            <w:rStyle w:val="Hyperlink"/>
          </w:rPr>
          <w:t xml:space="preserve">[21]</w:t>
        </w:r>
      </w:hyperlink>
      <w:r>
        <w:t xml:space="preserve"> </w:t>
      </w:r>
      <w:r>
        <w:t xml:space="preserve">Tech decisions and EPS growth | Deloitte Insights</w:t>
      </w:r>
    </w:p>
    <w:p>
      <w:pPr>
        <w:pStyle w:val="BodyText"/>
      </w:pPr>
      <w:hyperlink r:id="rId35">
        <w:r>
          <w:rPr>
            <w:rStyle w:val="Hyperlink"/>
          </w:rPr>
          <w:t xml:space="preserve">https://www.deloitte.com/us/en/insights/topics/technology-management/tech-decisions-eps-growth.html</w:t>
        </w:r>
      </w:hyperlink>
    </w:p>
    <w:p>
      <w:pPr>
        <w:pStyle w:val="BodyText"/>
      </w:pPr>
      <w:hyperlink r:id="rId37">
        <w:r>
          <w:rPr>
            <w:rStyle w:val="Hyperlink"/>
          </w:rPr>
          <w:t xml:space="preserve">[24]</w:t>
        </w:r>
      </w:hyperlink>
      <w:r>
        <w:t xml:space="preserve"> </w:t>
      </w:r>
      <w:hyperlink r:id="rId37">
        <w:r>
          <w:rPr>
            <w:rStyle w:val="Hyperlink"/>
          </w:rPr>
          <w:t xml:space="preserve">[28]</w:t>
        </w:r>
      </w:hyperlink>
      <w:r>
        <w:t xml:space="preserve"> </w:t>
      </w:r>
      <w:r>
        <w:t xml:space="preserve">Trust in AI colleagues | Deloitte Insights</w:t>
      </w:r>
    </w:p>
    <w:p>
      <w:pPr>
        <w:pStyle w:val="BodyText"/>
      </w:pPr>
      <w:hyperlink r:id="rId37">
        <w:r>
          <w:rPr>
            <w:rStyle w:val="Hyperlink"/>
          </w:rPr>
          <w:t xml:space="preserve">https://www.deloitte.com/us/en/insights/topics/technology-management/tech-trends/2023/artificial-intelligence-humans.html</w:t>
        </w:r>
      </w:hyperlink>
    </w:p>
    <w:p>
      <w:pPr>
        <w:pStyle w:val="BodyText"/>
      </w:pPr>
      <w:hyperlink r:id="rId38">
        <w:r>
          <w:rPr>
            <w:rStyle w:val="Hyperlink"/>
          </w:rPr>
          <w:t xml:space="preserve">[25]</w:t>
        </w:r>
      </w:hyperlink>
      <w:r>
        <w:t xml:space="preserve"> </w:t>
      </w:r>
      <w:hyperlink r:id="rId38">
        <w:r>
          <w:rPr>
            <w:rStyle w:val="Hyperlink"/>
          </w:rPr>
          <w:t xml:space="preserve">[29]</w:t>
        </w:r>
      </w:hyperlink>
      <w:r>
        <w:t xml:space="preserve"> </w:t>
      </w:r>
      <w:r>
        <w:t xml:space="preserve">More than four million people in the UK have used Generative AI for work - Deloitte | Deloitte UK</w:t>
      </w:r>
    </w:p>
    <w:p>
      <w:pPr>
        <w:pStyle w:val="BodyText"/>
      </w:pPr>
      <w:hyperlink r:id="rId38">
        <w:r>
          <w:rPr>
            <w:rStyle w:val="Hyperlink"/>
          </w:rPr>
          <w:t xml:space="preserve">https://www.deloitte.com/uk/en/about/press-room/more-than-four-million-people-in-the-uk-have-used-generative-ai-for-work-deloitte.html</w:t>
        </w:r>
      </w:hyperlink>
    </w:p>
    <w:p>
      <w:pPr>
        <w:pStyle w:val="BodyText"/>
      </w:pPr>
      <w:hyperlink r:id="rId39">
        <w:r>
          <w:rPr>
            <w:rStyle w:val="Hyperlink"/>
          </w:rPr>
          <w:t xml:space="preserve">[27]</w:t>
        </w:r>
      </w:hyperlink>
      <w:r>
        <w:t xml:space="preserve"> </w:t>
      </w:r>
      <w:r>
        <w:t xml:space="preserve">Agentic enterprise 2028: A blueprint for growth | Deloitte US</w:t>
      </w:r>
    </w:p>
    <w:p>
      <w:pPr>
        <w:pStyle w:val="BodyText"/>
      </w:pPr>
      <w:hyperlink r:id="rId39">
        <w:r>
          <w:rPr>
            <w:rStyle w:val="Hyperlink"/>
          </w:rPr>
          <w:t xml:space="preserve">https://www.deloitte.com/us/en/what-we-do/capabilities/applied-artificial-intelligence/articles/agentic-ai-enterprise-2028.html</w:t>
        </w:r>
      </w:hyperlink>
    </w:p>
    <w:p>
      <w:pPr>
        <w:pStyle w:val="BodyText"/>
      </w:pPr>
      <w:hyperlink r:id="rId41">
        <w:r>
          <w:rPr>
            <w:rStyle w:val="Hyperlink"/>
          </w:rPr>
          <w:t xml:space="preserve">[32]</w:t>
        </w:r>
      </w:hyperlink>
      <w:r>
        <w:t xml:space="preserve"> </w:t>
      </w:r>
      <w:hyperlink r:id="rId41">
        <w:r>
          <w:rPr>
            <w:rStyle w:val="Hyperlink"/>
          </w:rPr>
          <w:t xml:space="preserve">[35]</w:t>
        </w:r>
      </w:hyperlink>
      <w:r>
        <w:t xml:space="preserve"> </w:t>
      </w:r>
      <w:r>
        <w:t xml:space="preserve">AI trends: Adoption barriers and updated predictions | Deloitte US</w:t>
      </w:r>
    </w:p>
    <w:p>
      <w:pPr>
        <w:pStyle w:val="BodyText"/>
      </w:pPr>
      <w:hyperlink r:id="rId41">
        <w:r>
          <w:rPr>
            <w:rStyle w:val="Hyperlink"/>
          </w:rPr>
          <w:t xml:space="preserve">https://www.deloitte.com/us/en/what-we-do/capabilities/applied-artificial-intelligence/blogs/pulse-check-series-latest-ai-developments/ai-adoption-challenges-ai-trends.html</w:t>
        </w:r>
      </w:hyperlink>
    </w:p>
    <w:p>
      <w:pPr>
        <w:pStyle w:val="BodyText"/>
      </w:pPr>
      <w:hyperlink r:id="rId42">
        <w:r>
          <w:rPr>
            <w:rStyle w:val="Hyperlink"/>
          </w:rPr>
          <w:t xml:space="preserve">[33]</w:t>
        </w:r>
      </w:hyperlink>
      <w:r>
        <w:t xml:space="preserve"> </w:t>
      </w:r>
      <w:hyperlink r:id="rId42">
        <w:r>
          <w:rPr>
            <w:rStyle w:val="Hyperlink"/>
          </w:rPr>
          <w:t xml:space="preserve">[36]</w:t>
        </w:r>
      </w:hyperlink>
      <w:r>
        <w:t xml:space="preserve"> </w:t>
      </w:r>
      <w:r>
        <w:t xml:space="preserve">Artificial intelligence and data | Deloitte UK</w:t>
      </w:r>
    </w:p>
    <w:p>
      <w:pPr>
        <w:pStyle w:val="BodyText"/>
      </w:pPr>
      <w:hyperlink r:id="rId42">
        <w:r>
          <w:rPr>
            <w:rStyle w:val="Hyperlink"/>
          </w:rPr>
          <w:t xml:space="preserve">https://www.deloitte.com/uk/en/Industries/financial-services/research/regulatory-outlook/artificial-intelligence-and-data.html</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mkto.deloitte.com/rs/712-CNF-326/images/DI_Tech-trends-2026.pdf" TargetMode="External" /><Relationship Type="http://schemas.openxmlformats.org/officeDocument/2006/relationships/hyperlink" Id="rId28" Target="https://www.deloitte.com/au/en/services/consulting/research/state-of-ai-in-enterprise-2022.html" TargetMode="External" /><Relationship Type="http://schemas.openxmlformats.org/officeDocument/2006/relationships/hyperlink" Id="rId29" Target="https://www.deloitte.com/content/dam/assets-zone3/us/en/docs/campaigns/2025/us-state-of-gen-ai-2024-q4.pdf" TargetMode="External" /><Relationship Type="http://schemas.openxmlformats.org/officeDocument/2006/relationships/hyperlink" Id="rId24" Target="https://www.deloitte.com/content/dam/assets-zone3/us/en/docs/services/consulting/2026/state-of-ai-2026.pdf" TargetMode="External" /><Relationship Type="http://schemas.openxmlformats.org/officeDocument/2006/relationships/hyperlink" Id="rId22" Target="https://www.deloitte.com/global/en/about/press-room/gen-ai-survey.html" TargetMode="External" /><Relationship Type="http://schemas.openxmlformats.org/officeDocument/2006/relationships/hyperlink" Id="rId42" Target="https://www.deloitte.com/uk/en/Industries/financial-services/research/regulatory-outlook/artificial-intelligence-and-data.html" TargetMode="External" /><Relationship Type="http://schemas.openxmlformats.org/officeDocument/2006/relationships/hyperlink" Id="rId26" Target="https://www.deloitte.com/uk/en/Industries/technology/research/state-of-aiin-the-enterprise-5th-edition.html" TargetMode="External" /><Relationship Type="http://schemas.openxmlformats.org/officeDocument/2006/relationships/hyperlink" Id="rId38" Target="https://www.deloitte.com/uk/en/about/press-room/more-than-four-million-people-in-the-uk-have-used-generative-ai-for-work-deloitte.html" TargetMode="External" /><Relationship Type="http://schemas.openxmlformats.org/officeDocument/2006/relationships/hyperlink" Id="rId33" Target="https://www.deloitte.com/uk/en/issues/generative-ai/impact-of-generative-ai-on-uk-organisations-review.html" TargetMode="External" /><Relationship Type="http://schemas.openxmlformats.org/officeDocument/2006/relationships/hyperlink" Id="rId32" Target="https://www.deloitte.com/us/en/about/press-room/state-of-ai-report-2026.html" TargetMode="External" /><Relationship Type="http://schemas.openxmlformats.org/officeDocument/2006/relationships/hyperlink" Id="rId23" Target="https://www.deloitte.com/us/en/insights/focus/tech-trends/2025/tech-trends-ai-agents-and-autonomous-ai.html" TargetMode="External" /><Relationship Type="http://schemas.openxmlformats.org/officeDocument/2006/relationships/hyperlink" Id="rId27" Target="https://www.deloitte.com/us/en/insights/topics/emerging-technologies/ai-adoption-challenges.html" TargetMode="External" /><Relationship Type="http://schemas.openxmlformats.org/officeDocument/2006/relationships/hyperlink" Id="rId35" Target="https://www.deloitte.com/us/en/insights/topics/technology-management/tech-decisions-eps-growth.html" TargetMode="External" /><Relationship Type="http://schemas.openxmlformats.org/officeDocument/2006/relationships/hyperlink" Id="rId37" Target="https://www.deloitte.com/us/en/insights/topics/technology-management/tech-trends/2023/artificial-intelligence-humans.html" TargetMode="External" /><Relationship Type="http://schemas.openxmlformats.org/officeDocument/2006/relationships/hyperlink" Id="rId21" Target="https://www.deloitte.com/us/en/insights/topics/technology-management/tech-trends/tech-trends-archive.html" TargetMode="External" /><Relationship Type="http://schemas.openxmlformats.org/officeDocument/2006/relationships/hyperlink" Id="rId39" Target="https://www.deloitte.com/us/en/what-we-do/capabilities/applied-artificial-intelligence/articles/agentic-ai-enterprise-2028.html" TargetMode="External" /><Relationship Type="http://schemas.openxmlformats.org/officeDocument/2006/relationships/hyperlink" Id="rId41" Target="https://www.deloitte.com/us/en/what-we-do/capabilities/applied-artificial-intelligence/blogs/pulse-check-series-latest-ai-developments/ai-adoption-challenges-ai-trends.html" TargetMode="External" /></Relationships>
</file>

<file path=word/_rels/footnotes.xml.rels><?xml version="1.0" encoding="UTF-8"?><Relationships xmlns="http://schemas.openxmlformats.org/package/2006/relationships"><Relationship Type="http://schemas.openxmlformats.org/officeDocument/2006/relationships/hyperlink" Id="rId31" Target="https://mkto.deloitte.com/rs/712-CNF-326/images/DI_Tech-trends-2026.pdf" TargetMode="External" /><Relationship Type="http://schemas.openxmlformats.org/officeDocument/2006/relationships/hyperlink" Id="rId28" Target="https://www.deloitte.com/au/en/services/consulting/research/state-of-ai-in-enterprise-2022.html" TargetMode="External" /><Relationship Type="http://schemas.openxmlformats.org/officeDocument/2006/relationships/hyperlink" Id="rId29" Target="https://www.deloitte.com/content/dam/assets-zone3/us/en/docs/campaigns/2025/us-state-of-gen-ai-2024-q4.pdf" TargetMode="External" /><Relationship Type="http://schemas.openxmlformats.org/officeDocument/2006/relationships/hyperlink" Id="rId24" Target="https://www.deloitte.com/content/dam/assets-zone3/us/en/docs/services/consulting/2026/state-of-ai-2026.pdf" TargetMode="External" /><Relationship Type="http://schemas.openxmlformats.org/officeDocument/2006/relationships/hyperlink" Id="rId22" Target="https://www.deloitte.com/global/en/about/press-room/gen-ai-survey.html" TargetMode="External" /><Relationship Type="http://schemas.openxmlformats.org/officeDocument/2006/relationships/hyperlink" Id="rId42" Target="https://www.deloitte.com/uk/en/Industries/financial-services/research/regulatory-outlook/artificial-intelligence-and-data.html" TargetMode="External" /><Relationship Type="http://schemas.openxmlformats.org/officeDocument/2006/relationships/hyperlink" Id="rId26" Target="https://www.deloitte.com/uk/en/Industries/technology/research/state-of-aiin-the-enterprise-5th-edition.html" TargetMode="External" /><Relationship Type="http://schemas.openxmlformats.org/officeDocument/2006/relationships/hyperlink" Id="rId38" Target="https://www.deloitte.com/uk/en/about/press-room/more-than-four-million-people-in-the-uk-have-used-generative-ai-for-work-deloitte.html" TargetMode="External" /><Relationship Type="http://schemas.openxmlformats.org/officeDocument/2006/relationships/hyperlink" Id="rId33" Target="https://www.deloitte.com/uk/en/issues/generative-ai/impact-of-generative-ai-on-uk-organisations-review.html" TargetMode="External" /><Relationship Type="http://schemas.openxmlformats.org/officeDocument/2006/relationships/hyperlink" Id="rId32" Target="https://www.deloitte.com/us/en/about/press-room/state-of-ai-report-2026.html" TargetMode="External" /><Relationship Type="http://schemas.openxmlformats.org/officeDocument/2006/relationships/hyperlink" Id="rId23" Target="https://www.deloitte.com/us/en/insights/focus/tech-trends/2025/tech-trends-ai-agents-and-autonomous-ai.html" TargetMode="External" /><Relationship Type="http://schemas.openxmlformats.org/officeDocument/2006/relationships/hyperlink" Id="rId27" Target="https://www.deloitte.com/us/en/insights/topics/emerging-technologies/ai-adoption-challenges.html" TargetMode="External" /><Relationship Type="http://schemas.openxmlformats.org/officeDocument/2006/relationships/hyperlink" Id="rId35" Target="https://www.deloitte.com/us/en/insights/topics/technology-management/tech-decisions-eps-growth.html" TargetMode="External" /><Relationship Type="http://schemas.openxmlformats.org/officeDocument/2006/relationships/hyperlink" Id="rId37" Target="https://www.deloitte.com/us/en/insights/topics/technology-management/tech-trends/2023/artificial-intelligence-humans.html" TargetMode="External" /><Relationship Type="http://schemas.openxmlformats.org/officeDocument/2006/relationships/hyperlink" Id="rId21" Target="https://www.deloitte.com/us/en/insights/topics/technology-management/tech-trends/tech-trends-archive.html" TargetMode="External" /><Relationship Type="http://schemas.openxmlformats.org/officeDocument/2006/relationships/hyperlink" Id="rId39" Target="https://www.deloitte.com/us/en/what-we-do/capabilities/applied-artificial-intelligence/articles/agentic-ai-enterprise-2028.html" TargetMode="External" /><Relationship Type="http://schemas.openxmlformats.org/officeDocument/2006/relationships/hyperlink" Id="rId41" Target="https://www.deloitte.com/us/en/what-we-do/capabilities/applied-artificial-intelligence/blogs/pulse-check-series-latest-ai-developments/ai-adoption-challenges-ai-trend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2026-02-07T16:30:28Z</dcterms:created>
  <dcterms:modified xsi:type="dcterms:W3CDTF">2026-02-07T16:30:28Z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