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2fb2f2fe91f5d90021cecd6bbd790f0c938b80e"/>
    <w:p>
      <w:pPr>
        <w:pStyle w:val="Heading1"/>
      </w:pPr>
      <w:r>
        <w:t xml:space="preserve">Independent AI adoption and ROI evidence across AI Index, OECD, Gartner surveys and earnings transcripts</w:t>
      </w:r>
    </w:p>
    <w:bookmarkStart w:id="25" w:name="why-ai-adoption-numbers-disagree-so-much"/>
    <w:p>
      <w:pPr>
        <w:pStyle w:val="Heading2"/>
      </w:pPr>
      <w:r>
        <w:t xml:space="preserve">Why “AI adoption” numbers disagree so much</w:t>
      </w:r>
    </w:p>
    <w:p>
      <w:pPr>
        <w:pStyle w:val="FirstParagraph"/>
      </w:pPr>
      <w:r>
        <w:t xml:space="preserve">“AI adoption” looks deceptively simple, but the measures used across major sources are often answering</w:t>
      </w:r>
      <w:r>
        <w:t xml:space="preserve"> </w:t>
      </w:r>
      <w:r>
        <w:rPr>
          <w:i/>
          <w:iCs/>
        </w:rPr>
        <w:t xml:space="preserve">different</w:t>
      </w:r>
      <w:r>
        <w:t xml:space="preserve"> </w:t>
      </w:r>
      <w:r>
        <w:t xml:space="preserve">questions. Official statistical surveys typically ask whether a firm uses particular AI technologies in a defined reference period (often restricted to enterprises above a minimum size, such as 10+ employees), whereas executive/IT surveys may count any AI use in</w:t>
      </w:r>
      <w:r>
        <w:t xml:space="preserve"> </w:t>
      </w:r>
      <w:r>
        <w:rPr>
          <w:i/>
          <w:iCs/>
        </w:rPr>
        <w:t xml:space="preserve">any</w:t>
      </w:r>
      <w:r>
        <w:t xml:space="preserve"> </w:t>
      </w:r>
      <w:r>
        <w:t xml:space="preserve">business function, including AI that is embedded inside standard software tools.</w:t>
      </w:r>
      <w:r>
        <w:t xml:space="preserve"> </w:t>
      </w:r>
      <w:hyperlink r:id="rId21">
        <w:r>
          <w:rPr>
            <w:rStyle w:val="Hyperlink"/>
          </w:rPr>
          <w:t xml:space="preserve">[1]</w:t>
        </w:r>
      </w:hyperlink>
    </w:p>
    <w:p>
      <w:pPr>
        <w:pStyle w:val="BodyText"/>
      </w:pPr>
      <w:r>
        <w:t xml:space="preserve">Cross-country and time-series comparability is structurally hard because there is no single, universal statistical definition of AI, AI capabilities can be embedded and “invisible” inside larger systems, and survey vehicles differ across countries (ICT usage surveys, innovation surveys, general business surveys).</w:t>
      </w:r>
      <w:r>
        <w:t xml:space="preserve"> </w:t>
      </w:r>
      <w:hyperlink r:id="rId21">
        <w:r>
          <w:rPr>
            <w:rStyle w:val="Hyperlink"/>
          </w:rPr>
          <w:t xml:space="preserve">[2]</w:t>
        </w:r>
      </w:hyperlink>
    </w:p>
    <w:p>
      <w:pPr>
        <w:pStyle w:val="BodyText"/>
      </w:pPr>
      <w:r>
        <w:t xml:space="preserve">Even when a source publishes a global “average”, it may be an</w:t>
      </w:r>
      <w:r>
        <w:t xml:space="preserve"> </w:t>
      </w:r>
      <w:r>
        <w:rPr>
          <w:i/>
          <w:iCs/>
        </w:rPr>
        <w:t xml:space="preserve">unweighted</w:t>
      </w:r>
      <w:r>
        <w:t xml:space="preserve"> </w:t>
      </w:r>
      <w:r>
        <w:t xml:space="preserve">mean across reporting countries and may change year-to-year depending on which jurisdictions have data available; sources explicitly warn that definitions and coverage can vary across countries and time periods, so trend comparisons should be treated cautiously.</w:t>
      </w:r>
      <w:r>
        <w:t xml:space="preserve"> </w:t>
      </w:r>
      <w:hyperlink r:id="rId22">
        <w:r>
          <w:rPr>
            <w:rStyle w:val="Hyperlink"/>
          </w:rPr>
          <w:t xml:space="preserve">[3]</w:t>
        </w:r>
      </w:hyperlink>
    </w:p>
    <w:p>
      <w:pPr>
        <w:pStyle w:val="BodyText"/>
      </w:pPr>
      <w:r>
        <w:t xml:space="preserve">A useful way to read adoption statistics is to separate three layers (which are often conflated):</w:t>
      </w:r>
      <w:r>
        <w:t xml:space="preserve"> </w:t>
      </w:r>
      <w:r>
        <w:t xml:space="preserve">-</w:t>
      </w:r>
      <w:r>
        <w:t xml:space="preserve"> </w:t>
      </w:r>
      <w:r>
        <w:rPr>
          <w:b/>
          <w:bCs/>
        </w:rPr>
        <w:t xml:space="preserve">Breadth</w:t>
      </w:r>
      <w:r>
        <w:t xml:space="preserve">: any AI use anywhere in the organisation (high in executive surveys).</w:t>
      </w:r>
      <w:r>
        <w:t xml:space="preserve"> </w:t>
      </w:r>
      <w:hyperlink r:id="rId23">
        <w:r>
          <w:rPr>
            <w:rStyle w:val="Hyperlink"/>
          </w:rPr>
          <w:t xml:space="preserve">[4]</w:t>
        </w:r>
      </w:hyperlink>
      <w:r>
        <w:br/>
      </w:r>
      <w:r>
        <w:t xml:space="preserve">-</w:t>
      </w:r>
      <w:r>
        <w:t xml:space="preserve"> </w:t>
      </w:r>
      <w:r>
        <w:rPr>
          <w:b/>
          <w:bCs/>
        </w:rPr>
        <w:t xml:space="preserve">Depth</w:t>
      </w:r>
      <w:r>
        <w:t xml:space="preserve">: AI used in</w:t>
      </w:r>
      <w:r>
        <w:t xml:space="preserve"> </w:t>
      </w:r>
      <w:r>
        <w:rPr>
          <w:b/>
          <w:bCs/>
        </w:rPr>
        <w:t xml:space="preserve">core</w:t>
      </w:r>
      <w:r>
        <w:t xml:space="preserve"> </w:t>
      </w:r>
      <w:r>
        <w:t xml:space="preserve">production / service-delivery processes (often much lower, especially for SMEs).</w:t>
      </w:r>
      <w:r>
        <w:t xml:space="preserve"> </w:t>
      </w:r>
      <w:hyperlink r:id="rId22">
        <w:r>
          <w:rPr>
            <w:rStyle w:val="Hyperlink"/>
          </w:rPr>
          <w:t xml:space="preserve">[5]</w:t>
        </w:r>
      </w:hyperlink>
      <w:r>
        <w:br/>
      </w:r>
      <w:r>
        <w:t xml:space="preserve">-</w:t>
      </w:r>
      <w:r>
        <w:t xml:space="preserve"> </w:t>
      </w:r>
      <w:r>
        <w:rPr>
          <w:b/>
          <w:bCs/>
        </w:rPr>
        <w:t xml:space="preserve">Durability</w:t>
      </w:r>
      <w:r>
        <w:t xml:space="preserve">: whether AI initiatives stay in production long enough to compound value (often strongly tied to maturity, governance and measurement).</w:t>
      </w:r>
      <w:r>
        <w:t xml:space="preserve"> </w:t>
      </w:r>
      <w:hyperlink r:id="rId24">
        <w:r>
          <w:rPr>
            <w:rStyle w:val="Hyperlink"/>
          </w:rPr>
          <w:t xml:space="preserve">[6]</w:t>
        </w:r>
      </w:hyperlink>
    </w:p>
    <w:p>
      <w:pPr>
        <w:pStyle w:val="BodyText"/>
      </w:pPr>
      <w:r>
        <w:t xml:space="preserve">image_group{"layout":"carousel","aspect_ratio":"16:9","query":["AI Index Report 2025 Stanford HAI cover","OECD AI adoption by small and medium-sized enterprises report 2025 cover","Gartner generative AI most frequently deployed survey May 2024 figure","AI adoption in enterprises Eurostat AI technologies infographic"],"num_per_query":1}</w:t>
      </w:r>
    </w:p>
    <w:bookmarkEnd w:id="25"/>
    <w:bookmarkStart w:id="26" w:name="X5c9b1f5d9e293d281c6b853fce91f8464a1ed80"/>
    <w:p>
      <w:pPr>
        <w:pStyle w:val="Heading2"/>
      </w:pPr>
      <w:r>
        <w:t xml:space="preserve">What the AI Index says about enterprise adoption and early financial impact</w:t>
      </w:r>
    </w:p>
    <w:p>
      <w:pPr>
        <w:pStyle w:val="FirstParagraph"/>
      </w:pPr>
      <w:r>
        <w:t xml:space="preserve">The enterprise adoption figures most frequently cited from the AI Index are drawn from surveys reported by entity["company","McKinsey &amp; Company","management consulting firm"], and the chapter explicitly describes the 2024 analysis as being based on two surveys covering 2,854 respondents across regions, industries, company sizes, functional areas and tenures.</w:t>
      </w:r>
      <w:r>
        <w:t xml:space="preserve"> </w:t>
      </w:r>
      <w:hyperlink r:id="rId23">
        <w:r>
          <w:rPr>
            <w:rStyle w:val="Hyperlink"/>
          </w:rPr>
          <w:t xml:space="preserve">[4]</w:t>
        </w:r>
      </w:hyperlink>
    </w:p>
    <w:p>
      <w:pPr>
        <w:pStyle w:val="BodyText"/>
      </w:pPr>
      <w:r>
        <w:t xml:space="preserve">In that survey-based framing (which is closer to “executive-reported use in at least one business function” than to “official statistics of AI technology use”), the AI Index reports:</w:t>
      </w:r>
      <w:r>
        <w:t xml:space="preserve"> </w:t>
      </w:r>
      <w:r>
        <w:t xml:space="preserve">-</w:t>
      </w:r>
      <w:r>
        <w:t xml:space="preserve"> </w:t>
      </w:r>
      <w:r>
        <w:rPr>
          <w:b/>
          <w:bCs/>
        </w:rPr>
        <w:t xml:space="preserve">78%</w:t>
      </w:r>
      <w:r>
        <w:t xml:space="preserve"> </w:t>
      </w:r>
      <w:r>
        <w:t xml:space="preserve">of respondents in</w:t>
      </w:r>
      <w:r>
        <w:t xml:space="preserve"> </w:t>
      </w:r>
      <w:r>
        <w:rPr>
          <w:b/>
          <w:bCs/>
        </w:rPr>
        <w:t xml:space="preserve">2024</w:t>
      </w:r>
      <w:r>
        <w:t xml:space="preserve"> </w:t>
      </w:r>
      <w:r>
        <w:t xml:space="preserve">said their organisations used AI in at least one business function (up from</w:t>
      </w:r>
      <w:r>
        <w:t xml:space="preserve"> </w:t>
      </w:r>
      <w:r>
        <w:rPr>
          <w:b/>
          <w:bCs/>
        </w:rPr>
        <w:t xml:space="preserve">55%</w:t>
      </w:r>
      <w:r>
        <w:t xml:space="preserve"> </w:t>
      </w:r>
      <w:r>
        <w:t xml:space="preserve">in 2023).</w:t>
      </w:r>
      <w:r>
        <w:t xml:space="preserve"> </w:t>
      </w:r>
      <w:hyperlink r:id="rId23">
        <w:r>
          <w:rPr>
            <w:rStyle w:val="Hyperlink"/>
          </w:rPr>
          <w:t xml:space="preserve">[7]</w:t>
        </w:r>
      </w:hyperlink>
      <w:r>
        <w:br/>
      </w:r>
      <w:r>
        <w:t xml:space="preserve">-</w:t>
      </w:r>
      <w:r>
        <w:t xml:space="preserve"> </w:t>
      </w:r>
      <w:r>
        <w:rPr>
          <w:b/>
          <w:bCs/>
        </w:rPr>
        <w:t xml:space="preserve">71%</w:t>
      </w:r>
      <w:r>
        <w:t xml:space="preserve"> </w:t>
      </w:r>
      <w:r>
        <w:t xml:space="preserve">said their organisations</w:t>
      </w:r>
      <w:r>
        <w:t xml:space="preserve"> </w:t>
      </w:r>
      <w:r>
        <w:rPr>
          <w:i/>
          <w:iCs/>
        </w:rPr>
        <w:t xml:space="preserve">regularly</w:t>
      </w:r>
      <w:r>
        <w:t xml:space="preserve"> </w:t>
      </w:r>
      <w:r>
        <w:t xml:space="preserve">used generative AI in at least one business function in 2024 (up from</w:t>
      </w:r>
      <w:r>
        <w:t xml:space="preserve"> </w:t>
      </w:r>
      <w:r>
        <w:rPr>
          <w:b/>
          <w:bCs/>
        </w:rPr>
        <w:t xml:space="preserve">33%</w:t>
      </w:r>
      <w:r>
        <w:t xml:space="preserve"> </w:t>
      </w:r>
      <w:r>
        <w:t xml:space="preserve">in 2023).</w:t>
      </w:r>
      <w:r>
        <w:t xml:space="preserve"> </w:t>
      </w:r>
      <w:hyperlink r:id="rId23">
        <w:r>
          <w:rPr>
            <w:rStyle w:val="Hyperlink"/>
          </w:rPr>
          <w:t xml:space="preserve">[7]</w:t>
        </w:r>
      </w:hyperlink>
    </w:p>
    <w:p>
      <w:pPr>
        <w:pStyle w:val="BodyText"/>
      </w:pPr>
      <w:r>
        <w:t xml:space="preserve">The AI Index also provides a rare “bridge” between adoption and value signals by reporting</w:t>
      </w:r>
      <w:r>
        <w:t xml:space="preserve"> </w:t>
      </w:r>
      <w:r>
        <w:rPr>
          <w:i/>
          <w:iCs/>
        </w:rPr>
        <w:t xml:space="preserve">self-estimated</w:t>
      </w:r>
      <w:r>
        <w:t xml:space="preserve"> </w:t>
      </w:r>
      <w:r>
        <w:t xml:space="preserve">financial impacts by function. It states that firms report both cost reductions and revenue increases, but “most commonly at low levels.”</w:t>
      </w:r>
      <w:r>
        <w:t xml:space="preserve"> </w:t>
      </w:r>
      <w:hyperlink r:id="rId23">
        <w:r>
          <w:rPr>
            <w:rStyle w:val="Hyperlink"/>
          </w:rPr>
          <w:t xml:space="preserve">[8]</w:t>
        </w:r>
      </w:hyperlink>
      <w:r>
        <w:t xml:space="preserve"> </w:t>
      </w:r>
      <w:r>
        <w:t xml:space="preserve">Specifically:</w:t>
      </w:r>
      <w:r>
        <w:t xml:space="preserve"> </w:t>
      </w:r>
      <w:r>
        <w:t xml:space="preserve">- Among respondents whose organisations use AI in service operations,</w:t>
      </w:r>
      <w:r>
        <w:t xml:space="preserve"> </w:t>
      </w:r>
      <w:r>
        <w:rPr>
          <w:b/>
          <w:bCs/>
        </w:rPr>
        <w:t xml:space="preserve">49%</w:t>
      </w:r>
      <w:r>
        <w:t xml:space="preserve"> </w:t>
      </w:r>
      <w:r>
        <w:t xml:space="preserve">reported cost savings (followed by</w:t>
      </w:r>
      <w:r>
        <w:t xml:space="preserve"> </w:t>
      </w:r>
      <w:r>
        <w:rPr>
          <w:b/>
          <w:bCs/>
        </w:rPr>
        <w:t xml:space="preserve">43%</w:t>
      </w:r>
      <w:r>
        <w:t xml:space="preserve"> </w:t>
      </w:r>
      <w:r>
        <w:t xml:space="preserve">in supply chain and</w:t>
      </w:r>
      <w:r>
        <w:t xml:space="preserve"> </w:t>
      </w:r>
      <w:r>
        <w:rPr>
          <w:b/>
          <w:bCs/>
        </w:rPr>
        <w:t xml:space="preserve">41%</w:t>
      </w:r>
      <w:r>
        <w:t xml:space="preserve"> </w:t>
      </w:r>
      <w:r>
        <w:t xml:space="preserve">in software engineering), but most reported cost savings of</w:t>
      </w:r>
      <w:r>
        <w:t xml:space="preserve"> </w:t>
      </w:r>
      <w:r>
        <w:rPr>
          <w:b/>
          <w:bCs/>
        </w:rPr>
        <w:t xml:space="preserve">&lt;10%</w:t>
      </w:r>
      <w:r>
        <w:t xml:space="preserve">.</w:t>
      </w:r>
      <w:r>
        <w:t xml:space="preserve"> </w:t>
      </w:r>
      <w:hyperlink r:id="rId23">
        <w:r>
          <w:rPr>
            <w:rStyle w:val="Hyperlink"/>
          </w:rPr>
          <w:t xml:space="preserve">[9]</w:t>
        </w:r>
      </w:hyperlink>
      <w:r>
        <w:br/>
      </w:r>
      <w:r>
        <w:t xml:space="preserve">- For revenue gains,</w:t>
      </w:r>
      <w:r>
        <w:t xml:space="preserve"> </w:t>
      </w:r>
      <w:r>
        <w:rPr>
          <w:b/>
          <w:bCs/>
        </w:rPr>
        <w:t xml:space="preserve">71%</w:t>
      </w:r>
      <w:r>
        <w:t xml:space="preserve"> </w:t>
      </w:r>
      <w:r>
        <w:t xml:space="preserve">of respondents using AI in marketing and sales reported revenue gains (63% in supply chain; 57% in service operations), but the most common level of revenue increase was</w:t>
      </w:r>
      <w:r>
        <w:t xml:space="preserve"> </w:t>
      </w:r>
      <w:r>
        <w:rPr>
          <w:b/>
          <w:bCs/>
        </w:rPr>
        <w:t xml:space="preserve">&lt;5%</w:t>
      </w:r>
      <w:r>
        <w:t xml:space="preserve">.</w:t>
      </w:r>
      <w:r>
        <w:t xml:space="preserve"> </w:t>
      </w:r>
      <w:hyperlink r:id="rId23">
        <w:r>
          <w:rPr>
            <w:rStyle w:val="Hyperlink"/>
          </w:rPr>
          <w:t xml:space="preserve">[9]</w:t>
        </w:r>
      </w:hyperlink>
    </w:p>
    <w:p>
      <w:pPr>
        <w:pStyle w:val="BodyText"/>
      </w:pPr>
      <w:r>
        <w:t xml:space="preserve">Interpretation: the AI Index numbers are best read as “broad enterprise experimentation and functional use” rather than “economy-wide penetration”. They also suggest that, even where value is being claimed, reported gains cluster at modest levels—consistent with early-stage diffusion where many deployments are incremental or still being operationalised.</w:t>
      </w:r>
      <w:r>
        <w:t xml:space="preserve"> </w:t>
      </w:r>
      <w:hyperlink r:id="rId23">
        <w:r>
          <w:rPr>
            <w:rStyle w:val="Hyperlink"/>
          </w:rPr>
          <w:t xml:space="preserve">[9]</w:t>
        </w:r>
      </w:hyperlink>
    </w:p>
    <w:bookmarkEnd w:id="26"/>
    <w:bookmarkStart w:id="29" w:name="X5cb2163fc1db298faae7e3547846bea06c72af8"/>
    <w:p>
      <w:pPr>
        <w:pStyle w:val="Heading2"/>
      </w:pPr>
      <w:r>
        <w:t xml:space="preserve">What the OECD evidence says about firm-level adoption, SMEs, and “core” use</w:t>
      </w:r>
    </w:p>
    <w:p>
      <w:pPr>
        <w:pStyle w:val="FirstParagraph"/>
      </w:pPr>
      <w:r>
        <w:t xml:space="preserve">OECD outputs in this area are valuable primarily because they lean on official business statistics (via the OECD ICT Access and Usage Database) and are explicit about size and sector gradients.</w:t>
      </w:r>
    </w:p>
    <w:p>
      <w:pPr>
        <w:pStyle w:val="BodyText"/>
      </w:pPr>
      <w:r>
        <w:t xml:space="preserve">A January 28, 2026 OECD announcement (drawing on OECD ICT usage statistics) reports that</w:t>
      </w:r>
      <w:r>
        <w:t xml:space="preserve"> </w:t>
      </w:r>
      <w:r>
        <w:rPr>
          <w:b/>
          <w:bCs/>
        </w:rPr>
        <w:t xml:space="preserve">20.2% of firms</w:t>
      </w:r>
      <w:r>
        <w:t xml:space="preserve"> </w:t>
      </w:r>
      <w:r>
        <w:t xml:space="preserve">used AI in</w:t>
      </w:r>
      <w:r>
        <w:t xml:space="preserve"> </w:t>
      </w:r>
      <w:r>
        <w:rPr>
          <w:b/>
          <w:bCs/>
        </w:rPr>
        <w:t xml:space="preserve">2025</w:t>
      </w:r>
      <w:r>
        <w:t xml:space="preserve">, up from</w:t>
      </w:r>
      <w:r>
        <w:t xml:space="preserve"> </w:t>
      </w:r>
      <w:r>
        <w:rPr>
          <w:b/>
          <w:bCs/>
        </w:rPr>
        <w:t xml:space="preserve">14.2%</w:t>
      </w:r>
      <w:r>
        <w:t xml:space="preserve"> </w:t>
      </w:r>
      <w:r>
        <w:t xml:space="preserve">in 2024 and</w:t>
      </w:r>
      <w:r>
        <w:t xml:space="preserve"> </w:t>
      </w:r>
      <w:r>
        <w:rPr>
          <w:b/>
          <w:bCs/>
        </w:rPr>
        <w:t xml:space="preserve">8.7%</w:t>
      </w:r>
      <w:r>
        <w:t xml:space="preserve"> </w:t>
      </w:r>
      <w:r>
        <w:t xml:space="preserve">in 2023 (i.e., more than doubling over two years).</w:t>
      </w:r>
      <w:r>
        <w:t xml:space="preserve"> </w:t>
      </w:r>
      <w:hyperlink r:id="rId27">
        <w:r>
          <w:rPr>
            <w:rStyle w:val="Hyperlink"/>
          </w:rPr>
          <w:t xml:space="preserve">[10]</w:t>
        </w:r>
      </w:hyperlink>
      <w:r>
        <w:t xml:space="preserve"> </w:t>
      </w:r>
      <w:r>
        <w:t xml:space="preserve">It also reports a strong firm-size gradient:</w:t>
      </w:r>
      <w:r>
        <w:t xml:space="preserve"> </w:t>
      </w:r>
      <w:r>
        <w:rPr>
          <w:b/>
          <w:bCs/>
        </w:rPr>
        <w:t xml:space="preserve">52.0%</w:t>
      </w:r>
      <w:r>
        <w:t xml:space="preserve"> </w:t>
      </w:r>
      <w:r>
        <w:t xml:space="preserve">of large firms use AI versus</w:t>
      </w:r>
      <w:r>
        <w:t xml:space="preserve"> </w:t>
      </w:r>
      <w:r>
        <w:rPr>
          <w:b/>
          <w:bCs/>
        </w:rPr>
        <w:t xml:space="preserve">17.4%</w:t>
      </w:r>
      <w:r>
        <w:t xml:space="preserve"> </w:t>
      </w:r>
      <w:r>
        <w:t xml:space="preserve">of small firms, and large cross-industry variation (e.g., ICT firms at</w:t>
      </w:r>
      <w:r>
        <w:t xml:space="preserve"> </w:t>
      </w:r>
      <w:r>
        <w:rPr>
          <w:b/>
          <w:bCs/>
        </w:rPr>
        <w:t xml:space="preserve">57.3%</w:t>
      </w:r>
      <w:r>
        <w:t xml:space="preserve">).</w:t>
      </w:r>
      <w:r>
        <w:t xml:space="preserve"> </w:t>
      </w:r>
      <w:hyperlink r:id="rId27">
        <w:r>
          <w:rPr>
            <w:rStyle w:val="Hyperlink"/>
          </w:rPr>
          <w:t xml:space="preserve">[10]</w:t>
        </w:r>
      </w:hyperlink>
    </w:p>
    <w:p>
      <w:pPr>
        <w:pStyle w:val="BodyText"/>
      </w:pPr>
      <w:r>
        <w:t xml:space="preserve">A complementary OECD report on SMEs—entity["book","AI adoption by small and medium-sized enterprises","oecd policy report 2025"] (published 2025, using OECD ICT usage data accessed July 2025)—summarises the preceding wave (2020–2024) and underscores both low absolute levels and rapid growth:</w:t>
      </w:r>
      <w:r>
        <w:t xml:space="preserve"> </w:t>
      </w:r>
      <w:r>
        <w:t xml:space="preserve">- Across OECD member countries (unweighted average), the share of businesses with</w:t>
      </w:r>
      <w:r>
        <w:t xml:space="preserve"> </w:t>
      </w:r>
      <w:r>
        <w:rPr>
          <w:b/>
          <w:bCs/>
        </w:rPr>
        <w:t xml:space="preserve">10+ employees</w:t>
      </w:r>
      <w:r>
        <w:t xml:space="preserve"> </w:t>
      </w:r>
      <w:r>
        <w:t xml:space="preserve">using AI rose from</w:t>
      </w:r>
      <w:r>
        <w:t xml:space="preserve"> </w:t>
      </w:r>
      <w:r>
        <w:rPr>
          <w:b/>
          <w:bCs/>
        </w:rPr>
        <w:t xml:space="preserve">5.6% (2020)</w:t>
      </w:r>
      <w:r>
        <w:t xml:space="preserve"> </w:t>
      </w:r>
      <w:r>
        <w:t xml:space="preserve">to</w:t>
      </w:r>
      <w:r>
        <w:t xml:space="preserve"> </w:t>
      </w:r>
      <w:r>
        <w:rPr>
          <w:b/>
          <w:bCs/>
        </w:rPr>
        <w:t xml:space="preserve">14% (2024)</w:t>
      </w:r>
      <w:r>
        <w:t xml:space="preserve">.</w:t>
      </w:r>
      <w:r>
        <w:t xml:space="preserve"> </w:t>
      </w:r>
      <w:hyperlink r:id="rId22">
        <w:r>
          <w:rPr>
            <w:rStyle w:val="Hyperlink"/>
          </w:rPr>
          <w:t xml:space="preserve">[11]</w:t>
        </w:r>
      </w:hyperlink>
      <w:r>
        <w:br/>
      </w:r>
      <w:r>
        <w:t xml:space="preserve">- It reiterates explicit cautions that comparisons over time and across countries should be made carefully because reporting countries and definitions vary.</w:t>
      </w:r>
      <w:r>
        <w:t xml:space="preserve"> </w:t>
      </w:r>
      <w:hyperlink r:id="rId22">
        <w:r>
          <w:rPr>
            <w:rStyle w:val="Hyperlink"/>
          </w:rPr>
          <w:t xml:space="preserve">[3]</w:t>
        </w:r>
      </w:hyperlink>
      <w:r>
        <w:br/>
      </w:r>
      <w:r>
        <w:t xml:space="preserve">- It quantifies the size gap: ~</w:t>
      </w:r>
      <w:r>
        <w:rPr>
          <w:b/>
          <w:bCs/>
        </w:rPr>
        <w:t xml:space="preserve">40%</w:t>
      </w:r>
      <w:r>
        <w:t xml:space="preserve"> </w:t>
      </w:r>
      <w:r>
        <w:t xml:space="preserve">adoption for firms with</w:t>
      </w:r>
      <w:r>
        <w:t xml:space="preserve"> </w:t>
      </w:r>
      <w:r>
        <w:rPr>
          <w:b/>
          <w:bCs/>
        </w:rPr>
        <w:t xml:space="preserve">250+ employees</w:t>
      </w:r>
      <w:r>
        <w:t xml:space="preserve"> </w:t>
      </w:r>
      <w:r>
        <w:t xml:space="preserve">(2024 or latest available), versus</w:t>
      </w:r>
      <w:r>
        <w:t xml:space="preserve"> </w:t>
      </w:r>
      <w:r>
        <w:rPr>
          <w:b/>
          <w:bCs/>
        </w:rPr>
        <w:t xml:space="preserve">20.4%</w:t>
      </w:r>
      <w:r>
        <w:t xml:space="preserve"> </w:t>
      </w:r>
      <w:r>
        <w:t xml:space="preserve">for 50–249 employees and</w:t>
      </w:r>
      <w:r>
        <w:t xml:space="preserve"> </w:t>
      </w:r>
      <w:r>
        <w:rPr>
          <w:b/>
          <w:bCs/>
        </w:rPr>
        <w:t xml:space="preserve">11.9%</w:t>
      </w:r>
      <w:r>
        <w:t xml:space="preserve"> </w:t>
      </w:r>
      <w:r>
        <w:t xml:space="preserve">for 10–49 employees.</w:t>
      </w:r>
      <w:r>
        <w:t xml:space="preserve"> </w:t>
      </w:r>
      <w:hyperlink r:id="rId22">
        <w:r>
          <w:rPr>
            <w:rStyle w:val="Hyperlink"/>
          </w:rPr>
          <w:t xml:space="preserve">[12]</w:t>
        </w:r>
      </w:hyperlink>
    </w:p>
    <w:p>
      <w:pPr>
        <w:pStyle w:val="BodyText"/>
      </w:pPr>
      <w:r>
        <w:t xml:space="preserve">Critically, the OECD SME report separates “AI use anywhere” from “AI in core business functions”. It states that in G7 countries in 2024, AI adoption in core business functions related to producing goods and services was</w:t>
      </w:r>
      <w:r>
        <w:t xml:space="preserve"> </w:t>
      </w:r>
      <w:r>
        <w:rPr>
          <w:b/>
          <w:bCs/>
        </w:rPr>
        <w:t xml:space="preserve">below 10%</w:t>
      </w:r>
      <w:r>
        <w:t xml:space="preserve">, and (after addressing comparability challenges) ranged from</w:t>
      </w:r>
      <w:r>
        <w:t xml:space="preserve"> </w:t>
      </w:r>
      <w:r>
        <w:rPr>
          <w:b/>
          <w:bCs/>
        </w:rPr>
        <w:t xml:space="preserve">1.9%</w:t>
      </w:r>
      <w:r>
        <w:t xml:space="preserve"> </w:t>
      </w:r>
      <w:r>
        <w:t xml:space="preserve">in Japan to</w:t>
      </w:r>
      <w:r>
        <w:t xml:space="preserve"> </w:t>
      </w:r>
      <w:r>
        <w:rPr>
          <w:b/>
          <w:bCs/>
        </w:rPr>
        <w:t xml:space="preserve">6.1%</w:t>
      </w:r>
      <w:r>
        <w:t xml:space="preserve"> </w:t>
      </w:r>
      <w:r>
        <w:t xml:space="preserve">in the United States.</w:t>
      </w:r>
      <w:r>
        <w:t xml:space="preserve"> </w:t>
      </w:r>
      <w:hyperlink r:id="rId22">
        <w:r>
          <w:rPr>
            <w:rStyle w:val="Hyperlink"/>
          </w:rPr>
          <w:t xml:space="preserve">[13]</w:t>
        </w:r>
      </w:hyperlink>
      <w:r>
        <w:t xml:space="preserve"> </w:t>
      </w:r>
      <w:r>
        <w:t xml:space="preserve">This distinction is one of the most important reconciliations between low official adoption rates and high executive survey rates.</w:t>
      </w:r>
    </w:p>
    <w:p>
      <w:pPr>
        <w:pStyle w:val="BodyText"/>
      </w:pPr>
      <w:r>
        <w:t xml:space="preserve">On generative AI specifically, the same OECD SME report notes that while a sizeable share of micro and small/medium enterprises use generative AI, it is “mostly used for peripheral rather than core tasks”; among SMEs using generative AI, only</w:t>
      </w:r>
      <w:r>
        <w:t xml:space="preserve"> </w:t>
      </w:r>
      <w:r>
        <w:rPr>
          <w:b/>
          <w:bCs/>
        </w:rPr>
        <w:t xml:space="preserve">29%</w:t>
      </w:r>
      <w:r>
        <w:t xml:space="preserve"> </w:t>
      </w:r>
      <w:r>
        <w:t xml:space="preserve">report using it in their core activities.</w:t>
      </w:r>
      <w:r>
        <w:t xml:space="preserve"> </w:t>
      </w:r>
      <w:hyperlink r:id="rId22">
        <w:r>
          <w:rPr>
            <w:rStyle w:val="Hyperlink"/>
          </w:rPr>
          <w:t xml:space="preserve">[14]</w:t>
        </w:r>
      </w:hyperlink>
    </w:p>
    <w:p>
      <w:pPr>
        <w:pStyle w:val="BodyText"/>
      </w:pPr>
      <w:r>
        <w:t xml:space="preserve">A separate OECD publication—entity["book","The Adoption of Artificial Intelligence in Firms","oecd report 2025"] (dated May 2, 2025)—adds policy-oriented survey evidence from a different angle: it is explicitly built on a survey of</w:t>
      </w:r>
      <w:r>
        <w:t xml:space="preserve"> </w:t>
      </w:r>
      <w:r>
        <w:rPr>
          <w:b/>
          <w:bCs/>
        </w:rPr>
        <w:t xml:space="preserve">AI-adopting</w:t>
      </w:r>
      <w:r>
        <w:t xml:space="preserve"> </w:t>
      </w:r>
      <w:r>
        <w:t xml:space="preserve">enterprises (840 across the G7 in 2022–23, plus 167 in Brazil), complemented by interviews and diffusion-institution studies.</w:t>
      </w:r>
      <w:r>
        <w:t xml:space="preserve"> </w:t>
      </w:r>
      <w:hyperlink r:id="rId28">
        <w:r>
          <w:rPr>
            <w:rStyle w:val="Hyperlink"/>
          </w:rPr>
          <w:t xml:space="preserve">[15]</w:t>
        </w:r>
      </w:hyperlink>
      <w:r>
        <w:t xml:space="preserve"> </w:t>
      </w:r>
      <w:r>
        <w:t xml:space="preserve">It reports that diffusion institutions frequently identify</w:t>
      </w:r>
      <w:r>
        <w:t xml:space="preserve"> </w:t>
      </w:r>
      <w:r>
        <w:rPr>
          <w:b/>
          <w:bCs/>
        </w:rPr>
        <w:t xml:space="preserve">uncertainty over return on investment</w:t>
      </w:r>
      <w:r>
        <w:t xml:space="preserve"> </w:t>
      </w:r>
      <w:r>
        <w:t xml:space="preserve">and</w:t>
      </w:r>
      <w:r>
        <w:t xml:space="preserve"> </w:t>
      </w:r>
      <w:r>
        <w:rPr>
          <w:b/>
          <w:bCs/>
        </w:rPr>
        <w:t xml:space="preserve">data maturity</w:t>
      </w:r>
      <w:r>
        <w:t xml:space="preserve"> </w:t>
      </w:r>
      <w:r>
        <w:t xml:space="preserve">as core obstacles for firms considering AI.</w:t>
      </w:r>
      <w:r>
        <w:t xml:space="preserve"> </w:t>
      </w:r>
      <w:hyperlink r:id="rId28">
        <w:r>
          <w:rPr>
            <w:rStyle w:val="Hyperlink"/>
          </w:rPr>
          <w:t xml:space="preserve">[15]</w:t>
        </w:r>
      </w:hyperlink>
    </w:p>
    <w:bookmarkEnd w:id="29"/>
    <w:bookmarkStart w:id="33" w:name="X11a4f483d307ceb58f854cc6ddb4958d3093c74"/>
    <w:p>
      <w:pPr>
        <w:pStyle w:val="Heading2"/>
      </w:pPr>
      <w:r>
        <w:t xml:space="preserve">What Gartner’s survey results imply about deployment, maturity and scaling bottlenecks</w:t>
      </w:r>
    </w:p>
    <w:p>
      <w:pPr>
        <w:pStyle w:val="FirstParagraph"/>
      </w:pPr>
      <w:r>
        <w:t xml:space="preserve">entity["company","Gartner","research advisory firm"] publishes a sequence of surveys and estimates that are widely quoted in industry decision-making; unlike official statistics, these results are typically interpreted as “enterprise programme reality” rather than “economy-wide diffusion”.</w:t>
      </w:r>
    </w:p>
    <w:p>
      <w:pPr>
        <w:pStyle w:val="BodyText"/>
      </w:pPr>
      <w:r>
        <w:t xml:space="preserve">A May 7, 2024 press release (survey conducted in Q4 2023; 644 respondents from organisations in the US, Germany and the UK) reports:</w:t>
      </w:r>
      <w:r>
        <w:t xml:space="preserve"> </w:t>
      </w:r>
      <w:r>
        <w:t xml:space="preserve">-</w:t>
      </w:r>
      <w:r>
        <w:t xml:space="preserve"> </w:t>
      </w:r>
      <w:r>
        <w:rPr>
          <w:b/>
          <w:bCs/>
        </w:rPr>
        <w:t xml:space="preserve">29%</w:t>
      </w:r>
      <w:r>
        <w:t xml:space="preserve"> </w:t>
      </w:r>
      <w:r>
        <w:t xml:space="preserve">said they had deployed and were using generative AI, described as the most frequently deployed AI solution category in that survey.</w:t>
      </w:r>
      <w:r>
        <w:t xml:space="preserve"> </w:t>
      </w:r>
      <w:hyperlink r:id="rId30">
        <w:r>
          <w:rPr>
            <w:rStyle w:val="Hyperlink"/>
          </w:rPr>
          <w:t xml:space="preserve">[16]</w:t>
        </w:r>
      </w:hyperlink>
      <w:r>
        <w:br/>
      </w:r>
      <w:r>
        <w:t xml:space="preserve">- The most common primary method of using generative AI was via GenAI embedded in existing applications (</w:t>
      </w:r>
      <w:r>
        <w:rPr>
          <w:b/>
          <w:bCs/>
        </w:rPr>
        <w:t xml:space="preserve">34%</w:t>
      </w:r>
      <w:r>
        <w:t xml:space="preserve">), ahead of prompt-engineering customisation, fine-tuning bespoke models, or standalone tools.</w:t>
      </w:r>
      <w:r>
        <w:t xml:space="preserve"> </w:t>
      </w:r>
      <w:hyperlink r:id="rId30">
        <w:r>
          <w:rPr>
            <w:rStyle w:val="Hyperlink"/>
          </w:rPr>
          <w:t xml:space="preserve">[16]</w:t>
        </w:r>
      </w:hyperlink>
      <w:r>
        <w:br/>
      </w:r>
      <w:r>
        <w:t xml:space="preserve">- The top barrier to AI adoption was difficulty estimating and demonstrating business value (</w:t>
      </w:r>
      <w:r>
        <w:rPr>
          <w:b/>
          <w:bCs/>
        </w:rPr>
        <w:t xml:space="preserve">49%</w:t>
      </w:r>
      <w:r>
        <w:t xml:space="preserve">).</w:t>
      </w:r>
      <w:r>
        <w:t xml:space="preserve"> </w:t>
      </w:r>
      <w:hyperlink r:id="rId30">
        <w:r>
          <w:rPr>
            <w:rStyle w:val="Hyperlink"/>
          </w:rPr>
          <w:t xml:space="preserve">[16]</w:t>
        </w:r>
      </w:hyperlink>
      <w:r>
        <w:br/>
      </w:r>
      <w:r>
        <w:t xml:space="preserve">- Only</w:t>
      </w:r>
      <w:r>
        <w:t xml:space="preserve"> </w:t>
      </w:r>
      <w:r>
        <w:rPr>
          <w:b/>
          <w:bCs/>
        </w:rPr>
        <w:t xml:space="preserve">9%</w:t>
      </w:r>
      <w:r>
        <w:t xml:space="preserve"> </w:t>
      </w:r>
      <w:r>
        <w:t xml:space="preserve">of organisations were classified as “AI-mature”; across organisations, only</w:t>
      </w:r>
      <w:r>
        <w:t xml:space="preserve"> </w:t>
      </w:r>
      <w:r>
        <w:rPr>
          <w:b/>
          <w:bCs/>
        </w:rPr>
        <w:t xml:space="preserve">48%</w:t>
      </w:r>
      <w:r>
        <w:t xml:space="preserve"> </w:t>
      </w:r>
      <w:r>
        <w:t xml:space="preserve">of AI projects made it into production and it took</w:t>
      </w:r>
      <w:r>
        <w:t xml:space="preserve"> </w:t>
      </w:r>
      <w:r>
        <w:rPr>
          <w:b/>
          <w:bCs/>
        </w:rPr>
        <w:t xml:space="preserve">8 months</w:t>
      </w:r>
      <w:r>
        <w:t xml:space="preserve"> </w:t>
      </w:r>
      <w:r>
        <w:t xml:space="preserve">on average from prototype to production.</w:t>
      </w:r>
      <w:r>
        <w:t xml:space="preserve"> </w:t>
      </w:r>
      <w:hyperlink r:id="rId30">
        <w:r>
          <w:rPr>
            <w:rStyle w:val="Hyperlink"/>
          </w:rPr>
          <w:t xml:space="preserve">[17]</w:t>
        </w:r>
      </w:hyperlink>
    </w:p>
    <w:p>
      <w:pPr>
        <w:pStyle w:val="BodyText"/>
      </w:pPr>
      <w:r>
        <w:t xml:space="preserve">A later press release dated June 30, 2025 (survey conducted in Q4 2024; 432 respondents across the US, UK, France, Germany, India and Japan) frames adoption and value as functions of maturity:</w:t>
      </w:r>
      <w:r>
        <w:t xml:space="preserve"> </w:t>
      </w:r>
      <w:r>
        <w:t xml:space="preserve">-</w:t>
      </w:r>
      <w:r>
        <w:t xml:space="preserve"> </w:t>
      </w:r>
      <w:r>
        <w:rPr>
          <w:b/>
          <w:bCs/>
        </w:rPr>
        <w:t xml:space="preserve">45%</w:t>
      </w:r>
      <w:r>
        <w:t xml:space="preserve"> </w:t>
      </w:r>
      <w:r>
        <w:t xml:space="preserve">of leaders in high-maturity organisations said their AI initiatives stayed in production for three years or more (versus</w:t>
      </w:r>
      <w:r>
        <w:t xml:space="preserve"> </w:t>
      </w:r>
      <w:r>
        <w:rPr>
          <w:b/>
          <w:bCs/>
        </w:rPr>
        <w:t xml:space="preserve">20%</w:t>
      </w:r>
      <w:r>
        <w:t xml:space="preserve"> </w:t>
      </w:r>
      <w:r>
        <w:t xml:space="preserve">in low-maturity organisations).</w:t>
      </w:r>
      <w:r>
        <w:t xml:space="preserve"> </w:t>
      </w:r>
      <w:hyperlink r:id="rId24">
        <w:r>
          <w:rPr>
            <w:rStyle w:val="Hyperlink"/>
          </w:rPr>
          <w:t xml:space="preserve">[18]</w:t>
        </w:r>
      </w:hyperlink>
      <w:r>
        <w:br/>
      </w:r>
      <w:r>
        <w:t xml:space="preserve">- Trust/readiness gaps are large: 57% of business units in high-maturity organisations were reported as trusting and ready to use new AI solutions versus 14% in low-maturity organisations.</w:t>
      </w:r>
      <w:r>
        <w:t xml:space="preserve"> </w:t>
      </w:r>
      <w:hyperlink r:id="rId24">
        <w:r>
          <w:rPr>
            <w:rStyle w:val="Hyperlink"/>
          </w:rPr>
          <w:t xml:space="preserve">[18]</w:t>
        </w:r>
      </w:hyperlink>
      <w:r>
        <w:br/>
      </w:r>
      <w:r>
        <w:t xml:space="preserve">- Measurement practices differ: 63% of leaders in high-maturity organisations were reported as running financial analysis on risk factors, conducting ROI analysis and measuring customer impact.</w:t>
      </w:r>
      <w:r>
        <w:t xml:space="preserve"> </w:t>
      </w:r>
      <w:hyperlink r:id="rId24">
        <w:r>
          <w:rPr>
            <w:rStyle w:val="Hyperlink"/>
          </w:rPr>
          <w:t xml:space="preserve">[18]</w:t>
        </w:r>
      </w:hyperlink>
    </w:p>
    <w:p>
      <w:pPr>
        <w:pStyle w:val="BodyText"/>
      </w:pPr>
      <w:r>
        <w:t xml:space="preserve">Gartner also publishes “failure-mode” estimates that help interpret high experimentation rates. A July 29, 2024 press release predicts that at least</w:t>
      </w:r>
      <w:r>
        <w:t xml:space="preserve"> </w:t>
      </w:r>
      <w:r>
        <w:rPr>
          <w:b/>
          <w:bCs/>
        </w:rPr>
        <w:t xml:space="preserve">30%</w:t>
      </w:r>
      <w:r>
        <w:t xml:space="preserve"> </w:t>
      </w:r>
      <w:r>
        <w:t xml:space="preserve">of generative AI projects will be abandoned after proof-of-concept by end of 2025, citing drivers such as poor data quality, inadequate risk controls, escalating costs or unclear business value.</w:t>
      </w:r>
      <w:r>
        <w:t xml:space="preserve"> </w:t>
      </w:r>
      <w:hyperlink r:id="rId31">
        <w:r>
          <w:rPr>
            <w:rStyle w:val="Hyperlink"/>
          </w:rPr>
          <w:t xml:space="preserve">[19]</w:t>
        </w:r>
      </w:hyperlink>
      <w:r>
        <w:t xml:space="preserve"> </w:t>
      </w:r>
      <w:r>
        <w:t xml:space="preserve">The same release highlights difficulty translating productivity improvements into financial benefit and cites deployment approaches with costs in the</w:t>
      </w:r>
      <w:r>
        <w:t xml:space="preserve"> </w:t>
      </w:r>
      <w:r>
        <w:rPr>
          <w:b/>
          <w:bCs/>
        </w:rPr>
        <w:t xml:space="preserve">$5m–$20m</w:t>
      </w:r>
      <w:r>
        <w:t xml:space="preserve"> </w:t>
      </w:r>
      <w:r>
        <w:t xml:space="preserve">range.</w:t>
      </w:r>
      <w:r>
        <w:t xml:space="preserve"> </w:t>
      </w:r>
      <w:hyperlink r:id="rId31">
        <w:r>
          <w:rPr>
            <w:rStyle w:val="Hyperlink"/>
          </w:rPr>
          <w:t xml:space="preserve">[19]</w:t>
        </w:r>
      </w:hyperlink>
    </w:p>
    <w:p>
      <w:pPr>
        <w:pStyle w:val="BodyText"/>
      </w:pPr>
      <w:r>
        <w:t xml:space="preserve">Finally, function-specific surveys show that “explore/pilot” can substantially exceed “deployed”. For example, a December 9, 2024 press release reports that</w:t>
      </w:r>
      <w:r>
        <w:t xml:space="preserve"> </w:t>
      </w:r>
      <w:r>
        <w:rPr>
          <w:b/>
          <w:bCs/>
        </w:rPr>
        <w:t xml:space="preserve">85%</w:t>
      </w:r>
      <w:r>
        <w:t xml:space="preserve"> </w:t>
      </w:r>
      <w:r>
        <w:t xml:space="preserve">of customer service leaders expect to explore or pilot customer-facing conversational GenAI in 2025, while only</w:t>
      </w:r>
      <w:r>
        <w:t xml:space="preserve"> </w:t>
      </w:r>
      <w:r>
        <w:rPr>
          <w:b/>
          <w:bCs/>
        </w:rPr>
        <w:t xml:space="preserve">5%</w:t>
      </w:r>
      <w:r>
        <w:t xml:space="preserve"> </w:t>
      </w:r>
      <w:r>
        <w:t xml:space="preserve">reported having such a solution deployed at the time of the survey.</w:t>
      </w:r>
      <w:r>
        <w:t xml:space="preserve"> </w:t>
      </w:r>
      <w:hyperlink r:id="rId32">
        <w:r>
          <w:rPr>
            <w:rStyle w:val="Hyperlink"/>
          </w:rPr>
          <w:t xml:space="preserve">[20]</w:t>
        </w:r>
      </w:hyperlink>
    </w:p>
    <w:bookmarkEnd w:id="33"/>
    <w:bookmarkStart w:id="41" w:name="X600f975fc63c143f4fd15154cb57baaa7f59e58"/>
    <w:p>
      <w:pPr>
        <w:pStyle w:val="Heading2"/>
      </w:pPr>
      <w:r>
        <w:t xml:space="preserve">What earnings transcripts reveal about AI ROI narratives and measurement in practice</w:t>
      </w:r>
    </w:p>
    <w:p>
      <w:pPr>
        <w:pStyle w:val="FirstParagraph"/>
      </w:pPr>
      <w:r>
        <w:t xml:space="preserve">Earnings call transcripts are not “adoption surveys”, but they are valuable as a behavioural signal: public-company executives tend to use “ROI” language when they believe (a) investors demand a value story for AI spend, or (b) the company can credibly point to measurable outcomes. The evidence below illustrates that ROI references often cluster into three patterns:</w:t>
      </w:r>
      <w:r>
        <w:t xml:space="preserve"> </w:t>
      </w:r>
      <w:r>
        <w:rPr>
          <w:b/>
          <w:bCs/>
        </w:rPr>
        <w:t xml:space="preserve">(i)</w:t>
      </w:r>
      <w:r>
        <w:t xml:space="preserve"> </w:t>
      </w:r>
      <w:r>
        <w:t xml:space="preserve">moving from pilots to scaled deployments,</w:t>
      </w:r>
      <w:r>
        <w:t xml:space="preserve"> </w:t>
      </w:r>
      <w:r>
        <w:rPr>
          <w:b/>
          <w:bCs/>
        </w:rPr>
        <w:t xml:space="preserve">(ii)</w:t>
      </w:r>
      <w:r>
        <w:t xml:space="preserve"> </w:t>
      </w:r>
      <w:r>
        <w:t xml:space="preserve">justifying infrastructure/capex spend, and</w:t>
      </w:r>
      <w:r>
        <w:t xml:space="preserve"> </w:t>
      </w:r>
      <w:r>
        <w:rPr>
          <w:b/>
          <w:bCs/>
        </w:rPr>
        <w:t xml:space="preserve">(iii)</w:t>
      </w:r>
      <w:r>
        <w:t xml:space="preserve"> </w:t>
      </w:r>
      <w:r>
        <w:t xml:space="preserve">claiming customer or internal operational returns.</w:t>
      </w:r>
    </w:p>
    <w:p>
      <w:pPr>
        <w:pStyle w:val="BodyText"/>
      </w:pPr>
      <w:r>
        <w:t xml:space="preserve">In a January 29, 2025 earnings call, entity["company","Microsoft","technology company"] explicitly frames a transition from proof-of-concepts to enterprise-wide deployments as the pathway to “unlock the full ROI of AI”, while also citing an “AI business” annual revenue run-rate figure (both positioned as evidence of monetisation and scale).</w:t>
      </w:r>
      <w:r>
        <w:t xml:space="preserve"> </w:t>
      </w:r>
      <w:hyperlink r:id="rId34">
        <w:r>
          <w:rPr>
            <w:rStyle w:val="Hyperlink"/>
          </w:rPr>
          <w:t xml:space="preserve">[21]</w:t>
        </w:r>
      </w:hyperlink>
    </w:p>
    <w:p>
      <w:pPr>
        <w:pStyle w:val="BodyText"/>
      </w:pPr>
      <w:r>
        <w:t xml:space="preserve">In a July 30, 2025 earnings call, entity["company","Meta Platforms","social media company"] distinguishes between mature AI returns in its core business (where leadership claims “strong ROI” and rigorous measurement) and earlier-stage generative AI efforts (not expected to be a meaningful revenue driver in the near term).</w:t>
      </w:r>
      <w:r>
        <w:t xml:space="preserve"> </w:t>
      </w:r>
      <w:hyperlink r:id="rId35">
        <w:r>
          <w:rPr>
            <w:rStyle w:val="Hyperlink"/>
          </w:rPr>
          <w:t xml:space="preserve">[22]</w:t>
        </w:r>
      </w:hyperlink>
      <w:r>
        <w:t xml:space="preserve"> </w:t>
      </w:r>
      <w:r>
        <w:t xml:space="preserve">This split closely mirrors the “breadth vs depth” framing found in official statistics: mature, measurable returns tend to appear first in established optimisation loops (ads ranking, recommendations), with newer generative use cases positioned as longer-horizon bets.</w:t>
      </w:r>
      <w:r>
        <w:t xml:space="preserve"> </w:t>
      </w:r>
      <w:hyperlink r:id="rId35">
        <w:r>
          <w:rPr>
            <w:rStyle w:val="Hyperlink"/>
          </w:rPr>
          <w:t xml:space="preserve">[23]</w:t>
        </w:r>
      </w:hyperlink>
    </w:p>
    <w:p>
      <w:pPr>
        <w:pStyle w:val="BodyText"/>
      </w:pPr>
      <w:r>
        <w:t xml:space="preserve">In February 25, 2025 prepared remarks, entity["company","Workday","enterprise software company"] states that customers are seeking ROI beyond incremental productivity gains, contends that its AI is delivering “tangible ROI” that creates monetisation opportunities, and repeatedly uses ROI willingness-to-pay language to justify product packaging and “agent” strategy.</w:t>
      </w:r>
      <w:r>
        <w:t xml:space="preserve"> </w:t>
      </w:r>
      <w:hyperlink r:id="rId36">
        <w:r>
          <w:rPr>
            <w:rStyle w:val="Hyperlink"/>
          </w:rPr>
          <w:t xml:space="preserve">[24]</w:t>
        </w:r>
      </w:hyperlink>
    </w:p>
    <w:p>
      <w:pPr>
        <w:pStyle w:val="BodyText"/>
      </w:pPr>
      <w:r>
        <w:t xml:space="preserve">Some transcripts include unusually concrete ROI numerics. For example, in Q3 2025 prepared remarks, entity["company","Toast","restaurant software company"] describes an AI assistant flagging a promotion costing up to $700/day and provides a customer estimate of $400,000 in attributed sales and over 20x return on ad spend from an AI-enabled advertising product (alongside “clear ROI reporting”).</w:t>
      </w:r>
      <w:r>
        <w:t xml:space="preserve"> </w:t>
      </w:r>
      <w:hyperlink r:id="rId37">
        <w:r>
          <w:rPr>
            <w:rStyle w:val="Hyperlink"/>
          </w:rPr>
          <w:t xml:space="preserve">[25]</w:t>
        </w:r>
      </w:hyperlink>
    </w:p>
    <w:p>
      <w:pPr>
        <w:pStyle w:val="BodyText"/>
      </w:pPr>
      <w:r>
        <w:t xml:space="preserve">In a February 3, 2026 earnings call, entity["company","Pfizer","pharmaceutical company"] provides a different ROI pattern: leadership ties AI to marketing ROI (including explicit mention of marketing ROI measurement), manufacturing savings from a named AI use case, and broader claims of productivity-driven cost reduction.</w:t>
      </w:r>
      <w:r>
        <w:t xml:space="preserve"> </w:t>
      </w:r>
      <w:hyperlink r:id="rId38">
        <w:r>
          <w:rPr>
            <w:rStyle w:val="Hyperlink"/>
          </w:rPr>
          <w:t xml:space="preserve">[26]</w:t>
        </w:r>
      </w:hyperlink>
      <w:r>
        <w:t xml:space="preserve"> </w:t>
      </w:r>
      <w:r>
        <w:t xml:space="preserve">This is a notable example of non-tech ROI framing shifting from aspiration to operational levers (field force productivity, targeting efficiency, process automation, manufacturing yield/quality).</w:t>
      </w:r>
      <w:r>
        <w:t xml:space="preserve"> </w:t>
      </w:r>
      <w:hyperlink r:id="rId38">
        <w:r>
          <w:rPr>
            <w:rStyle w:val="Hyperlink"/>
          </w:rPr>
          <w:t xml:space="preserve">[26]</w:t>
        </w:r>
      </w:hyperlink>
    </w:p>
    <w:p>
      <w:pPr>
        <w:pStyle w:val="BodyText"/>
      </w:pPr>
      <w:r>
        <w:t xml:space="preserve">In Q1 2024 prepared remarks, entity["company","DoubleVerify","ad verification company"] claims that a specific AI product delivers an average ROI of $4 for every $1 invested and an average media cost saving of nearly 40%—a style of ROI disclosure more typical in adtech performance tooling than in general enterprise AI programmes.</w:t>
      </w:r>
      <w:r>
        <w:t xml:space="preserve"> </w:t>
      </w:r>
      <w:hyperlink r:id="rId39">
        <w:r>
          <w:rPr>
            <w:rStyle w:val="Hyperlink"/>
          </w:rPr>
          <w:t xml:space="preserve">[27]</w:t>
        </w:r>
      </w:hyperlink>
    </w:p>
    <w:p>
      <w:pPr>
        <w:pStyle w:val="BodyText"/>
      </w:pPr>
      <w:r>
        <w:t xml:space="preserve">Finally, infrastructure ROI scrutiny appears directly in analyst questioning. In the July 23, 2025 entity["company","Alphabet","google parent company"] earnings call, an analyst explicitly asks what gives management confidence in the ROI of increased capex tied to cloud demand; leadership responds by pointing to low churn, margin trajectory and the value delivered to customers, explicitly linking confidence in ROI to “this AI moment.”</w:t>
      </w:r>
      <w:r>
        <w:t xml:space="preserve"> </w:t>
      </w:r>
      <w:hyperlink r:id="rId40">
        <w:r>
          <w:rPr>
            <w:rStyle w:val="Hyperlink"/>
          </w:rPr>
          <w:t xml:space="preserve">[28]</w:t>
        </w:r>
      </w:hyperlink>
    </w:p>
    <w:bookmarkEnd w:id="41"/>
    <w:bookmarkStart w:id="42" w:name="Xafc8f236875c4e27bc6f38f7a37c490a9a9678a"/>
    <w:p>
      <w:pPr>
        <w:pStyle w:val="Heading2"/>
      </w:pPr>
      <w:r>
        <w:t xml:space="preserve">Synthesis: a reconciled view of AI adoption and ROI, with practical confidence bands</w:t>
      </w:r>
    </w:p>
    <w:p>
      <w:pPr>
        <w:pStyle w:val="FirstParagraph"/>
      </w:pPr>
      <w:r>
        <w:t xml:space="preserve">Taken together, these sources strongly support a “two-speed” interpretation of AI diffusion:</w:t>
      </w:r>
    </w:p>
    <w:p>
      <w:pPr>
        <w:pStyle w:val="BodyText"/>
      </w:pPr>
      <w:r>
        <w:rPr>
          <w:b/>
          <w:bCs/>
        </w:rPr>
        <w:t xml:space="preserve">Survey-based enterprise “any use” is now very high</w:t>
      </w:r>
      <w:r>
        <w:t xml:space="preserve">, at least among the kinds of organisations represented in global executive/IT surveys. The AI Index’s use-in-any-function statistic (78% in 2024) and its generative AI regular-use figure (71% in 2024) sit at this layer.</w:t>
      </w:r>
      <w:r>
        <w:t xml:space="preserve"> </w:t>
      </w:r>
      <w:hyperlink r:id="rId23">
        <w:r>
          <w:rPr>
            <w:rStyle w:val="Hyperlink"/>
          </w:rPr>
          <w:t xml:space="preserve">[7]</w:t>
        </w:r>
      </w:hyperlink>
      <w:r>
        <w:t xml:space="preserve"> </w:t>
      </w:r>
      <w:r>
        <w:t xml:space="preserve">At the same time, Gartner’s survey results show that even within enterprise cohorts, “deployed and using GenAI” can be materially lower (29% in its Q4 2023 survey), suggesting that definitions, sampling and the boundary between “use” and “deployment” are doing a lot of work.</w:t>
      </w:r>
      <w:r>
        <w:t xml:space="preserve"> </w:t>
      </w:r>
      <w:hyperlink r:id="rId30">
        <w:r>
          <w:rPr>
            <w:rStyle w:val="Hyperlink"/>
          </w:rPr>
          <w:t xml:space="preserve">[29]</w:t>
        </w:r>
      </w:hyperlink>
    </w:p>
    <w:p>
      <w:pPr>
        <w:pStyle w:val="BodyText"/>
      </w:pPr>
      <w:r>
        <w:rPr>
          <w:b/>
          <w:bCs/>
        </w:rPr>
        <w:t xml:space="preserve">Economy-wide firm adoption remains much lower, but is accelerating quickly</w:t>
      </w:r>
      <w:r>
        <w:t xml:space="preserve">, especially once SMEs are included. Official-statistics-based reporting shows ~14% of enterprises with 10+ employees using AI across OECD members by 2024 (unweighted average), and 20.2% of firms using AI in 2025 where data are available.</w:t>
      </w:r>
      <w:r>
        <w:t xml:space="preserve"> </w:t>
      </w:r>
      <w:hyperlink r:id="rId22">
        <w:r>
          <w:rPr>
            <w:rStyle w:val="Hyperlink"/>
          </w:rPr>
          <w:t xml:space="preserve">[30]</w:t>
        </w:r>
      </w:hyperlink>
      <w:r>
        <w:t xml:space="preserve"> </w:t>
      </w:r>
      <w:r>
        <w:t xml:space="preserve">These figures are not “in conflict” with the AI Index—rather, they are closer to “formal AI technology use” across a broad firm population, where small firms dominate counts and face skills, data and investment constraints.</w:t>
      </w:r>
      <w:r>
        <w:t xml:space="preserve"> </w:t>
      </w:r>
      <w:hyperlink r:id="rId22">
        <w:r>
          <w:rPr>
            <w:rStyle w:val="Hyperlink"/>
          </w:rPr>
          <w:t xml:space="preserve">[31]</w:t>
        </w:r>
      </w:hyperlink>
    </w:p>
    <w:p>
      <w:pPr>
        <w:pStyle w:val="BodyText"/>
      </w:pPr>
      <w:r>
        <w:rPr>
          <w:b/>
          <w:bCs/>
        </w:rPr>
        <w:t xml:space="preserve">Depth of integration is the tightest bottleneck</w:t>
      </w:r>
      <w:r>
        <w:t xml:space="preserve">. The OECD SME report’s “core business functions” metric in the G7 (below 10% in 2024, with a 1.9%–6.1% range in its harmonised analysis) implies that transformation of production/service delivery is still at an early stage, even if peripheral AI use is expanding.</w:t>
      </w:r>
      <w:r>
        <w:t xml:space="preserve"> </w:t>
      </w:r>
      <w:hyperlink r:id="rId22">
        <w:r>
          <w:rPr>
            <w:rStyle w:val="Hyperlink"/>
          </w:rPr>
          <w:t xml:space="preserve">[13]</w:t>
        </w:r>
      </w:hyperlink>
      <w:r>
        <w:t xml:space="preserve"> </w:t>
      </w:r>
      <w:r>
        <w:t xml:space="preserve">Gartner’s production funnel metrics align with this: only 48% of AI projects making it into production and an average 8-month prototype-to-production path are consistent with many organisations being stuck between experimentation and durable operational integration.</w:t>
      </w:r>
      <w:r>
        <w:t xml:space="preserve"> </w:t>
      </w:r>
      <w:hyperlink r:id="rId30">
        <w:r>
          <w:rPr>
            <w:rStyle w:val="Hyperlink"/>
          </w:rPr>
          <w:t xml:space="preserve">[17]</w:t>
        </w:r>
      </w:hyperlink>
    </w:p>
    <w:p>
      <w:pPr>
        <w:pStyle w:val="BodyText"/>
      </w:pPr>
      <w:r>
        <w:rPr>
          <w:b/>
          <w:bCs/>
        </w:rPr>
        <w:t xml:space="preserve">ROI evidence exists, but is uneven and often modest or narrowly scoped.</w:t>
      </w:r>
      <w:r>
        <w:t xml:space="preserve"> </w:t>
      </w:r>
      <w:r>
        <w:t xml:space="preserve">The AI Index reports financial impact signals across functions, but emphasises that reported gains are typically small (e.g., cost savings most commonly &lt;10%; revenue increases most commonly &lt;5%).</w:t>
      </w:r>
      <w:r>
        <w:t xml:space="preserve"> </w:t>
      </w:r>
      <w:hyperlink r:id="rId23">
        <w:r>
          <w:rPr>
            <w:rStyle w:val="Hyperlink"/>
          </w:rPr>
          <w:t xml:space="preserve">[9]</w:t>
        </w:r>
      </w:hyperlink>
      <w:r>
        <w:t xml:space="preserve"> </w:t>
      </w:r>
      <w:r>
        <w:t xml:space="preserve">In parallel, Gartner’s surveys flag value demonstration as the top barrier and predict substantial GenAI project attrition post-PoC—both consistent with a world where many initiatives fail to convert productivity into auditable financial performance.</w:t>
      </w:r>
      <w:r>
        <w:t xml:space="preserve"> </w:t>
      </w:r>
      <w:hyperlink r:id="rId30">
        <w:r>
          <w:rPr>
            <w:rStyle w:val="Hyperlink"/>
          </w:rPr>
          <w:t xml:space="preserve">[32]</w:t>
        </w:r>
      </w:hyperlink>
    </w:p>
    <w:p>
      <w:pPr>
        <w:pStyle w:val="BodyText"/>
      </w:pPr>
      <w:r>
        <w:rPr>
          <w:b/>
          <w:bCs/>
        </w:rPr>
        <w:t xml:space="preserve">Public-company disclosure patterns suggest where ROI is most measurable today</w:t>
      </w:r>
      <w:r>
        <w:t xml:space="preserve">: advertising optimisation loops, performance marketing tooling, and operational productivity initiatives with clear metrics (marketing ROI, time-to-resolution, yield/quality, attribution/ROAS). Concrete numeric ROI claims appear most in adtech and vertical SaaS contexts (e.g., the ad ROI numbers cited by DoubleVerify and Toast), while hyperscalers and large platforms more often justify ROI via aggregate demand, revenue run-rates, and capex narratives rather than unit-economics disclosures.</w:t>
      </w:r>
      <w:r>
        <w:t xml:space="preserve"> </w:t>
      </w:r>
      <w:hyperlink r:id="rId39">
        <w:r>
          <w:rPr>
            <w:rStyle w:val="Hyperlink"/>
          </w:rPr>
          <w:t xml:space="preserve">[33]</w:t>
        </w:r>
      </w:hyperlink>
    </w:p>
    <w:p>
      <w:pPr>
        <w:pStyle w:val="BodyText"/>
      </w:pPr>
      <w:r>
        <w:t xml:space="preserve">A defensible confidence stance for “independent AI adoption” is therefore:</w:t>
      </w:r>
      <w:r>
        <w:t xml:space="preserve"> </w:t>
      </w:r>
      <w:r>
        <w:t xml:space="preserve">-</w:t>
      </w:r>
      <w:r>
        <w:t xml:space="preserve"> </w:t>
      </w:r>
      <w:r>
        <w:rPr>
          <w:b/>
          <w:bCs/>
        </w:rPr>
        <w:t xml:space="preserve">Higher confidence</w:t>
      </w:r>
      <w:r>
        <w:t xml:space="preserve"> </w:t>
      </w:r>
      <w:r>
        <w:t xml:space="preserve">for official-statistics-derived firm adoption rates and size/sector splits (with explicit cross-country definitional caveats).</w:t>
      </w:r>
      <w:r>
        <w:t xml:space="preserve"> </w:t>
      </w:r>
      <w:hyperlink r:id="rId22">
        <w:r>
          <w:rPr>
            <w:rStyle w:val="Hyperlink"/>
          </w:rPr>
          <w:t xml:space="preserve">[34]</w:t>
        </w:r>
      </w:hyperlink>
      <w:r>
        <w:br/>
      </w:r>
      <w:r>
        <w:t xml:space="preserve">-</w:t>
      </w:r>
      <w:r>
        <w:t xml:space="preserve"> </w:t>
      </w:r>
      <w:r>
        <w:rPr>
          <w:b/>
          <w:bCs/>
        </w:rPr>
        <w:t xml:space="preserve">Medium confidence</w:t>
      </w:r>
      <w:r>
        <w:t xml:space="preserve"> </w:t>
      </w:r>
      <w:r>
        <w:t xml:space="preserve">for executive/IT surveys as indicators of enterprise intent and breadth, but less reliable for economy-wide penetration due to sampling and definitional variability.</w:t>
      </w:r>
      <w:r>
        <w:t xml:space="preserve"> </w:t>
      </w:r>
      <w:hyperlink r:id="rId23">
        <w:r>
          <w:rPr>
            <w:rStyle w:val="Hyperlink"/>
          </w:rPr>
          <w:t xml:space="preserve">[35]</w:t>
        </w:r>
      </w:hyperlink>
      <w:r>
        <w:br/>
      </w:r>
      <w:r>
        <w:t xml:space="preserve">-</w:t>
      </w:r>
      <w:r>
        <w:t xml:space="preserve"> </w:t>
      </w:r>
      <w:r>
        <w:rPr>
          <w:b/>
          <w:bCs/>
        </w:rPr>
        <w:t xml:space="preserve">High interpretive value but low “measurement purity”</w:t>
      </w:r>
      <w:r>
        <w:t xml:space="preserve"> </w:t>
      </w:r>
      <w:r>
        <w:t xml:space="preserve">for earnings transcripts: they are best treated as qualitative/strategic ROI signals and occasionally as case-level quantitative evidence, not as prevalence estimates.</w:t>
      </w:r>
      <w:r>
        <w:t xml:space="preserve"> </w:t>
      </w:r>
      <w:hyperlink r:id="rId38">
        <w:r>
          <w:rPr>
            <w:rStyle w:val="Hyperlink"/>
          </w:rPr>
          <w:t xml:space="preserve">[36]</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r>
        <w:t xml:space="preserve">AI measurement in ICT usage surveys: a review</w:t>
      </w:r>
    </w:p>
    <w:p>
      <w:pPr>
        <w:pStyle w:val="BodyText"/>
      </w:pPr>
      <w:hyperlink r:id="rId21">
        <w:r>
          <w:rPr>
            <w:rStyle w:val="Hyperlink"/>
          </w:rPr>
          <w:t xml:space="preserve">https://wp.oecd.ai/app/uploads/2021/03/AI-measurement-in-ICT-usage-surveys.pdf</w:t>
        </w:r>
      </w:hyperlink>
    </w:p>
    <w:p>
      <w:pPr>
        <w:pStyle w:val="BodyText"/>
      </w:pP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[30]</w:t>
        </w:r>
      </w:hyperlink>
      <w:r>
        <w:t xml:space="preserve"> </w:t>
      </w:r>
      <w:hyperlink r:id="rId22">
        <w:r>
          <w:rPr>
            <w:rStyle w:val="Hyperlink"/>
          </w:rPr>
          <w:t xml:space="preserve">[31]</w:t>
        </w:r>
      </w:hyperlink>
      <w:r>
        <w:t xml:space="preserve"> </w:t>
      </w:r>
      <w:hyperlink r:id="rId22">
        <w:r>
          <w:rPr>
            <w:rStyle w:val="Hyperlink"/>
          </w:rPr>
          <w:t xml:space="preserve">[34]</w:t>
        </w:r>
      </w:hyperlink>
      <w:r>
        <w:t xml:space="preserve"> </w:t>
      </w:r>
      <w:r>
        <w:t xml:space="preserve">AI adoption by small and medium-sized enterprises (EN)</w:t>
      </w:r>
    </w:p>
    <w:p>
      <w:pPr>
        <w:pStyle w:val="BodyText"/>
      </w:pPr>
      <w:hyperlink r:id="rId22">
        <w:r>
          <w:rPr>
            <w:rStyle w:val="Hyperlink"/>
          </w:rPr>
          <w:t xml:space="preserve">https://www.oecd.org/content/dam/oecd/en/publications/reports/2025/12/ai-adoption-by-small-and-medium-sized-enterprises_9c48eae6/426399c1-en.pdf</w:t>
        </w:r>
      </w:hyperlink>
    </w:p>
    <w:p>
      <w:pPr>
        <w:pStyle w:val="BodyText"/>
      </w:pPr>
      <w:hyperlink r:id="rId23">
        <w:r>
          <w:rPr>
            <w:rStyle w:val="Hyperlink"/>
          </w:rPr>
          <w:t xml:space="preserve">[4]</w:t>
        </w:r>
      </w:hyperlink>
      <w:r>
        <w:t xml:space="preserve"> </w:t>
      </w:r>
      <w:hyperlink r:id="rId23">
        <w:r>
          <w:rPr>
            <w:rStyle w:val="Hyperlink"/>
          </w:rPr>
          <w:t xml:space="preserve">[7]</w:t>
        </w:r>
      </w:hyperlink>
      <w:r>
        <w:t xml:space="preserve"> </w:t>
      </w:r>
      <w:hyperlink r:id="rId23">
        <w:r>
          <w:rPr>
            <w:rStyle w:val="Hyperlink"/>
          </w:rPr>
          <w:t xml:space="preserve">[8]</w:t>
        </w:r>
      </w:hyperlink>
      <w:r>
        <w:t xml:space="preserve"> </w:t>
      </w:r>
      <w:hyperlink r:id="rId23">
        <w:r>
          <w:rPr>
            <w:rStyle w:val="Hyperlink"/>
          </w:rPr>
          <w:t xml:space="preserve">[9]</w:t>
        </w:r>
      </w:hyperlink>
      <w:r>
        <w:t xml:space="preserve"> </w:t>
      </w:r>
      <w:hyperlink r:id="rId23">
        <w:r>
          <w:rPr>
            <w:rStyle w:val="Hyperlink"/>
          </w:rPr>
          <w:t xml:space="preserve">[35]</w:t>
        </w:r>
      </w:hyperlink>
      <w:r>
        <w:t xml:space="preserve"> </w:t>
      </w:r>
      <w:r>
        <w:t xml:space="preserve">hai.stanford.edu</w:t>
      </w:r>
    </w:p>
    <w:p>
      <w:pPr>
        <w:pStyle w:val="BodyText"/>
      </w:pPr>
      <w:hyperlink r:id="rId23">
        <w:r>
          <w:rPr>
            <w:rStyle w:val="Hyperlink"/>
          </w:rPr>
          <w:t xml:space="preserve">https://hai.stanford.edu/assets/files/hai_ai-index-report-2025_chapter4_final.pdf</w:t>
        </w:r>
      </w:hyperlink>
    </w:p>
    <w:p>
      <w:pPr>
        <w:pStyle w:val="BodyText"/>
      </w:pPr>
      <w:hyperlink r:id="rId24">
        <w:r>
          <w:rPr>
            <w:rStyle w:val="Hyperlink"/>
          </w:rPr>
          <w:t xml:space="preserve">[6]</w:t>
        </w:r>
      </w:hyperlink>
      <w:r>
        <w:t xml:space="preserve"> </w:t>
      </w:r>
      <w:hyperlink r:id="rId24">
        <w:r>
          <w:rPr>
            <w:rStyle w:val="Hyperlink"/>
          </w:rPr>
          <w:t xml:space="preserve">[18]</w:t>
        </w:r>
      </w:hyperlink>
      <w:r>
        <w:t xml:space="preserve"> </w:t>
      </w:r>
      <w:r>
        <w:t xml:space="preserve">Gartner Survey Finds 45% of Organizations With High AI Maturity Keep AI Projects Operational for at Least Three Years</w:t>
      </w:r>
      <w:r>
        <w:t xml:space="preserve"> </w:t>
      </w:r>
    </w:p>
    <w:p>
      <w:pPr>
        <w:pStyle w:val="BodyText"/>
      </w:pPr>
      <w:hyperlink r:id="rId24">
        <w:r>
          <w:rPr>
            <w:rStyle w:val="Hyperlink"/>
          </w:rPr>
          <w:t xml:space="preserve">https://www.gartner.com/en/newsroom/press-releases/2025-06-30-gartner-survey-finds-forty-five-percent-of-organizations-with-high-artificial-intelligence-maturity-keep-artificial-intelligence-projects-operational-for-at-least-three-years</w:t>
        </w:r>
      </w:hyperlink>
    </w:p>
    <w:p>
      <w:pPr>
        <w:pStyle w:val="BodyText"/>
      </w:pPr>
      <w:hyperlink r:id="rId27">
        <w:r>
          <w:rPr>
            <w:rStyle w:val="Hyperlink"/>
          </w:rPr>
          <w:t xml:space="preserve">[10]</w:t>
        </w:r>
      </w:hyperlink>
      <w:r>
        <w:t xml:space="preserve"> </w:t>
      </w:r>
      <w:r>
        <w:t xml:space="preserve">AI use by individuals surges across the OECD as adoption by firms continues to expand</w:t>
      </w:r>
    </w:p>
    <w:p>
      <w:pPr>
        <w:pStyle w:val="BodyText"/>
      </w:pPr>
      <w:hyperlink r:id="rId27">
        <w:r>
          <w:rPr>
            <w:rStyle w:val="Hyperlink"/>
          </w:rPr>
          <w:t xml:space="preserve">https://www.oecd.org/en/about/news/announcements/2026/01/ai-use-by-individuals-surges-across-the-oecd-as-adoption-by-firms-continues-to-expand.html</w:t>
        </w:r>
      </w:hyperlink>
    </w:p>
    <w:p>
      <w:pPr>
        <w:pStyle w:val="BodyText"/>
      </w:pPr>
      <w:hyperlink r:id="rId28">
        <w:r>
          <w:rPr>
            <w:rStyle w:val="Hyperlink"/>
          </w:rPr>
          <w:t xml:space="preserve">[15]</w:t>
        </w:r>
      </w:hyperlink>
      <w:r>
        <w:t xml:space="preserve"> </w:t>
      </w:r>
      <w:r>
        <w:t xml:space="preserve">The Adoption of Artificial Intelligence in Firms | OECD</w:t>
      </w:r>
    </w:p>
    <w:p>
      <w:pPr>
        <w:pStyle w:val="BodyText"/>
      </w:pPr>
      <w:hyperlink r:id="rId28">
        <w:r>
          <w:rPr>
            <w:rStyle w:val="Hyperlink"/>
          </w:rPr>
          <w:t xml:space="preserve">https://www.oecd.org/en/publications/the-adoption-of-artificial-intelligence-in-firms_f9ef33c3-en.html</w:t>
        </w:r>
      </w:hyperlink>
    </w:p>
    <w:p>
      <w:pPr>
        <w:pStyle w:val="BodyText"/>
      </w:pPr>
      <w:hyperlink r:id="rId30">
        <w:r>
          <w:rPr>
            <w:rStyle w:val="Hyperlink"/>
          </w:rPr>
          <w:t xml:space="preserve">[16]</w:t>
        </w:r>
      </w:hyperlink>
      <w:r>
        <w:t xml:space="preserve"> </w:t>
      </w:r>
      <w:hyperlink r:id="rId30">
        <w:r>
          <w:rPr>
            <w:rStyle w:val="Hyperlink"/>
          </w:rPr>
          <w:t xml:space="preserve">[17]</w:t>
        </w:r>
      </w:hyperlink>
      <w:r>
        <w:t xml:space="preserve"> </w:t>
      </w:r>
      <w:hyperlink r:id="rId30">
        <w:r>
          <w:rPr>
            <w:rStyle w:val="Hyperlink"/>
          </w:rPr>
          <w:t xml:space="preserve">[29]</w:t>
        </w:r>
      </w:hyperlink>
      <w:r>
        <w:t xml:space="preserve"> </w:t>
      </w:r>
      <w:hyperlink r:id="rId30">
        <w:r>
          <w:rPr>
            <w:rStyle w:val="Hyperlink"/>
          </w:rPr>
          <w:t xml:space="preserve">[32]</w:t>
        </w:r>
      </w:hyperlink>
      <w:r>
        <w:t xml:space="preserve"> </w:t>
      </w:r>
      <w:r>
        <w:t xml:space="preserve">Gartner Survey Finds Generative AI is Now the Most Frequently Deployed AI Solution in Organizations</w:t>
      </w:r>
      <w:r>
        <w:t xml:space="preserve"> </w:t>
      </w:r>
    </w:p>
    <w:p>
      <w:pPr>
        <w:pStyle w:val="BodyText"/>
      </w:pPr>
      <w:hyperlink r:id="rId30">
        <w:r>
          <w:rPr>
            <w:rStyle w:val="Hyperlink"/>
          </w:rPr>
          <w:t xml:space="preserve">https://www.gartner.com/en/newsroom/press-releases/2024-05-07-gartner-survey-finds-generative-ai-is-now-the-most-frequently-deployed-ai-solution-in-organizations</w:t>
        </w:r>
      </w:hyperlink>
    </w:p>
    <w:p>
      <w:pPr>
        <w:pStyle w:val="BodyText"/>
      </w:pPr>
      <w:hyperlink r:id="rId31">
        <w:r>
          <w:rPr>
            <w:rStyle w:val="Hyperlink"/>
          </w:rPr>
          <w:t xml:space="preserve">[19]</w:t>
        </w:r>
      </w:hyperlink>
      <w:r>
        <w:t xml:space="preserve"> </w:t>
      </w:r>
      <w:r>
        <w:t xml:space="preserve">Gartner Predicts 30% of Generative AI Projects Will Be Abandoned After Proof of Concept By End of 2025</w:t>
      </w:r>
    </w:p>
    <w:p>
      <w:pPr>
        <w:pStyle w:val="BodyText"/>
      </w:pPr>
      <w:hyperlink r:id="rId31">
        <w:r>
          <w:rPr>
            <w:rStyle w:val="Hyperlink"/>
          </w:rPr>
          <w:t xml:space="preserve">https://www.gartner.com/en/newsroom/press-releases/2024-07-29-gartner-predicts-30-percent-of-generative-ai-projects-will-be-abandoned-after-proof-of-concept-by-end-of-2025</w:t>
        </w:r>
      </w:hyperlink>
    </w:p>
    <w:p>
      <w:pPr>
        <w:pStyle w:val="BodyText"/>
      </w:pPr>
      <w:hyperlink r:id="rId32">
        <w:r>
          <w:rPr>
            <w:rStyle w:val="Hyperlink"/>
          </w:rPr>
          <w:t xml:space="preserve">[20]</w:t>
        </w:r>
      </w:hyperlink>
      <w:r>
        <w:t xml:space="preserve"> </w:t>
      </w:r>
      <w:r>
        <w:t xml:space="preserve">Gartner Survey Reveals 85% of Customer Service Leaders Will Explore or Pilot Customer-Facing Conversational GenAI in 2025</w:t>
      </w:r>
    </w:p>
    <w:p>
      <w:pPr>
        <w:pStyle w:val="BodyText"/>
      </w:pPr>
      <w:hyperlink r:id="rId32">
        <w:r>
          <w:rPr>
            <w:rStyle w:val="Hyperlink"/>
          </w:rPr>
          <w:t xml:space="preserve">https://www.gartner.com/en/newsroom/press-releases/2024-12-09-gartner-survey-reveals-85-percent-of-customer-service-leaders-will-explore-or-pilot-customer-facing-conversational-genai-in-2025</w:t>
        </w:r>
      </w:hyperlink>
    </w:p>
    <w:p>
      <w:pPr>
        <w:pStyle w:val="BodyText"/>
      </w:pPr>
      <w:hyperlink r:id="rId34">
        <w:r>
          <w:rPr>
            <w:rStyle w:val="Hyperlink"/>
          </w:rPr>
          <w:t xml:space="preserve">[21]</w:t>
        </w:r>
      </w:hyperlink>
      <w:r>
        <w:t xml:space="preserve"> </w:t>
      </w:r>
      <w:r>
        <w:t xml:space="preserve">Microsoft Fiscal Year 2025 Second Quarter Earnings Conference Call</w:t>
      </w:r>
    </w:p>
    <w:p>
      <w:pPr>
        <w:pStyle w:val="BodyText"/>
      </w:pPr>
      <w:hyperlink r:id="rId34">
        <w:r>
          <w:rPr>
            <w:rStyle w:val="Hyperlink"/>
          </w:rPr>
          <w:t xml:space="preserve">https://www.microsoft.com/en-us/investor/events/fy-2025/earnings-fy-2025-q2</w:t>
        </w:r>
      </w:hyperlink>
    </w:p>
    <w:p>
      <w:pPr>
        <w:pStyle w:val="BodyText"/>
      </w:pPr>
      <w:hyperlink r:id="rId35">
        <w:r>
          <w:rPr>
            <w:rStyle w:val="Hyperlink"/>
          </w:rPr>
          <w:t xml:space="preserve">[22]</w:t>
        </w:r>
      </w:hyperlink>
      <w:r>
        <w:t xml:space="preserve"> </w:t>
      </w:r>
      <w:hyperlink r:id="rId35">
        <w:r>
          <w:rPr>
            <w:rStyle w:val="Hyperlink"/>
          </w:rPr>
          <w:t xml:space="preserve">[23]</w:t>
        </w:r>
      </w:hyperlink>
      <w:r>
        <w:t xml:space="preserve"> </w:t>
      </w:r>
      <w:r>
        <w:t xml:space="preserve">META Q2 2025 Earnings Call Transcript</w:t>
      </w:r>
    </w:p>
    <w:p>
      <w:pPr>
        <w:pStyle w:val="BodyText"/>
      </w:pPr>
      <w:hyperlink r:id="rId35">
        <w:r>
          <w:rPr>
            <w:rStyle w:val="Hyperlink"/>
          </w:rPr>
          <w:t xml:space="preserve">https://s21.q4cdn.com/399680738/files/doc_financials/2025/q2/META-Q2-2025-Earnings-Call-Transcript.pdf</w:t>
        </w:r>
      </w:hyperlink>
    </w:p>
    <w:p>
      <w:pPr>
        <w:pStyle w:val="BodyText"/>
      </w:pPr>
      <w:hyperlink r:id="rId36">
        <w:r>
          <w:rPr>
            <w:rStyle w:val="Hyperlink"/>
          </w:rPr>
          <w:t xml:space="preserve">[24]</w:t>
        </w:r>
      </w:hyperlink>
      <w:r>
        <w:t xml:space="preserve"> </w:t>
      </w:r>
      <w:r>
        <w:t xml:space="preserve">investor.workday.com</w:t>
      </w:r>
    </w:p>
    <w:p>
      <w:pPr>
        <w:pStyle w:val="BodyText"/>
      </w:pPr>
      <w:hyperlink r:id="rId36">
        <w:r>
          <w:rPr>
            <w:rStyle w:val="Hyperlink"/>
          </w:rPr>
          <w:t xml:space="preserve">https://investor.workday.com/files/doc_financials/2025/q4/workday-fiscal-2025-fourth-quarter-prepared-remarks.pdf</w:t>
        </w:r>
      </w:hyperlink>
    </w:p>
    <w:p>
      <w:pPr>
        <w:pStyle w:val="BodyText"/>
      </w:pPr>
      <w:hyperlink r:id="rId37">
        <w:r>
          <w:rPr>
            <w:rStyle w:val="Hyperlink"/>
          </w:rPr>
          <w:t xml:space="preserve">[25]</w:t>
        </w:r>
      </w:hyperlink>
      <w:r>
        <w:t xml:space="preserve"> </w:t>
      </w:r>
      <w:r>
        <w:t xml:space="preserve">Q3'25 Consolidated Prepared Remarks</w:t>
      </w:r>
    </w:p>
    <w:p>
      <w:pPr>
        <w:pStyle w:val="BodyText"/>
      </w:pPr>
      <w:hyperlink r:id="rId37">
        <w:r>
          <w:rPr>
            <w:rStyle w:val="Hyperlink"/>
          </w:rPr>
          <w:t xml:space="preserve">https://s28.q4cdn.com/141746709/files/doc_financials/2025/q3/Q3-25-Prepared-Remarks.pdf</w:t>
        </w:r>
      </w:hyperlink>
    </w:p>
    <w:p>
      <w:pPr>
        <w:pStyle w:val="BodyText"/>
      </w:pPr>
      <w:hyperlink r:id="rId38">
        <w:r>
          <w:rPr>
            <w:rStyle w:val="Hyperlink"/>
          </w:rPr>
          <w:t xml:space="preserve">[26]</w:t>
        </w:r>
      </w:hyperlink>
      <w:r>
        <w:t xml:space="preserve"> </w:t>
      </w:r>
      <w:hyperlink r:id="rId38">
        <w:r>
          <w:rPr>
            <w:rStyle w:val="Hyperlink"/>
          </w:rPr>
          <w:t xml:space="preserve">[36]</w:t>
        </w:r>
      </w:hyperlink>
      <w:r>
        <w:t xml:space="preserve"> </w:t>
      </w:r>
      <w:r>
        <w:t xml:space="preserve">Q4 2025 Pfizer Inc Earnings Call on February 03, 2026 / 3:00PM</w:t>
      </w:r>
    </w:p>
    <w:p>
      <w:pPr>
        <w:pStyle w:val="BodyText"/>
      </w:pPr>
      <w:hyperlink r:id="rId38">
        <w:r>
          <w:rPr>
            <w:rStyle w:val="Hyperlink"/>
          </w:rPr>
          <w:t xml:space="preserve">https://s206.q4cdn.com/795948973/files/doc_events/2026/Feb/03/PFE-USQ_Transcript_2026-02-03.pdf</w:t>
        </w:r>
      </w:hyperlink>
    </w:p>
    <w:p>
      <w:pPr>
        <w:pStyle w:val="BodyText"/>
      </w:pPr>
      <w:hyperlink r:id="rId39">
        <w:r>
          <w:rPr>
            <w:rStyle w:val="Hyperlink"/>
          </w:rPr>
          <w:t xml:space="preserve">[27]</w:t>
        </w:r>
      </w:hyperlink>
      <w:r>
        <w:t xml:space="preserve"> </w:t>
      </w:r>
      <w:hyperlink r:id="rId39">
        <w:r>
          <w:rPr>
            <w:rStyle w:val="Hyperlink"/>
          </w:rPr>
          <w:t xml:space="preserve">[33]</w:t>
        </w:r>
      </w:hyperlink>
      <w:r>
        <w:t xml:space="preserve"> </w:t>
      </w:r>
      <w:r>
        <w:t xml:space="preserve">s206.q4cdn.com</w:t>
      </w:r>
    </w:p>
    <w:p>
      <w:pPr>
        <w:pStyle w:val="BodyText"/>
      </w:pPr>
      <w:hyperlink r:id="rId39">
        <w:r>
          <w:rPr>
            <w:rStyle w:val="Hyperlink"/>
          </w:rPr>
          <w:t xml:space="preserve">https://s206.q4cdn.com/961864615/files/doc_financials/2024/q1/Q1-24-Earnings-Call-Script-Final-for-Website-5-12-2024.pdf</w:t>
        </w:r>
      </w:hyperlink>
    </w:p>
    <w:p>
      <w:pPr>
        <w:pStyle w:val="BodyText"/>
      </w:pPr>
      <w:hyperlink r:id="rId40">
        <w:r>
          <w:rPr>
            <w:rStyle w:val="Hyperlink"/>
          </w:rPr>
          <w:t xml:space="preserve">[28]</w:t>
        </w:r>
      </w:hyperlink>
      <w:r>
        <w:t xml:space="preserve"> </w:t>
      </w:r>
      <w:r>
        <w:t xml:space="preserve"> </w:t>
      </w:r>
      <w:r>
        <w:t xml:space="preserve">Alphabet Investor Relations - 2025 Q2 Earnings Call</w:t>
      </w:r>
      <w:r>
        <w:t xml:space="preserve"> </w:t>
      </w:r>
    </w:p>
    <w:p>
      <w:pPr>
        <w:pStyle w:val="BodyText"/>
      </w:pPr>
      <w:hyperlink r:id="rId40">
        <w:r>
          <w:rPr>
            <w:rStyle w:val="Hyperlink"/>
          </w:rPr>
          <w:t xml:space="preserve">https://abc.xyz/investor/events/event-details/2025/2025-Q2-Earnings-Call/</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bc.xyz/investor/events/event-details/2025/2025-Q2-Earnings-Call/" TargetMode="External" /><Relationship Type="http://schemas.openxmlformats.org/officeDocument/2006/relationships/hyperlink" Id="rId23" Target="https://hai.stanford.edu/assets/files/hai_ai-index-report-2025_chapter4_final.pdf" TargetMode="External" /><Relationship Type="http://schemas.openxmlformats.org/officeDocument/2006/relationships/hyperlink" Id="rId36" Target="https://investor.workday.com/files/doc_financials/2025/q4/workday-fiscal-2025-fourth-quarter-prepared-remarks.pdf" TargetMode="External" /><Relationship Type="http://schemas.openxmlformats.org/officeDocument/2006/relationships/hyperlink" Id="rId38" Target="https://s206.q4cdn.com/795948973/files/doc_events/2026/Feb/03/PFE-USQ_Transcript_2026-02-03.pdf" TargetMode="External" /><Relationship Type="http://schemas.openxmlformats.org/officeDocument/2006/relationships/hyperlink" Id="rId39" Target="https://s206.q4cdn.com/961864615/files/doc_financials/2024/q1/Q1-24-Earnings-Call-Script-Final-for-Website-5-12-2024.pdf" TargetMode="External" /><Relationship Type="http://schemas.openxmlformats.org/officeDocument/2006/relationships/hyperlink" Id="rId35" Target="https://s21.q4cdn.com/399680738/files/doc_financials/2025/q2/META-Q2-2025-Earnings-Call-Transcript.pdf" TargetMode="External" /><Relationship Type="http://schemas.openxmlformats.org/officeDocument/2006/relationships/hyperlink" Id="rId37" Target="https://s28.q4cdn.com/141746709/files/doc_financials/2025/q3/Q3-25-Prepared-Remarks.pdf" TargetMode="External" /><Relationship Type="http://schemas.openxmlformats.org/officeDocument/2006/relationships/hyperlink" Id="rId21" Target="https://wp.oecd.ai/app/uploads/2021/03/AI-measurement-in-ICT-usage-surveys.pdf" TargetMode="External" /><Relationship Type="http://schemas.openxmlformats.org/officeDocument/2006/relationships/hyperlink" Id="rId30" Target="https://www.gartner.com/en/newsroom/press-releases/2024-05-07-gartner-survey-finds-generative-ai-is-now-the-most-frequently-deployed-ai-solution-in-organizations" TargetMode="External" /><Relationship Type="http://schemas.openxmlformats.org/officeDocument/2006/relationships/hyperlink" Id="rId31" Target="https://www.gartner.com/en/newsroom/press-releases/2024-07-29-gartner-predicts-30-percent-of-generative-ai-projects-will-be-abandoned-after-proof-of-concept-by-end-of-2025" TargetMode="External" /><Relationship Type="http://schemas.openxmlformats.org/officeDocument/2006/relationships/hyperlink" Id="rId32" Target="https://www.gartner.com/en/newsroom/press-releases/2024-12-09-gartner-survey-reveals-85-percent-of-customer-service-leaders-will-explore-or-pilot-customer-facing-conversational-genai-in-2025" TargetMode="External" /><Relationship Type="http://schemas.openxmlformats.org/officeDocument/2006/relationships/hyperlink" Id="rId24" Target="https://www.gartner.com/en/newsroom/press-releases/2025-06-30-gartner-survey-finds-forty-five-percent-of-organizations-with-high-artificial-intelligence-maturity-keep-artificial-intelligence-projects-operational-for-at-least-three-years" TargetMode="External" /><Relationship Type="http://schemas.openxmlformats.org/officeDocument/2006/relationships/hyperlink" Id="rId34" Target="https://www.microsoft.com/en-us/investor/events/fy-2025/earnings-fy-2025-q2" TargetMode="External" /><Relationship Type="http://schemas.openxmlformats.org/officeDocument/2006/relationships/hyperlink" Id="rId22" Target="https://www.oecd.org/content/dam/oecd/en/publications/reports/2025/12/ai-adoption-by-small-and-medium-sized-enterprises_9c48eae6/426399c1-en.pdf" TargetMode="External" /><Relationship Type="http://schemas.openxmlformats.org/officeDocument/2006/relationships/hyperlink" Id="rId27" Target="https://www.oecd.org/en/about/news/announcements/2026/01/ai-use-by-individuals-surges-across-the-oecd-as-adoption-by-firms-continues-to-expand.html" TargetMode="External" /><Relationship Type="http://schemas.openxmlformats.org/officeDocument/2006/relationships/hyperlink" Id="rId28" Target="https://www.oecd.org/en/publications/the-adoption-of-artificial-intelligence-in-firms_f9ef33c3-en.html" TargetMode="External" /></Relationships>
</file>

<file path=word/_rels/footnotes.xml.rels><?xml version="1.0" encoding="UTF-8"?><Relationships xmlns="http://schemas.openxmlformats.org/package/2006/relationships"><Relationship Type="http://schemas.openxmlformats.org/officeDocument/2006/relationships/hyperlink" Id="rId40" Target="https://abc.xyz/investor/events/event-details/2025/2025-Q2-Earnings-Call/" TargetMode="External" /><Relationship Type="http://schemas.openxmlformats.org/officeDocument/2006/relationships/hyperlink" Id="rId23" Target="https://hai.stanford.edu/assets/files/hai_ai-index-report-2025_chapter4_final.pdf" TargetMode="External" /><Relationship Type="http://schemas.openxmlformats.org/officeDocument/2006/relationships/hyperlink" Id="rId36" Target="https://investor.workday.com/files/doc_financials/2025/q4/workday-fiscal-2025-fourth-quarter-prepared-remarks.pdf" TargetMode="External" /><Relationship Type="http://schemas.openxmlformats.org/officeDocument/2006/relationships/hyperlink" Id="rId38" Target="https://s206.q4cdn.com/795948973/files/doc_events/2026/Feb/03/PFE-USQ_Transcript_2026-02-03.pdf" TargetMode="External" /><Relationship Type="http://schemas.openxmlformats.org/officeDocument/2006/relationships/hyperlink" Id="rId39" Target="https://s206.q4cdn.com/961864615/files/doc_financials/2024/q1/Q1-24-Earnings-Call-Script-Final-for-Website-5-12-2024.pdf" TargetMode="External" /><Relationship Type="http://schemas.openxmlformats.org/officeDocument/2006/relationships/hyperlink" Id="rId35" Target="https://s21.q4cdn.com/399680738/files/doc_financials/2025/q2/META-Q2-2025-Earnings-Call-Transcript.pdf" TargetMode="External" /><Relationship Type="http://schemas.openxmlformats.org/officeDocument/2006/relationships/hyperlink" Id="rId37" Target="https://s28.q4cdn.com/141746709/files/doc_financials/2025/q3/Q3-25-Prepared-Remarks.pdf" TargetMode="External" /><Relationship Type="http://schemas.openxmlformats.org/officeDocument/2006/relationships/hyperlink" Id="rId21" Target="https://wp.oecd.ai/app/uploads/2021/03/AI-measurement-in-ICT-usage-surveys.pdf" TargetMode="External" /><Relationship Type="http://schemas.openxmlformats.org/officeDocument/2006/relationships/hyperlink" Id="rId30" Target="https://www.gartner.com/en/newsroom/press-releases/2024-05-07-gartner-survey-finds-generative-ai-is-now-the-most-frequently-deployed-ai-solution-in-organizations" TargetMode="External" /><Relationship Type="http://schemas.openxmlformats.org/officeDocument/2006/relationships/hyperlink" Id="rId31" Target="https://www.gartner.com/en/newsroom/press-releases/2024-07-29-gartner-predicts-30-percent-of-generative-ai-projects-will-be-abandoned-after-proof-of-concept-by-end-of-2025" TargetMode="External" /><Relationship Type="http://schemas.openxmlformats.org/officeDocument/2006/relationships/hyperlink" Id="rId32" Target="https://www.gartner.com/en/newsroom/press-releases/2024-12-09-gartner-survey-reveals-85-percent-of-customer-service-leaders-will-explore-or-pilot-customer-facing-conversational-genai-in-2025" TargetMode="External" /><Relationship Type="http://schemas.openxmlformats.org/officeDocument/2006/relationships/hyperlink" Id="rId24" Target="https://www.gartner.com/en/newsroom/press-releases/2025-06-30-gartner-survey-finds-forty-five-percent-of-organizations-with-high-artificial-intelligence-maturity-keep-artificial-intelligence-projects-operational-for-at-least-three-years" TargetMode="External" /><Relationship Type="http://schemas.openxmlformats.org/officeDocument/2006/relationships/hyperlink" Id="rId34" Target="https://www.microsoft.com/en-us/investor/events/fy-2025/earnings-fy-2025-q2" TargetMode="External" /><Relationship Type="http://schemas.openxmlformats.org/officeDocument/2006/relationships/hyperlink" Id="rId22" Target="https://www.oecd.org/content/dam/oecd/en/publications/reports/2025/12/ai-adoption-by-small-and-medium-sized-enterprises_9c48eae6/426399c1-en.pdf" TargetMode="External" /><Relationship Type="http://schemas.openxmlformats.org/officeDocument/2006/relationships/hyperlink" Id="rId27" Target="https://www.oecd.org/en/about/news/announcements/2026/01/ai-use-by-individuals-surges-across-the-oecd-as-adoption-by-firms-continues-to-expand.html" TargetMode="External" /><Relationship Type="http://schemas.openxmlformats.org/officeDocument/2006/relationships/hyperlink" Id="rId28" Target="https://www.oecd.org/en/publications/the-adoption-of-artificial-intelligence-in-firms_f9ef33c3-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2026-02-07T16:59:01Z</dcterms:created>
  <dcterms:modified xsi:type="dcterms:W3CDTF">2026-02-07T16:59:01Z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