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8d513b55cbbe5c9c3cb90cc09a8e2d4a9293686"/>
    <w:p>
      <w:pPr>
        <w:pStyle w:val="Heading1"/>
      </w:pPr>
      <w:r>
        <w:t xml:space="preserve">McKinsey’s post‑2021 AI narrative: where the firm appears to contradict itself over time</w:t>
      </w:r>
    </w:p>
    <w:bookmarkStart w:id="26" w:name="X0860ad9a227ed85e45c19db5322bfb5d63d4914"/>
    <w:p>
      <w:pPr>
        <w:pStyle w:val="Heading2"/>
      </w:pPr>
      <w:r>
        <w:t xml:space="preserve">Scope, corpus, and what counts as contradiction</w:t>
      </w:r>
    </w:p>
    <w:p>
      <w:pPr>
        <w:pStyle w:val="FirstParagraph"/>
      </w:pPr>
      <w:r>
        <w:t xml:space="preserve">This research focuses on McKinsey publications dated</w:t>
      </w:r>
      <w:r>
        <w:t xml:space="preserve"> </w:t>
      </w:r>
      <w:r>
        <w:rPr>
          <w:b/>
          <w:bCs/>
        </w:rPr>
        <w:t xml:space="preserve">2022 onwards</w:t>
      </w:r>
      <w:r>
        <w:t xml:space="preserve"> </w:t>
      </w:r>
      <w:r>
        <w:t xml:space="preserve">that make</w:t>
      </w:r>
      <w:r>
        <w:t xml:space="preserve"> </w:t>
      </w:r>
      <w:r>
        <w:rPr>
          <w:b/>
          <w:bCs/>
        </w:rPr>
        <w:t xml:space="preserve">general, cross-industry claims</w:t>
      </w:r>
      <w:r>
        <w:t xml:space="preserve"> </w:t>
      </w:r>
      <w:r>
        <w:t xml:space="preserve">about artificial intelligence (including “analytical” AI, generative AI, and newer “agentic” AI). In practice, McKinsey has produced a very large volume of AI content since late 2022; McKinsey itself curates “more than 100” generative-AI articles, which makes a literally exhaustive, line-by-line contradiction audit across all posts difficult within a single report.</w:t>
      </w:r>
      <w:r>
        <w:t xml:space="preserve"> </w:t>
      </w:r>
      <w:hyperlink r:id="rId21">
        <w:r>
          <w:rPr>
            <w:rStyle w:val="Hyperlink"/>
          </w:rPr>
          <w:t xml:space="preserve">[1]</w:t>
        </w:r>
      </w:hyperlink>
    </w:p>
    <w:p>
      <w:pPr>
        <w:pStyle w:val="BodyText"/>
      </w:pPr>
      <w:r>
        <w:t xml:space="preserve">To keep the analysis rigorous, the report centres on “anchor” artefacts that repeatedly shape McKinsey’s public messaging and are often cross-cited internally:</w:t>
      </w:r>
      <w:r>
        <w:t xml:space="preserve"> </w:t>
      </w:r>
      <w:r>
        <w:t xml:space="preserve">- The annual</w:t>
      </w:r>
      <w:r>
        <w:t xml:space="preserve"> </w:t>
      </w:r>
      <w:r>
        <w:rPr>
          <w:b/>
          <w:bCs/>
        </w:rPr>
        <w:t xml:space="preserve">State of AI / McKinsey Global Survey</w:t>
      </w:r>
      <w:r>
        <w:t xml:space="preserve"> </w:t>
      </w:r>
      <w:r>
        <w:t xml:space="preserve">series (2022–2025).</w:t>
      </w:r>
      <w:r>
        <w:t xml:space="preserve"> </w:t>
      </w:r>
      <w:hyperlink r:id="rId22">
        <w:r>
          <w:rPr>
            <w:rStyle w:val="Hyperlink"/>
          </w:rPr>
          <w:t xml:space="preserve">[2]</w:t>
        </w:r>
      </w:hyperlink>
      <w:r>
        <w:br/>
      </w:r>
      <w:r>
        <w:t xml:space="preserve">- The</w:t>
      </w:r>
      <w:r>
        <w:t xml:space="preserve"> </w:t>
      </w:r>
      <w:r>
        <w:rPr>
          <w:b/>
          <w:bCs/>
        </w:rPr>
        <w:t xml:space="preserve">McKinsey Global Institute</w:t>
      </w:r>
      <w:r>
        <w:t xml:space="preserve"> </w:t>
      </w:r>
      <w:r>
        <w:t xml:space="preserve">(MGI) flagship quantification of generative AI’s value and workforce impact (June 2023), which McKinsey repeatedly uses as a reference point.</w:t>
      </w:r>
      <w:r>
        <w:t xml:space="preserve"> </w:t>
      </w:r>
      <w:hyperlink r:id="rId23">
        <w:r>
          <w:rPr>
            <w:rStyle w:val="Hyperlink"/>
          </w:rPr>
          <w:t xml:space="preserve">[3]</w:t>
        </w:r>
      </w:hyperlink>
      <w:r>
        <w:br/>
      </w:r>
      <w:r>
        <w:t xml:space="preserve">- A small set of “bridge” articles that explicitly respond to shifts from pilots to scale and from hype to ROI (for example, “honeymoon phase”, “reset”, and “beyond the hype”).</w:t>
      </w:r>
      <w:r>
        <w:t xml:space="preserve"> </w:t>
      </w:r>
      <w:hyperlink r:id="rId24">
        <w:r>
          <w:rPr>
            <w:rStyle w:val="Hyperlink"/>
          </w:rPr>
          <w:t xml:space="preserve">[4]</w:t>
        </w:r>
      </w:hyperlink>
    </w:p>
    <w:bookmarkStart w:id="25" w:name="definitions-used-in-this-report"/>
    <w:p>
      <w:pPr>
        <w:pStyle w:val="Heading3"/>
      </w:pPr>
      <w:r>
        <w:t xml:space="preserve">Definitions used in this report</w:t>
      </w:r>
    </w:p>
    <w:p>
      <w:pPr>
        <w:pStyle w:val="FirstParagraph"/>
      </w:pPr>
      <w:r>
        <w:t xml:space="preserve">A “contradiction” in professional foresight writing can be:</w:t>
      </w:r>
      <w:r>
        <w:t xml:space="preserve"> </w:t>
      </w:r>
      <w:r>
        <w:t xml:space="preserve">-</w:t>
      </w:r>
      <w:r>
        <w:t xml:space="preserve"> </w:t>
      </w:r>
      <w:r>
        <w:rPr>
          <w:b/>
          <w:bCs/>
        </w:rPr>
        <w:t xml:space="preserve">Direct contradiction</w:t>
      </w:r>
      <w:r>
        <w:t xml:space="preserve">: a later McKinsey article asserts the opposite of an earlier McKinsey claim, using comparable definitions and scope.</w:t>
      </w:r>
      <w:r>
        <w:t xml:space="preserve"> </w:t>
      </w:r>
      <w:r>
        <w:t xml:space="preserve">-</w:t>
      </w:r>
      <w:r>
        <w:t xml:space="preserve"> </w:t>
      </w:r>
      <w:r>
        <w:rPr>
          <w:b/>
          <w:bCs/>
        </w:rPr>
        <w:t xml:space="preserve">Apparent contradiction</w:t>
      </w:r>
      <w:r>
        <w:t xml:space="preserve">: two claims look inconsistent but are actually about different units of measurement (tasks vs jobs; business units vs enterprise-level EBIT), different maturity thresholds (“regular use” vs “at scale”), or are based on redefined survey questions.</w:t>
      </w:r>
    </w:p>
    <w:p>
      <w:pPr>
        <w:pStyle w:val="BodyText"/>
      </w:pPr>
      <w:r>
        <w:t xml:space="preserve">A key theme in the findings is that McKinsey frequently warns—often in footnotes—that</w:t>
      </w:r>
      <w:r>
        <w:t xml:space="preserve"> </w:t>
      </w:r>
      <w:r>
        <w:rPr>
          <w:b/>
          <w:bCs/>
        </w:rPr>
        <w:t xml:space="preserve">its own definitions and survey questions evolve</w:t>
      </w:r>
      <w:r>
        <w:t xml:space="preserve">, which can create “contradictions” in trendlines unless the reader adjusts for the redefinitions.</w:t>
      </w:r>
      <w:r>
        <w:t xml:space="preserve"> </w:t>
      </w:r>
      <w:hyperlink r:id="rId22">
        <w:r>
          <w:rPr>
            <w:rStyle w:val="Hyperlink"/>
          </w:rPr>
          <w:t xml:space="preserve">[5]</w:t>
        </w:r>
      </w:hyperlink>
    </w:p>
    <w:p>
      <w:pPr>
        <w:pStyle w:val="BodyText"/>
      </w:pPr>
      <w:r>
        <w:t xml:space="preserve">image_group{"layout":"carousel","aspect_ratio":"16:9","query":["McKinsey The state of AI in early 2024 report cover","McKinsey The economic potential of generative AI next productivity frontier report cover","McKinsey The state of AI How organizations are rewiring to capture value report cover","McKinsey A generative AI reset rewiring to turn potential into value in 2024"]}</w:t>
      </w:r>
    </w:p>
    <w:bookmarkEnd w:id="25"/>
    <w:bookmarkEnd w:id="26"/>
    <w:bookmarkStart w:id="34" w:name="X3b8b3d022018770ec8d6ee4f21475dabb5015d6"/>
    <w:p>
      <w:pPr>
        <w:pStyle w:val="Heading2"/>
      </w:pPr>
      <w:r>
        <w:t xml:space="preserve">Adoption versus scale: “widespread use” claims collide with “pilot purgatory” claims</w:t>
      </w:r>
    </w:p>
    <w:p>
      <w:pPr>
        <w:pStyle w:val="FirstParagraph"/>
      </w:pPr>
      <w:r>
        <w:t xml:space="preserve">Across 2022–2025, McKinsey often describes AI as “widely used” while simultaneously arguing that scaling remains rare. The tension is real in the reader experience, but much of it is an</w:t>
      </w:r>
      <w:r>
        <w:t xml:space="preserve"> </w:t>
      </w:r>
      <w:r>
        <w:rPr>
          <w:b/>
          <w:bCs/>
        </w:rPr>
        <w:t xml:space="preserve">apparent contradiction</w:t>
      </w:r>
      <w:r>
        <w:t xml:space="preserve"> </w:t>
      </w:r>
      <w:r>
        <w:t xml:space="preserve">driven by</w:t>
      </w:r>
      <w:r>
        <w:t xml:space="preserve"> </w:t>
      </w:r>
      <w:r>
        <w:rPr>
          <w:b/>
          <w:bCs/>
        </w:rPr>
        <w:t xml:space="preserve">different thresholds</w:t>
      </w:r>
      <w:r>
        <w:t xml:space="preserve"> </w:t>
      </w:r>
      <w:r>
        <w:t xml:space="preserve">and</w:t>
      </w:r>
      <w:r>
        <w:t xml:space="preserve"> </w:t>
      </w:r>
      <w:r>
        <w:rPr>
          <w:b/>
          <w:bCs/>
        </w:rPr>
        <w:t xml:space="preserve">shifting definitions</w:t>
      </w:r>
      <w:r>
        <w:t xml:space="preserve">.</w:t>
      </w:r>
    </w:p>
    <w:bookmarkStart w:id="29" w:name="the-headline-shift-plateau-to-surge"/>
    <w:p>
      <w:pPr>
        <w:pStyle w:val="Heading3"/>
      </w:pPr>
      <w:r>
        <w:t xml:space="preserve">The headline shift: plateau to surge</w:t>
      </w:r>
    </w:p>
    <w:p>
      <w:pPr>
        <w:pStyle w:val="FirstParagraph"/>
      </w:pPr>
      <w:r>
        <w:t xml:space="preserve">In the 2022 State of AI survey, McKinsey reported that AI adoption had</w:t>
      </w:r>
      <w:r>
        <w:t xml:space="preserve"> </w:t>
      </w:r>
      <w:r>
        <w:rPr>
          <w:b/>
          <w:bCs/>
        </w:rPr>
        <w:t xml:space="preserve">“plateaued between 50 and 60 percent for the past few years.”</w:t>
      </w:r>
      <w:r>
        <w:t xml:space="preserve"> </w:t>
      </w:r>
      <w:hyperlink r:id="rId22">
        <w:r>
          <w:rPr>
            <w:rStyle w:val="Hyperlink"/>
          </w:rPr>
          <w:t xml:space="preserve">[6]</w:t>
        </w:r>
      </w:hyperlink>
      <w:r>
        <w:br/>
      </w:r>
      <w:r>
        <w:t xml:space="preserve">In the early‑2024 survey article, McKinsey framed 2024 as the year AI adoption “jumped,” stating that adoption had “hovered at about 50 percent” for six years, then rose to</w:t>
      </w:r>
      <w:r>
        <w:t xml:space="preserve"> </w:t>
      </w:r>
      <w:r>
        <w:rPr>
          <w:b/>
          <w:bCs/>
        </w:rPr>
        <w:t xml:space="preserve">72%</w:t>
      </w:r>
      <w:r>
        <w:t xml:space="preserve">.</w:t>
      </w:r>
      <w:r>
        <w:t xml:space="preserve"> </w:t>
      </w:r>
      <w:hyperlink r:id="rId27">
        <w:r>
          <w:rPr>
            <w:rStyle w:val="Hyperlink"/>
          </w:rPr>
          <w:t xml:space="preserve">[7]</w:t>
        </w:r>
      </w:hyperlink>
    </w:p>
    <w:p>
      <w:pPr>
        <w:pStyle w:val="BodyText"/>
      </w:pPr>
      <w:r>
        <w:t xml:space="preserve">On its face, this is consistent: plateau, then surge. The more subtle contradiction is that McKinsey’s own materials show that the measured adoption line is partly an artefact of</w:t>
      </w:r>
      <w:r>
        <w:t xml:space="preserve"> </w:t>
      </w:r>
      <w:r>
        <w:rPr>
          <w:b/>
          <w:bCs/>
        </w:rPr>
        <w:t xml:space="preserve">changing what “adoption” meant</w:t>
      </w:r>
      <w:r>
        <w:t xml:space="preserve"> </w:t>
      </w:r>
      <w:r>
        <w:t xml:space="preserve">at different points:</w:t>
      </w:r>
      <w:r>
        <w:t xml:space="preserve"> </w:t>
      </w:r>
      <w:r>
        <w:t xml:space="preserve">- In 2022, McKinsey explicitly notes its AI-adoption definition changed from</w:t>
      </w:r>
      <w:r>
        <w:t xml:space="preserve"> </w:t>
      </w:r>
      <w:r>
        <w:rPr>
          <w:b/>
          <w:bCs/>
        </w:rPr>
        <w:t xml:space="preserve">“core part of the business or at scale” (2017)</w:t>
      </w:r>
      <w:r>
        <w:t xml:space="preserve"> </w:t>
      </w:r>
      <w:r>
        <w:t xml:space="preserve">to</w:t>
      </w:r>
      <w:r>
        <w:t xml:space="preserve"> </w:t>
      </w:r>
      <w:r>
        <w:rPr>
          <w:b/>
          <w:bCs/>
        </w:rPr>
        <w:t xml:space="preserve">“adopted AI in at least one function” (2020–2022)</w:t>
      </w:r>
      <w:r>
        <w:t xml:space="preserve">, making direct time-series comparisons tricky.</w:t>
      </w:r>
      <w:r>
        <w:t xml:space="preserve"> </w:t>
      </w:r>
      <w:hyperlink r:id="rId22">
        <w:r>
          <w:rPr>
            <w:rStyle w:val="Hyperlink"/>
          </w:rPr>
          <w:t xml:space="preserve">[6]</w:t>
        </w:r>
      </w:hyperlink>
      <w:r>
        <w:br/>
      </w:r>
      <w:r>
        <w:t xml:space="preserve">- A later McKinsey “Week in Charts” explainer reiterates that the definition evolved (2017: “core/at scale”; 2018–2019: “embedded at least one capability”; 2020 onwards: “at least one function”).</w:t>
      </w:r>
      <w:r>
        <w:t xml:space="preserve"> </w:t>
      </w:r>
      <w:hyperlink r:id="rId28">
        <w:r>
          <w:rPr>
            <w:rStyle w:val="Hyperlink"/>
          </w:rPr>
          <w:t xml:space="preserve">[8]</w:t>
        </w:r>
      </w:hyperlink>
    </w:p>
    <w:p>
      <w:pPr>
        <w:pStyle w:val="BodyText"/>
      </w:pPr>
      <w:r>
        <w:t xml:space="preserve">In other words, McKinsey effectively says: “adoption increased” while also acknowledging that the yardstick moved—an internal caveat that can be missed in headline reading.</w:t>
      </w:r>
      <w:r>
        <w:t xml:space="preserve"> </w:t>
      </w:r>
      <w:hyperlink r:id="rId22">
        <w:r>
          <w:rPr>
            <w:rStyle w:val="Hyperlink"/>
          </w:rPr>
          <w:t xml:space="preserve">[9]</w:t>
        </w:r>
      </w:hyperlink>
    </w:p>
    <w:bookmarkEnd w:id="29"/>
    <w:bookmarkStart w:id="32" w:name="Xa9aff844ea9eb37eede269503e35ca96743cd36"/>
    <w:p>
      <w:pPr>
        <w:pStyle w:val="Heading3"/>
      </w:pPr>
      <w:r>
        <w:t xml:space="preserve">“Regular use” versus “at scale”: the 65% vs 11% problem</w:t>
      </w:r>
    </w:p>
    <w:p>
      <w:pPr>
        <w:pStyle w:val="FirstParagraph"/>
      </w:pPr>
      <w:r>
        <w:t xml:space="preserve">A sharper apparent contradiction appears when McKinsey simultaneously reports high regular use and low scaled deployment:</w:t>
      </w:r>
      <w:r>
        <w:t xml:space="preserve"> </w:t>
      </w:r>
      <w:r>
        <w:t xml:space="preserve">- Early‑2024 survey:</w:t>
      </w:r>
      <w:r>
        <w:t xml:space="preserve"> </w:t>
      </w:r>
      <w:r>
        <w:rPr>
          <w:b/>
          <w:bCs/>
        </w:rPr>
        <w:t xml:space="preserve">65%</w:t>
      </w:r>
      <w:r>
        <w:t xml:space="preserve"> </w:t>
      </w:r>
      <w:r>
        <w:t xml:space="preserve">of respondents said their organisations were</w:t>
      </w:r>
      <w:r>
        <w:t xml:space="preserve"> </w:t>
      </w:r>
      <w:r>
        <w:rPr>
          <w:b/>
          <w:bCs/>
        </w:rPr>
        <w:t xml:space="preserve">regularly using</w:t>
      </w:r>
      <w:r>
        <w:t xml:space="preserve"> </w:t>
      </w:r>
      <w:r>
        <w:t xml:space="preserve">gen AI in at least one function.</w:t>
      </w:r>
      <w:r>
        <w:t xml:space="preserve"> </w:t>
      </w:r>
      <w:hyperlink r:id="rId27">
        <w:r>
          <w:rPr>
            <w:rStyle w:val="Hyperlink"/>
          </w:rPr>
          <w:t xml:space="preserve">[10]</w:t>
        </w:r>
      </w:hyperlink>
      <w:r>
        <w:br/>
      </w:r>
      <w:r>
        <w:t xml:space="preserve">- In an operations-focused McKinsey article later in 2024, McKinsey cites its tech trends research:</w:t>
      </w:r>
      <w:r>
        <w:t xml:space="preserve"> </w:t>
      </w:r>
      <w:r>
        <w:rPr>
          <w:b/>
          <w:bCs/>
        </w:rPr>
        <w:t xml:space="preserve">only 11%</w:t>
      </w:r>
      <w:r>
        <w:t xml:space="preserve"> </w:t>
      </w:r>
      <w:r>
        <w:t xml:space="preserve">of companies worldwide are using gen AI</w:t>
      </w:r>
      <w:r>
        <w:t xml:space="preserve"> </w:t>
      </w:r>
      <w:r>
        <w:rPr>
          <w:b/>
          <w:bCs/>
        </w:rPr>
        <w:t xml:space="preserve">“at scale.”</w:t>
      </w:r>
      <w:r>
        <w:t xml:space="preserve"> </w:t>
      </w:r>
      <w:hyperlink r:id="rId30">
        <w:r>
          <w:rPr>
            <w:rStyle w:val="Hyperlink"/>
          </w:rPr>
          <w:t xml:space="preserve">[11]</w:t>
        </w:r>
      </w:hyperlink>
    </w:p>
    <w:p>
      <w:pPr>
        <w:pStyle w:val="BodyText"/>
      </w:pPr>
      <w:r>
        <w:t xml:space="preserve">Both can be true. But McKinsey often does not standardise the language across its own portfolio: “regularly using” suggests routinisation, whereas “at scale” implies enterprise-grade integration, operational controls, and repeatable ROI. The result is a narrative that can read like a reversal: “everyone is using this” vs “almost no one has scaled this.”</w:t>
      </w:r>
      <w:r>
        <w:t xml:space="preserve"> </w:t>
      </w:r>
      <w:hyperlink r:id="rId27">
        <w:r>
          <w:rPr>
            <w:rStyle w:val="Hyperlink"/>
          </w:rPr>
          <w:t xml:space="preserve">[12]</w:t>
        </w:r>
      </w:hyperlink>
    </w:p>
    <w:p>
      <w:pPr>
        <w:pStyle w:val="BodyText"/>
      </w:pPr>
      <w:r>
        <w:t xml:space="preserve">McKinsey’s 2025 survey language makes the gap explicit:</w:t>
      </w:r>
      <w:r>
        <w:t xml:space="preserve"> </w:t>
      </w:r>
      <w:r>
        <w:rPr>
          <w:b/>
          <w:bCs/>
        </w:rPr>
        <w:t xml:space="preserve">88% report regular AI use</w:t>
      </w:r>
      <w:r>
        <w:t xml:space="preserve">, yet “at the enterprise level, the majority are still in the experimenting or piloting stages,” with roughly</w:t>
      </w:r>
      <w:r>
        <w:t xml:space="preserve"> </w:t>
      </w:r>
      <w:r>
        <w:rPr>
          <w:b/>
          <w:bCs/>
        </w:rPr>
        <w:t xml:space="preserve">one-third</w:t>
      </w:r>
      <w:r>
        <w:t xml:space="preserve"> </w:t>
      </w:r>
      <w:r>
        <w:t xml:space="preserve">starting to scale.</w:t>
      </w:r>
      <w:r>
        <w:t xml:space="preserve"> </w:t>
      </w:r>
      <w:hyperlink r:id="rId31">
        <w:r>
          <w:rPr>
            <w:rStyle w:val="Hyperlink"/>
          </w:rPr>
          <w:t xml:space="preserve">[13]</w:t>
        </w:r>
      </w:hyperlink>
    </w:p>
    <w:bookmarkEnd w:id="32"/>
    <w:bookmarkStart w:id="33" w:name="Xf9f1fd80a01b75236ee01a97627d40589494641"/>
    <w:p>
      <w:pPr>
        <w:pStyle w:val="Heading3"/>
      </w:pPr>
      <w:r>
        <w:t xml:space="preserve">A second definitional tension: “AI high performers” keep being redefined</w:t>
      </w:r>
    </w:p>
    <w:p>
      <w:pPr>
        <w:pStyle w:val="FirstParagraph"/>
      </w:pPr>
      <w:r>
        <w:t xml:space="preserve">Even McKinsey’s “leader” category changes in ways that can look contradictory:</w:t>
      </w:r>
      <w:r>
        <w:t xml:space="preserve"> </w:t>
      </w:r>
      <w:r>
        <w:t xml:space="preserve">- 2022: “AI high performers” are those attributing</w:t>
      </w:r>
      <w:r>
        <w:t xml:space="preserve"> </w:t>
      </w:r>
      <w:r>
        <w:rPr>
          <w:b/>
          <w:bCs/>
        </w:rPr>
        <w:t xml:space="preserve">20% or more of EBIT</w:t>
      </w:r>
      <w:r>
        <w:t xml:space="preserve"> </w:t>
      </w:r>
      <w:r>
        <w:t xml:space="preserve">to AI; ~8% of respondents fall in that group.</w:t>
      </w:r>
      <w:r>
        <w:t xml:space="preserve"> </w:t>
      </w:r>
      <w:hyperlink r:id="rId22">
        <w:r>
          <w:rPr>
            <w:rStyle w:val="Hyperlink"/>
          </w:rPr>
          <w:t xml:space="preserve">[6]</w:t>
        </w:r>
      </w:hyperlink>
      <w:r>
        <w:br/>
      </w:r>
      <w:r>
        <w:t xml:space="preserve">- 2025 (State of AI 2025 page): McKinsey defines “AI high performers” differently—EBIT impact of</w:t>
      </w:r>
      <w:r>
        <w:t xml:space="preserve"> </w:t>
      </w:r>
      <w:r>
        <w:rPr>
          <w:b/>
          <w:bCs/>
        </w:rPr>
        <w:t xml:space="preserve">5% or more</w:t>
      </w:r>
      <w:r>
        <w:t xml:space="preserve"> </w:t>
      </w:r>
      <w:r>
        <w:t xml:space="preserve">plus “significant value”—and says they represent about</w:t>
      </w:r>
      <w:r>
        <w:t xml:space="preserve"> </w:t>
      </w:r>
      <w:r>
        <w:rPr>
          <w:b/>
          <w:bCs/>
        </w:rPr>
        <w:t xml:space="preserve">6%</w:t>
      </w:r>
      <w:r>
        <w:t xml:space="preserve"> </w:t>
      </w:r>
      <w:r>
        <w:t xml:space="preserve">of respondents.</w:t>
      </w:r>
      <w:r>
        <w:t xml:space="preserve"> </w:t>
      </w:r>
      <w:hyperlink r:id="rId31">
        <w:r>
          <w:rPr>
            <w:rStyle w:val="Hyperlink"/>
          </w:rPr>
          <w:t xml:space="preserve">[13]</w:t>
        </w:r>
      </w:hyperlink>
    </w:p>
    <w:p>
      <w:pPr>
        <w:pStyle w:val="BodyText"/>
      </w:pPr>
      <w:r>
        <w:t xml:space="preserve">This is not a simple contradiction; it is a methodological change. But it undermines the apparent continuity of “leaders pulling ahead” as a stable empirical claim.</w:t>
      </w:r>
      <w:r>
        <w:t xml:space="preserve"> </w:t>
      </w:r>
      <w:hyperlink r:id="rId22">
        <w:r>
          <w:rPr>
            <w:rStyle w:val="Hyperlink"/>
          </w:rPr>
          <w:t xml:space="preserve">[14]</w:t>
        </w:r>
      </w:hyperlink>
    </w:p>
    <w:bookmarkEnd w:id="33"/>
    <w:bookmarkEnd w:id="34"/>
    <w:bookmarkStart w:id="43" w:name="X130b4f84142b841d0fb3d68a323e13ff65f9c49"/>
    <w:p>
      <w:pPr>
        <w:pStyle w:val="Heading2"/>
      </w:pPr>
      <w:r>
        <w:t xml:space="preserve">Value creation versus value capture: “deriving business value” meets “measurable value is hard”</w:t>
      </w:r>
    </w:p>
    <w:p>
      <w:pPr>
        <w:pStyle w:val="FirstParagraph"/>
      </w:pPr>
      <w:r>
        <w:t xml:space="preserve">McKinsey’s biggest internal narrative instability since 2022 is not whether AI matters, but</w:t>
      </w:r>
      <w:r>
        <w:t xml:space="preserve"> </w:t>
      </w:r>
      <w:r>
        <w:rPr>
          <w:b/>
          <w:bCs/>
        </w:rPr>
        <w:t xml:space="preserve">whether business value is already being realised</w:t>
      </w:r>
      <w:r>
        <w:t xml:space="preserve">, and at what level (use case, business unit, enterprise EBIT).</w:t>
      </w:r>
    </w:p>
    <w:bookmarkStart w:id="35" w:name="the-upbeat-2024-framing"/>
    <w:p>
      <w:pPr>
        <w:pStyle w:val="Heading3"/>
      </w:pPr>
      <w:r>
        <w:t xml:space="preserve">The upbeat 2024 framing</w:t>
      </w:r>
    </w:p>
    <w:p>
      <w:pPr>
        <w:pStyle w:val="FirstParagraph"/>
      </w:pPr>
      <w:r>
        <w:t xml:space="preserve">In the early‑2024 survey article, McKinsey explicitly positions 2024 as the year organisations began “using—and deriving business value” from gen AI, adding that organisations report “material benefits,” including cost decreases and revenue increases within deploying business units.</w:t>
      </w:r>
      <w:r>
        <w:t xml:space="preserve"> </w:t>
      </w:r>
      <w:hyperlink r:id="rId27">
        <w:r>
          <w:rPr>
            <w:rStyle w:val="Hyperlink"/>
          </w:rPr>
          <w:t xml:space="preserve">[7]</w:t>
        </w:r>
      </w:hyperlink>
    </w:p>
    <w:bookmarkEnd w:id="35"/>
    <w:bookmarkStart w:id="36" w:name="X6049158e57d8482e58220742dbad41db860cf14"/>
    <w:p>
      <w:pPr>
        <w:pStyle w:val="Heading3"/>
      </w:pPr>
      <w:r>
        <w:t xml:space="preserve">The simultaneous “reset” narrative: value is harder than expected</w:t>
      </w:r>
    </w:p>
    <w:p>
      <w:pPr>
        <w:pStyle w:val="FirstParagraph"/>
      </w:pPr>
      <w:r>
        <w:t xml:space="preserve">Just months earlier, a McKinsey Quarterly article called for a “generative AI reset,” arguing that 2023 enthusiasm was giving way to “second thoughts and recalibrations” as firms realised capturing gen AI’s value is</w:t>
      </w:r>
      <w:r>
        <w:t xml:space="preserve"> </w:t>
      </w:r>
      <w:r>
        <w:rPr>
          <w:b/>
          <w:bCs/>
        </w:rPr>
        <w:t xml:space="preserve">“harder than expected,”</w:t>
      </w:r>
      <w:r>
        <w:t xml:space="preserve"> </w:t>
      </w:r>
      <w:r>
        <w:t xml:space="preserve">and that payoff may require “deeper organisational surgery.”</w:t>
      </w:r>
      <w:r>
        <w:t xml:space="preserve"> </w:t>
      </w:r>
      <w:hyperlink r:id="rId24">
        <w:r>
          <w:rPr>
            <w:rStyle w:val="Hyperlink"/>
          </w:rPr>
          <w:t xml:space="preserve">[15]</w:t>
        </w:r>
      </w:hyperlink>
    </w:p>
    <w:p>
      <w:pPr>
        <w:pStyle w:val="BodyText"/>
      </w:pPr>
      <w:r>
        <w:t xml:space="preserve">By itself, this is not a contradiction—McKinsey can believe value exists and is hard to capture. However, its own phrasing oscillates between:</w:t>
      </w:r>
      <w:r>
        <w:t xml:space="preserve"> </w:t>
      </w:r>
      <w:r>
        <w:t xml:space="preserve">- “value is being derived now” (survey headline framing), and</w:t>
      </w:r>
      <w:r>
        <w:br/>
      </w:r>
      <w:r>
        <w:t xml:space="preserve">- “we may not get payoff unless we rewire the organisation” (reset framing).</w:t>
      </w:r>
      <w:r>
        <w:t xml:space="preserve"> </w:t>
      </w:r>
      <w:hyperlink r:id="rId27">
        <w:r>
          <w:rPr>
            <w:rStyle w:val="Hyperlink"/>
          </w:rPr>
          <w:t xml:space="preserve">[16]</w:t>
        </w:r>
      </w:hyperlink>
    </w:p>
    <w:bookmarkEnd w:id="36"/>
    <w:bookmarkStart w:id="38" w:name="X7ff0f875c78f327c3bb0b69bd86791ca98374f2"/>
    <w:p>
      <w:pPr>
        <w:pStyle w:val="Heading3"/>
      </w:pPr>
      <w:r>
        <w:t xml:space="preserve">The 2025 quantification sharpens the reversal: business units up, enterprise EBIT not</w:t>
      </w:r>
    </w:p>
    <w:p>
      <w:pPr>
        <w:pStyle w:val="FirstParagraph"/>
      </w:pPr>
      <w:r>
        <w:t xml:space="preserve">McKinsey’s March‑2025 survey report resolves the tension by separating</w:t>
      </w:r>
      <w:r>
        <w:t xml:space="preserve"> </w:t>
      </w:r>
      <w:r>
        <w:rPr>
          <w:b/>
          <w:bCs/>
        </w:rPr>
        <w:t xml:space="preserve">business-unit outcomes</w:t>
      </w:r>
      <w:r>
        <w:t xml:space="preserve"> </w:t>
      </w:r>
      <w:r>
        <w:t xml:space="preserve">from</w:t>
      </w:r>
      <w:r>
        <w:t xml:space="preserve"> </w:t>
      </w:r>
      <w:r>
        <w:rPr>
          <w:b/>
          <w:bCs/>
        </w:rPr>
        <w:t xml:space="preserve">enterprise-wide outcomes</w:t>
      </w:r>
      <w:r>
        <w:t xml:space="preserve">. It shows increasing reported revenue and cost effects in business units, but states that gen AI’s bottom-line impact is “not yet material at the enterprise-wide level”:</w:t>
      </w:r>
      <w:r>
        <w:t xml:space="preserve"> </w:t>
      </w:r>
      <w:r>
        <w:rPr>
          <w:b/>
          <w:bCs/>
        </w:rPr>
        <w:t xml:space="preserve">more than 80%</w:t>
      </w:r>
      <w:r>
        <w:t xml:space="preserve"> </w:t>
      </w:r>
      <w:r>
        <w:t xml:space="preserve">of respondents say there is no tangible impact on enterprise-level EBIT from gen AI.</w:t>
      </w:r>
      <w:r>
        <w:t xml:space="preserve"> </w:t>
      </w:r>
      <w:hyperlink r:id="rId37">
        <w:r>
          <w:rPr>
            <w:rStyle w:val="Hyperlink"/>
          </w:rPr>
          <w:t xml:space="preserve">[17]</w:t>
        </w:r>
      </w:hyperlink>
    </w:p>
    <w:p>
      <w:pPr>
        <w:pStyle w:val="BodyText"/>
      </w:pPr>
      <w:r>
        <w:t xml:space="preserve">This creates a genuine narrative pivot compared with the early‑2024 framing of “deriving business value,” unless the reader interprets “value” as use-case or business-unit-level rather than enterprise EBIT.</w:t>
      </w:r>
      <w:r>
        <w:t xml:space="preserve"> </w:t>
      </w:r>
      <w:hyperlink r:id="rId27">
        <w:r>
          <w:rPr>
            <w:rStyle w:val="Hyperlink"/>
          </w:rPr>
          <w:t xml:space="preserve">[18]</w:t>
        </w:r>
      </w:hyperlink>
    </w:p>
    <w:bookmarkEnd w:id="38"/>
    <w:bookmarkStart w:id="40" w:name="Xff4d23bd48a1b6468826850e6febbbdc6d6861c"/>
    <w:p>
      <w:pPr>
        <w:pStyle w:val="Heading3"/>
      </w:pPr>
      <w:r>
        <w:t xml:space="preserve">“Prototypes are easy; measurable value is not”: explicit 2025 scepticism</w:t>
      </w:r>
    </w:p>
    <w:p>
      <w:pPr>
        <w:pStyle w:val="FirstParagraph"/>
      </w:pPr>
      <w:r>
        <w:t xml:space="preserve">A 2025 McKinsey article titled “Beyond the Hype” makes the sceptical position explicit: “Building flashy AI prototypes is easy, but generating measurable business value is not.”</w:t>
      </w:r>
      <w:r>
        <w:t xml:space="preserve"> </w:t>
      </w:r>
      <w:hyperlink r:id="rId39">
        <w:r>
          <w:rPr>
            <w:rStyle w:val="Hyperlink"/>
          </w:rPr>
          <w:t xml:space="preserve">[19]</w:t>
        </w:r>
      </w:hyperlink>
    </w:p>
    <w:p>
      <w:pPr>
        <w:pStyle w:val="BodyText"/>
      </w:pPr>
      <w:r>
        <w:t xml:space="preserve">Taken together, McKinsey’s post‑2021 messaging contains an apparent contradiction that is best described as</w:t>
      </w:r>
      <w:r>
        <w:t xml:space="preserve"> </w:t>
      </w:r>
      <w:r>
        <w:rPr>
          <w:b/>
          <w:bCs/>
        </w:rPr>
        <w:t xml:space="preserve">shifting goalposts</w:t>
      </w:r>
      <w:r>
        <w:t xml:space="preserve">:</w:t>
      </w:r>
      <w:r>
        <w:t xml:space="preserve"> </w:t>
      </w:r>
      <w:r>
        <w:t xml:space="preserve">- 2024: emphasise rapid adoption and early business benefits.</w:t>
      </w:r>
      <w:r>
        <w:t xml:space="preserve"> </w:t>
      </w:r>
      <w:hyperlink r:id="rId27">
        <w:r>
          <w:rPr>
            <w:rStyle w:val="Hyperlink"/>
          </w:rPr>
          <w:t xml:space="preserve">[10]</w:t>
        </w:r>
      </w:hyperlink>
      <w:r>
        <w:br/>
      </w:r>
      <w:r>
        <w:t xml:space="preserve">- 2024–2025: emphasise rewiring, scale barriers, and weak enterprise‑level financial impact.</w:t>
      </w:r>
      <w:r>
        <w:t xml:space="preserve"> </w:t>
      </w:r>
      <w:hyperlink r:id="rId24">
        <w:r>
          <w:rPr>
            <w:rStyle w:val="Hyperlink"/>
          </w:rPr>
          <w:t xml:space="preserve">[20]</w:t>
        </w:r>
      </w:hyperlink>
    </w:p>
    <w:bookmarkEnd w:id="40"/>
    <w:bookmarkStart w:id="42" w:name="Xa77b156ef53bfd8db55499a4a74dff328f7ac19"/>
    <w:p>
      <w:pPr>
        <w:pStyle w:val="Heading3"/>
      </w:pPr>
      <w:r>
        <w:t xml:space="preserve">The “maturity paradox”: massive potential, unclear near-term returns</w:t>
      </w:r>
    </w:p>
    <w:p>
      <w:pPr>
        <w:pStyle w:val="FirstParagraph"/>
      </w:pPr>
      <w:r>
        <w:t xml:space="preserve">The 2025 workplace report makes this tension explicit: long-term opportunity is very large, but short-term returns are unclear, and only</w:t>
      </w:r>
      <w:r>
        <w:t xml:space="preserve"> </w:t>
      </w:r>
      <w:r>
        <w:rPr>
          <w:b/>
          <w:bCs/>
        </w:rPr>
        <w:t xml:space="preserve">1%</w:t>
      </w:r>
      <w:r>
        <w:t xml:space="preserve"> </w:t>
      </w:r>
      <w:r>
        <w:t xml:space="preserve">of leaders call their organisations “mature” in AI deployment.</w:t>
      </w:r>
      <w:r>
        <w:t xml:space="preserve"> </w:t>
      </w:r>
      <w:hyperlink r:id="rId41">
        <w:r>
          <w:rPr>
            <w:rStyle w:val="Hyperlink"/>
          </w:rPr>
          <w:t xml:space="preserve">[21]</w:t>
        </w:r>
      </w:hyperlink>
    </w:p>
    <w:p>
      <w:pPr>
        <w:pStyle w:val="BodyText"/>
      </w:pPr>
      <w:r>
        <w:t xml:space="preserve">This does not contradict “AI is valuable”; it contradicts any simplistic reading that “AI is already paying off broadly.” It also helps reconcile why McKinsey can simultaneously promote trillion‑dollar upside while warning of “pilot purgatory.”</w:t>
      </w:r>
      <w:r>
        <w:t xml:space="preserve"> </w:t>
      </w:r>
      <w:hyperlink r:id="rId41">
        <w:r>
          <w:rPr>
            <w:rStyle w:val="Hyperlink"/>
          </w:rPr>
          <w:t xml:space="preserve">[22]</w:t>
        </w:r>
      </w:hyperlink>
    </w:p>
    <w:bookmarkEnd w:id="42"/>
    <w:bookmarkEnd w:id="43"/>
    <w:bookmarkStart w:id="52" w:name="X0573642cf6456ef818b9ac97bf0ccfed7e83d8d"/>
    <w:p>
      <w:pPr>
        <w:pStyle w:val="Heading2"/>
      </w:pPr>
      <w:r>
        <w:t xml:space="preserve">Workforce disruption: automation potential versus headcount expectations</w:t>
      </w:r>
    </w:p>
    <w:p>
      <w:pPr>
        <w:pStyle w:val="FirstParagraph"/>
      </w:pPr>
      <w:r>
        <w:t xml:space="preserve">Workforce impact is the second largest area where McKinsey’s claims can look contradictory over time—particularly when articles blur distinctions between</w:t>
      </w:r>
      <w:r>
        <w:t xml:space="preserve"> </w:t>
      </w:r>
      <w:r>
        <w:rPr>
          <w:b/>
          <w:bCs/>
        </w:rPr>
        <w:t xml:space="preserve">technical automation potential</w:t>
      </w:r>
      <w:r>
        <w:t xml:space="preserve">,</w:t>
      </w:r>
      <w:r>
        <w:t xml:space="preserve"> </w:t>
      </w:r>
      <w:r>
        <w:rPr>
          <w:b/>
          <w:bCs/>
        </w:rPr>
        <w:t xml:space="preserve">adoption timelines</w:t>
      </w:r>
      <w:r>
        <w:t xml:space="preserve">, and</w:t>
      </w:r>
      <w:r>
        <w:t xml:space="preserve"> </w:t>
      </w:r>
      <w:r>
        <w:rPr>
          <w:b/>
          <w:bCs/>
        </w:rPr>
        <w:t xml:space="preserve">actual headcount change</w:t>
      </w:r>
      <w:r>
        <w:t xml:space="preserve">.</w:t>
      </w:r>
    </w:p>
    <w:bookmarkStart w:id="44" w:name="Xa69a8a707bf1f8d6cbf53b0f58c9c3be0d4b15a"/>
    <w:p>
      <w:pPr>
        <w:pStyle w:val="Heading3"/>
      </w:pPr>
      <w:r>
        <w:t xml:space="preserve">The 2023 step change: bigger automation potential and faster timelines</w:t>
      </w:r>
    </w:p>
    <w:p>
      <w:pPr>
        <w:pStyle w:val="FirstParagraph"/>
      </w:pPr>
      <w:r>
        <w:t xml:space="preserve">MGI’s June‑2023 generative‑AI report argues that (with generative AI plus other technologies) automation potential rises meaningfully:</w:t>
      </w:r>
      <w:r>
        <w:t xml:space="preserve"> </w:t>
      </w:r>
      <w:r>
        <w:t xml:space="preserve">- “Current generative AI and other technologies” could automate activities absorbing</w:t>
      </w:r>
      <w:r>
        <w:t xml:space="preserve"> </w:t>
      </w:r>
      <w:r>
        <w:rPr>
          <w:b/>
          <w:bCs/>
        </w:rPr>
        <w:t xml:space="preserve">60–70%</w:t>
      </w:r>
      <w:r>
        <w:t xml:space="preserve"> </w:t>
      </w:r>
      <w:r>
        <w:t xml:space="preserve">of employees’ time.</w:t>
      </w:r>
      <w:r>
        <w:t xml:space="preserve"> </w:t>
      </w:r>
      <w:hyperlink r:id="rId23">
        <w:r>
          <w:rPr>
            <w:rStyle w:val="Hyperlink"/>
          </w:rPr>
          <w:t xml:space="preserve">[23]</w:t>
        </w:r>
      </w:hyperlink>
      <w:r>
        <w:br/>
      </w:r>
      <w:r>
        <w:t xml:space="preserve">- It estimates that</w:t>
      </w:r>
      <w:r>
        <w:t xml:space="preserve"> </w:t>
      </w:r>
      <w:r>
        <w:rPr>
          <w:b/>
          <w:bCs/>
        </w:rPr>
        <w:t xml:space="preserve">half of today’s work activities</w:t>
      </w:r>
      <w:r>
        <w:t xml:space="preserve"> </w:t>
      </w:r>
      <w:r>
        <w:t xml:space="preserve">could be automated between</w:t>
      </w:r>
      <w:r>
        <w:t xml:space="preserve"> </w:t>
      </w:r>
      <w:r>
        <w:rPr>
          <w:b/>
          <w:bCs/>
        </w:rPr>
        <w:t xml:space="preserve">2030 and 2060</w:t>
      </w:r>
      <w:r>
        <w:t xml:space="preserve">, with a midpoint of</w:t>
      </w:r>
      <w:r>
        <w:t xml:space="preserve"> </w:t>
      </w:r>
      <w:r>
        <w:rPr>
          <w:b/>
          <w:bCs/>
        </w:rPr>
        <w:t xml:space="preserve">2045</w:t>
      </w:r>
      <w:r>
        <w:t xml:space="preserve">, about a decade earlier than its prior estimates.</w:t>
      </w:r>
      <w:r>
        <w:t xml:space="preserve"> </w:t>
      </w:r>
      <w:hyperlink r:id="rId23">
        <w:r>
          <w:rPr>
            <w:rStyle w:val="Hyperlink"/>
          </w:rPr>
          <w:t xml:space="preserve">[24]</w:t>
        </w:r>
      </w:hyperlink>
    </w:p>
    <w:p>
      <w:pPr>
        <w:pStyle w:val="BodyText"/>
      </w:pPr>
      <w:r>
        <w:t xml:space="preserve">These are strong statements, and they reasonably feed an expectation of large workforce disruption.</w:t>
      </w:r>
      <w:r>
        <w:t xml:space="preserve"> </w:t>
      </w:r>
      <w:hyperlink r:id="rId23">
        <w:r>
          <w:rPr>
            <w:rStyle w:val="Hyperlink"/>
          </w:rPr>
          <w:t xml:space="preserve">[25]</w:t>
        </w:r>
      </w:hyperlink>
    </w:p>
    <w:bookmarkEnd w:id="44"/>
    <w:bookmarkStart w:id="46" w:name="Xb89eebf8c1e756abde39c6d049b652532f320a8"/>
    <w:p>
      <w:pPr>
        <w:pStyle w:val="Heading3"/>
      </w:pPr>
      <w:r>
        <w:t xml:space="preserve">The 2023 survey tone: “substantial” workforce effects expected</w:t>
      </w:r>
    </w:p>
    <w:p>
      <w:pPr>
        <w:pStyle w:val="FirstParagraph"/>
      </w:pPr>
      <w:r>
        <w:t xml:space="preserve">McKinsey’s 2023 State of AI survey describes respondents anticipating workforce cuts in some areas and “large reskilling efforts,” with workforce effects expected to be substantial.</w:t>
      </w:r>
      <w:r>
        <w:t xml:space="preserve"> </w:t>
      </w:r>
      <w:hyperlink r:id="rId45">
        <w:r>
          <w:rPr>
            <w:rStyle w:val="Hyperlink"/>
          </w:rPr>
          <w:t xml:space="preserve">[26]</w:t>
        </w:r>
      </w:hyperlink>
    </w:p>
    <w:bookmarkEnd w:id="46"/>
    <w:bookmarkStart w:id="47" w:name="Xe0755b00551d96c42622d4640dc0138f5cc6007"/>
    <w:p>
      <w:pPr>
        <w:pStyle w:val="Heading3"/>
      </w:pPr>
      <w:r>
        <w:t xml:space="preserve">The 2024 survey twist: displacement becomes a less salient “risk”</w:t>
      </w:r>
    </w:p>
    <w:p>
      <w:pPr>
        <w:pStyle w:val="FirstParagraph"/>
      </w:pPr>
      <w:r>
        <w:t xml:space="preserve">A notable narrative swerve appears in the early‑2024 survey article: respondents are “less likely” than the prior year to view workforce/labour displacement as relevant risk, and are not increasing efforts to mitigate it.</w:t>
      </w:r>
      <w:r>
        <w:t xml:space="preserve"> </w:t>
      </w:r>
      <w:hyperlink r:id="rId27">
        <w:r>
          <w:rPr>
            <w:rStyle w:val="Hyperlink"/>
          </w:rPr>
          <w:t xml:space="preserve">[10]</w:t>
        </w:r>
      </w:hyperlink>
    </w:p>
    <w:p>
      <w:pPr>
        <w:pStyle w:val="BodyText"/>
      </w:pPr>
      <w:r>
        <w:t xml:space="preserve">For a reader, this can look like McKinsey simultaneously saying:</w:t>
      </w:r>
      <w:r>
        <w:t xml:space="preserve"> </w:t>
      </w:r>
      <w:r>
        <w:t xml:space="preserve">- “automation potential has jumped; workforce transformation accelerates” (MGI), while</w:t>
      </w:r>
      <w:r>
        <w:br/>
      </w:r>
      <w:r>
        <w:t xml:space="preserve">- “organisations are less worried about displacement” (survey).</w:t>
      </w:r>
      <w:r>
        <w:t xml:space="preserve"> </w:t>
      </w:r>
      <w:hyperlink r:id="rId23">
        <w:r>
          <w:rPr>
            <w:rStyle w:val="Hyperlink"/>
          </w:rPr>
          <w:t xml:space="preserve">[27]</w:t>
        </w:r>
      </w:hyperlink>
    </w:p>
    <w:p>
      <w:pPr>
        <w:pStyle w:val="BodyText"/>
      </w:pPr>
      <w:r>
        <w:t xml:space="preserve">The reconciliation is that these are different constructs: MGI is modelling technical potential and adoption scenarios; the survey reports organisational perception and governance focus in the moment. But the juxtaposition can still register as internal inconsistency in how seriously displacement is framed as a risk.</w:t>
      </w:r>
      <w:r>
        <w:t xml:space="preserve"> </w:t>
      </w:r>
      <w:hyperlink r:id="rId23">
        <w:r>
          <w:rPr>
            <w:rStyle w:val="Hyperlink"/>
          </w:rPr>
          <w:t xml:space="preserve">[27]</w:t>
        </w:r>
      </w:hyperlink>
    </w:p>
    <w:bookmarkEnd w:id="47"/>
    <w:bookmarkStart w:id="49" w:name="Xdc54c657bb8306a14c6f87e8b1e8c972c12182a"/>
    <w:p>
      <w:pPr>
        <w:pStyle w:val="Heading3"/>
      </w:pPr>
      <w:r>
        <w:t xml:space="preserve">The 2025 position: significant task change, but muted headcount change expectations</w:t>
      </w:r>
    </w:p>
    <w:p>
      <w:pPr>
        <w:pStyle w:val="FirstParagraph"/>
      </w:pPr>
      <w:r>
        <w:t xml:space="preserve">By March 2025, McKinsey’s survey reporting becomes more nuanced: a plurality (</w:t>
      </w:r>
      <w:r>
        <w:rPr>
          <w:b/>
          <w:bCs/>
        </w:rPr>
        <w:t xml:space="preserve">38%</w:t>
      </w:r>
      <w:r>
        <w:t xml:space="preserve">) predict gen AI will have little effect on workforce size over three years, even while it notes reductions are linked to bottom‑line value for some firms.</w:t>
      </w:r>
      <w:r>
        <w:t xml:space="preserve"> </w:t>
      </w:r>
      <w:hyperlink r:id="rId48">
        <w:r>
          <w:rPr>
            <w:rStyle w:val="Hyperlink"/>
          </w:rPr>
          <w:t xml:space="preserve">[28]</w:t>
        </w:r>
      </w:hyperlink>
    </w:p>
    <w:p>
      <w:pPr>
        <w:pStyle w:val="BodyText"/>
      </w:pPr>
      <w:r>
        <w:t xml:space="preserve">At first glance, this can look like a downgrade from the 2023 “substantial effects” framing.</w:t>
      </w:r>
      <w:r>
        <w:t xml:space="preserve"> </w:t>
      </w:r>
      <w:hyperlink r:id="rId45">
        <w:r>
          <w:rPr>
            <w:rStyle w:val="Hyperlink"/>
          </w:rPr>
          <w:t xml:space="preserve">[29]</w:t>
        </w:r>
      </w:hyperlink>
    </w:p>
    <w:bookmarkEnd w:id="49"/>
    <w:bookmarkStart w:id="51" w:name="X9f291049313de8222c004d4c53ff4f3b2947643"/>
    <w:p>
      <w:pPr>
        <w:pStyle w:val="Heading3"/>
      </w:pPr>
      <w:r>
        <w:t xml:space="preserve">Late‑2025 MGI clarification: tasks can be automatable without jobs disappearing</w:t>
      </w:r>
    </w:p>
    <w:p>
      <w:pPr>
        <w:pStyle w:val="FirstParagraph"/>
      </w:pPr>
      <w:r>
        <w:t xml:space="preserve">MGI’s 2025 report on agents and work explicitly tries to prevent misinterpretation: it argues today’s technologies could theoretically automate</w:t>
      </w:r>
      <w:r>
        <w:t xml:space="preserve"> </w:t>
      </w:r>
      <w:r>
        <w:rPr>
          <w:b/>
          <w:bCs/>
        </w:rPr>
        <w:t xml:space="preserve">more than half</w:t>
      </w:r>
      <w:r>
        <w:t xml:space="preserve"> </w:t>
      </w:r>
      <w:r>
        <w:t xml:space="preserve">of US work hours, but this is “not a forecast of job losses”; adoption takes time and roles evolve.</w:t>
      </w:r>
      <w:r>
        <w:t xml:space="preserve"> </w:t>
      </w:r>
      <w:hyperlink r:id="rId50">
        <w:r>
          <w:rPr>
            <w:rStyle w:val="Hyperlink"/>
          </w:rPr>
          <w:t xml:space="preserve">[30]</w:t>
        </w:r>
      </w:hyperlink>
    </w:p>
    <w:p>
      <w:pPr>
        <w:pStyle w:val="BodyText"/>
      </w:pPr>
      <w:r>
        <w:t xml:space="preserve">This 2025 clarification (tasks ≠ jobs; adoption takes time) is consistent with MGI’s long-standing framing, but it is also a response to public and corporate anxiety that surged after the release of consumer-facing gen AI systems in late 2022 and 2023.</w:t>
      </w:r>
      <w:r>
        <w:t xml:space="preserve"> </w:t>
      </w:r>
      <w:hyperlink r:id="rId50">
        <w:r>
          <w:rPr>
            <w:rStyle w:val="Hyperlink"/>
          </w:rPr>
          <w:t xml:space="preserve">[31]</w:t>
        </w:r>
      </w:hyperlink>
    </w:p>
    <w:bookmarkEnd w:id="51"/>
    <w:bookmarkEnd w:id="52"/>
    <w:bookmarkStart w:id="59" w:name="X8f5449074dd3a5430e481b3a8a341d5e98f8840"/>
    <w:p>
      <w:pPr>
        <w:pStyle w:val="Heading2"/>
      </w:pPr>
      <w:r>
        <w:t xml:space="preserve">Risk, governance, and trust: “no progress” turns into “mitigation is rising”</w:t>
      </w:r>
    </w:p>
    <w:p>
      <w:pPr>
        <w:pStyle w:val="FirstParagraph"/>
      </w:pPr>
      <w:r>
        <w:t xml:space="preserve">Another area where McKinsey appears to pivot is its depiction of organisational risk mitigation: from stagnation (2019–2022) to selective improvement (2024 onward).</w:t>
      </w:r>
    </w:p>
    <w:bookmarkStart w:id="53" w:name="risk-mitigation-concerningly-consistent"/>
    <w:p>
      <w:pPr>
        <w:pStyle w:val="Heading3"/>
      </w:pPr>
      <w:r>
        <w:t xml:space="preserve">2022: risk mitigation “concerningly consistent”</w:t>
      </w:r>
    </w:p>
    <w:p>
      <w:pPr>
        <w:pStyle w:val="FirstParagraph"/>
      </w:pPr>
      <w:r>
        <w:t xml:space="preserve">In the 2022 State of AI survey, McKinsey reports that while AI use increased, there were “no substantial increases” in mitigation of any AI-related risks from 2019 to 2022.</w:t>
      </w:r>
      <w:r>
        <w:t xml:space="preserve"> </w:t>
      </w:r>
      <w:hyperlink r:id="rId22">
        <w:r>
          <w:rPr>
            <w:rStyle w:val="Hyperlink"/>
          </w:rPr>
          <w:t xml:space="preserve">[32]</w:t>
        </w:r>
      </w:hyperlink>
    </w:p>
    <w:bookmarkEnd w:id="53"/>
    <w:bookmarkStart w:id="54" w:name="genai-risk-management-is-early-days"/>
    <w:p>
      <w:pPr>
        <w:pStyle w:val="Heading3"/>
      </w:pPr>
      <w:r>
        <w:t xml:space="preserve">2023: gen‑AI risk management is “early days”</w:t>
      </w:r>
    </w:p>
    <w:p>
      <w:pPr>
        <w:pStyle w:val="FirstParagraph"/>
      </w:pPr>
      <w:r>
        <w:t xml:space="preserve">In 2023, the State of AI survey says organisations are still in early days managing gen‑AI risks, with less than half mitigating the risk they consider most relevant (inaccuracy).</w:t>
      </w:r>
      <w:r>
        <w:t xml:space="preserve"> </w:t>
      </w:r>
      <w:hyperlink r:id="rId45">
        <w:r>
          <w:rPr>
            <w:rStyle w:val="Hyperlink"/>
          </w:rPr>
          <w:t xml:space="preserve">[26]</w:t>
        </w:r>
      </w:hyperlink>
    </w:p>
    <w:bookmarkEnd w:id="54"/>
    <w:bookmarkStart w:id="55" w:name="the-first-real-improvement-is-narrow"/>
    <w:p>
      <w:pPr>
        <w:pStyle w:val="Heading3"/>
      </w:pPr>
      <w:r>
        <w:t xml:space="preserve">2024: the first “real” improvement is narrow</w:t>
      </w:r>
    </w:p>
    <w:p>
      <w:pPr>
        <w:pStyle w:val="FirstParagraph"/>
      </w:pPr>
      <w:r>
        <w:t xml:space="preserve">In early‑2024, McKinsey reports “increased mitigation of the risk of inaccuracy” and, crucially, says inaccuracy is the only risk respondents are significantly more likely than the previous year to be actively mitigating.</w:t>
      </w:r>
      <w:r>
        <w:t xml:space="preserve"> </w:t>
      </w:r>
      <w:hyperlink r:id="rId27">
        <w:r>
          <w:rPr>
            <w:rStyle w:val="Hyperlink"/>
          </w:rPr>
          <w:t xml:space="preserve">[10]</w:t>
        </w:r>
      </w:hyperlink>
    </w:p>
    <w:p>
      <w:pPr>
        <w:pStyle w:val="BodyText"/>
      </w:pPr>
      <w:r>
        <w:t xml:space="preserve">This is a meaningful internal shift: from “no substantial increases” (2019–2022) to “mitigation increased”—but predominantly for one risk category, likely because gen‑AI “hallucinations” made inaccuracy highly visible.</w:t>
      </w:r>
      <w:r>
        <w:t xml:space="preserve"> </w:t>
      </w:r>
      <w:hyperlink r:id="rId22">
        <w:r>
          <w:rPr>
            <w:rStyle w:val="Hyperlink"/>
          </w:rPr>
          <w:t xml:space="preserve">[33]</w:t>
        </w:r>
      </w:hyperlink>
    </w:p>
    <w:bookmarkEnd w:id="55"/>
    <w:bookmarkStart w:id="56" w:name="X562a12d371aaebb8da5795f9f2b0ea5e8560237"/>
    <w:p>
      <w:pPr>
        <w:pStyle w:val="Heading3"/>
      </w:pPr>
      <w:r>
        <w:t xml:space="preserve">2025: mitigation expands, but deep quality controls remain uneven</w:t>
      </w:r>
    </w:p>
    <w:p>
      <w:pPr>
        <w:pStyle w:val="FirstParagraph"/>
      </w:pPr>
      <w:r>
        <w:t xml:space="preserve">By March 2025, McKinsey reports organisations are more likely than early‑2024 to be actively managing inaccuracy, cybersecurity, and IP risks.</w:t>
      </w:r>
      <w:r>
        <w:t xml:space="preserve"> </w:t>
      </w:r>
      <w:hyperlink r:id="rId48">
        <w:r>
          <w:rPr>
            <w:rStyle w:val="Hyperlink"/>
          </w:rPr>
          <w:t xml:space="preserve">[34]</w:t>
        </w:r>
      </w:hyperlink>
      <w:r>
        <w:br/>
      </w:r>
      <w:r>
        <w:t xml:space="preserve">However, even within the same McKinsey report, there is a complicating detail: larger organisations mitigate more risks in general, but are “not any more likely” than others to address risks relating to accuracy or explainability.</w:t>
      </w:r>
      <w:r>
        <w:t xml:space="preserve"> </w:t>
      </w:r>
      <w:hyperlink r:id="rId48">
        <w:r>
          <w:rPr>
            <w:rStyle w:val="Hyperlink"/>
          </w:rPr>
          <w:t xml:space="preserve">[34]</w:t>
        </w:r>
      </w:hyperlink>
    </w:p>
    <w:p>
      <w:pPr>
        <w:pStyle w:val="BodyText"/>
      </w:pPr>
      <w:r>
        <w:t xml:space="preserve">This is not a contradiction so much as internal evidence of uneven governance maturity—yet it can read as mixed messaging if one combines “mitigating more risks” with limited progress on core model-quality risks.</w:t>
      </w:r>
      <w:r>
        <w:t xml:space="preserve"> </w:t>
      </w:r>
      <w:hyperlink r:id="rId48">
        <w:r>
          <w:rPr>
            <w:rStyle w:val="Hyperlink"/>
          </w:rPr>
          <w:t xml:space="preserve">[35]</w:t>
        </w:r>
      </w:hyperlink>
    </w:p>
    <w:bookmarkEnd w:id="56"/>
    <w:bookmarkStart w:id="58" w:name="Xef15d5e440352861fcc2609ec2f7a159a45d9d9"/>
    <w:p>
      <w:pPr>
        <w:pStyle w:val="Heading3"/>
      </w:pPr>
      <w:r>
        <w:t xml:space="preserve">Trust joins the centre of gravity by 2026</w:t>
      </w:r>
    </w:p>
    <w:p>
      <w:pPr>
        <w:pStyle w:val="FirstParagraph"/>
      </w:pPr>
      <w:r>
        <w:t xml:space="preserve">By 2026, McKinsey interviews with industry leaders emphasise that adoption has outpaced trust and that this trust gap shapes scaling.</w:t>
      </w:r>
      <w:r>
        <w:t xml:space="preserve"> </w:t>
      </w:r>
      <w:hyperlink r:id="rId57">
        <w:r>
          <w:rPr>
            <w:rStyle w:val="Hyperlink"/>
          </w:rPr>
          <w:t xml:space="preserve">[36]</w:t>
        </w:r>
      </w:hyperlink>
      <w:r>
        <w:br/>
      </w:r>
      <w:r>
        <w:t xml:space="preserve">This provides a through-line connecting earlier “risk mitigation lagging” claims with later “value at scale is difficult” claims: governance, validation, and knowledge quality become the bottleneck rather than raw model capability.</w:t>
      </w:r>
      <w:r>
        <w:t xml:space="preserve"> </w:t>
      </w:r>
      <w:hyperlink r:id="rId57">
        <w:r>
          <w:rPr>
            <w:rStyle w:val="Hyperlink"/>
          </w:rPr>
          <w:t xml:space="preserve">[37]</w:t>
        </w:r>
      </w:hyperlink>
    </w:p>
    <w:bookmarkEnd w:id="58"/>
    <w:bookmarkEnd w:id="59"/>
    <w:bookmarkStart w:id="65" w:name="X1792058afc2f2ccab9acca1e0391eb9b67530c3"/>
    <w:p>
      <w:pPr>
        <w:pStyle w:val="Heading2"/>
      </w:pPr>
      <w:r>
        <w:t xml:space="preserve">Synthesis: which “contradictions” are real, and which are artefacts of shifting lenses</w:t>
      </w:r>
    </w:p>
    <w:p>
      <w:pPr>
        <w:pStyle w:val="FirstParagraph"/>
      </w:pPr>
      <w:r>
        <w:t xml:space="preserve">Across post‑2021 McKinsey writing on AI, the strongest “contradictions” are usually not a later article flatly refuting an earlier one. They are more often caused by McKinsey switching among at least four lenses—sometimes without making the switch explicit:</w:t>
      </w:r>
    </w:p>
    <w:bookmarkStart w:id="60" w:name="X96686e50c2d6c6ba4c414836c7ed4cb460fb51e"/>
    <w:p>
      <w:pPr>
        <w:pStyle w:val="Heading3"/>
      </w:pPr>
      <w:r>
        <w:t xml:space="preserve">The four-lens model that explains most apparent contradictions</w:t>
      </w:r>
    </w:p>
    <w:p>
      <w:pPr>
        <w:pStyle w:val="FirstParagraph"/>
      </w:pPr>
      <w:r>
        <w:rPr>
          <w:b/>
          <w:bCs/>
        </w:rPr>
        <w:t xml:space="preserve">Lens one: Adoption signals (survey self-report)</w:t>
      </w:r>
      <w:r>
        <w:t xml:space="preserve"> </w:t>
      </w:r>
      <w:r>
        <w:t xml:space="preserve">- Reported “regular use” can jump quickly because it includes everything from limited functional deployment to deeper integration; McKinsey sometimes leaves “adopted” undefined and notes that AI use spans early experimentation to redesigned processes.</w:t>
      </w:r>
      <w:r>
        <w:t xml:space="preserve"> </w:t>
      </w:r>
      <w:hyperlink r:id="rId48">
        <w:r>
          <w:rPr>
            <w:rStyle w:val="Hyperlink"/>
          </w:rPr>
          <w:t xml:space="preserve">[38]</w:t>
        </w:r>
      </w:hyperlink>
    </w:p>
    <w:p>
      <w:pPr>
        <w:pStyle w:val="BodyText"/>
      </w:pPr>
      <w:r>
        <w:rPr>
          <w:b/>
          <w:bCs/>
        </w:rPr>
        <w:t xml:space="preserve">Lens two: Scale/maturity (operating model and integration)</w:t>
      </w:r>
      <w:r>
        <w:t xml:space="preserve"> </w:t>
      </w:r>
      <w:r>
        <w:t xml:space="preserve">- Separate pieces emphasise that “getting to scale” is a different problem from experimenting, and they cite low “at scale” usage (for example, 11%).</w:t>
      </w:r>
      <w:r>
        <w:t xml:space="preserve"> </w:t>
      </w:r>
      <w:hyperlink r:id="rId30">
        <w:r>
          <w:rPr>
            <w:rStyle w:val="Hyperlink"/>
          </w:rPr>
          <w:t xml:space="preserve">[39]</w:t>
        </w:r>
      </w:hyperlink>
    </w:p>
    <w:p>
      <w:pPr>
        <w:pStyle w:val="BodyText"/>
      </w:pPr>
      <w:r>
        <w:rPr>
          <w:b/>
          <w:bCs/>
        </w:rPr>
        <w:t xml:space="preserve">Lens three: Value potential (technical + economic modelling)</w:t>
      </w:r>
      <w:r>
        <w:t xml:space="preserve"> </w:t>
      </w:r>
      <w:r>
        <w:t xml:space="preserve">- MGI estimates large value ranges (for example, $2.6–$4.4 trillion across 63 use cases; $6.1–$7.9 trillion when adding broader productivity effects) and higher automation potential.</w:t>
      </w:r>
      <w:r>
        <w:t xml:space="preserve"> </w:t>
      </w:r>
      <w:hyperlink r:id="rId23">
        <w:r>
          <w:rPr>
            <w:rStyle w:val="Hyperlink"/>
          </w:rPr>
          <w:t xml:space="preserve">[40]</w:t>
        </w:r>
      </w:hyperlink>
    </w:p>
    <w:p>
      <w:pPr>
        <w:pStyle w:val="BodyText"/>
      </w:pPr>
      <w:r>
        <w:rPr>
          <w:b/>
          <w:bCs/>
        </w:rPr>
        <w:t xml:space="preserve">Lens four: Realised enterprise financial impact</w:t>
      </w:r>
      <w:r>
        <w:t xml:space="preserve"> </w:t>
      </w:r>
      <w:r>
        <w:t xml:space="preserve">- Surveys repeatedly show that enterprise-wide EBIT impact is still limited for most respondents; in one McKinsey survey report, more than 80% report no tangible enterprise-level EBIT impact from gen AI.</w:t>
      </w:r>
      <w:r>
        <w:t xml:space="preserve"> </w:t>
      </w:r>
      <w:hyperlink r:id="rId37">
        <w:r>
          <w:rPr>
            <w:rStyle w:val="Hyperlink"/>
          </w:rPr>
          <w:t xml:space="preserve">[41]</w:t>
        </w:r>
      </w:hyperlink>
    </w:p>
    <w:p>
      <w:pPr>
        <w:pStyle w:val="BodyText"/>
      </w:pPr>
      <w:r>
        <w:t xml:space="preserve">McKinsey frequently moves between these lenses across different articles; that movement is the main mechanism by which readers experience “contradiction.”</w:t>
      </w:r>
      <w:r>
        <w:t xml:space="preserve"> </w:t>
      </w:r>
      <w:hyperlink r:id="rId27">
        <w:r>
          <w:rPr>
            <w:rStyle w:val="Hyperlink"/>
          </w:rPr>
          <w:t xml:space="preserve">[42]</w:t>
        </w:r>
      </w:hyperlink>
    </w:p>
    <w:bookmarkEnd w:id="60"/>
    <w:bookmarkStart w:id="62" w:name="Xbc72d47589225966a2439c4a1806fd969749c8c"/>
    <w:p>
      <w:pPr>
        <w:pStyle w:val="Heading3"/>
      </w:pPr>
      <w:r>
        <w:t xml:space="preserve">The real pivots, not just definitional artefacts</w:t>
      </w:r>
    </w:p>
    <w:p>
      <w:pPr>
        <w:pStyle w:val="FirstParagraph"/>
      </w:pPr>
      <w:r>
        <w:t xml:space="preserve">A smaller number of changes look like genuine reversals in emphasis:</w:t>
      </w:r>
    </w:p>
    <w:p>
      <w:pPr>
        <w:pStyle w:val="BodyText"/>
      </w:pPr>
      <w:r>
        <w:rPr>
          <w:b/>
          <w:bCs/>
        </w:rPr>
        <w:t xml:space="preserve">Risk posture moved from stagnation to selective acceleration</w:t>
      </w:r>
      <w:r>
        <w:t xml:space="preserve"> </w:t>
      </w:r>
      <w:r>
        <w:t xml:space="preserve">- 2019–2022: “no substantial increases” in risk mitigation.</w:t>
      </w:r>
      <w:r>
        <w:t xml:space="preserve"> </w:t>
      </w:r>
      <w:hyperlink r:id="rId22">
        <w:r>
          <w:rPr>
            <w:rStyle w:val="Hyperlink"/>
          </w:rPr>
          <w:t xml:space="preserve">[32]</w:t>
        </w:r>
      </w:hyperlink>
      <w:r>
        <w:br/>
      </w:r>
      <w:r>
        <w:t xml:space="preserve">- 2024 onwards: increased mitigation is visible, but initially concentrated on inaccuracy and later expanding.</w:t>
      </w:r>
      <w:r>
        <w:t xml:space="preserve"> </w:t>
      </w:r>
      <w:hyperlink r:id="rId27">
        <w:r>
          <w:rPr>
            <w:rStyle w:val="Hyperlink"/>
          </w:rPr>
          <w:t xml:space="preserve">[43]</w:t>
        </w:r>
      </w:hyperlink>
    </w:p>
    <w:p>
      <w:pPr>
        <w:pStyle w:val="BodyText"/>
      </w:pPr>
      <w:r>
        <w:rPr>
          <w:b/>
          <w:bCs/>
        </w:rPr>
        <w:t xml:space="preserve">The “value now” framing was moderated by “value at enterprise level is rare”</w:t>
      </w:r>
      <w:r>
        <w:t xml:space="preserve"> </w:t>
      </w:r>
      <w:r>
        <w:t xml:space="preserve">- 2024: “deriving business value” and “material benefits” framing.</w:t>
      </w:r>
      <w:r>
        <w:t xml:space="preserve"> </w:t>
      </w:r>
      <w:hyperlink r:id="rId27">
        <w:r>
          <w:rPr>
            <w:rStyle w:val="Hyperlink"/>
          </w:rPr>
          <w:t xml:space="preserve">[10]</w:t>
        </w:r>
      </w:hyperlink>
      <w:r>
        <w:br/>
      </w:r>
      <w:r>
        <w:t xml:space="preserve">- 2025: sharper distinction between business-unit benefits and limited enterprise EBIT impact.</w:t>
      </w:r>
      <w:r>
        <w:t xml:space="preserve"> </w:t>
      </w:r>
      <w:hyperlink r:id="rId37">
        <w:r>
          <w:rPr>
            <w:rStyle w:val="Hyperlink"/>
          </w:rPr>
          <w:t xml:space="preserve">[41]</w:t>
        </w:r>
      </w:hyperlink>
    </w:p>
    <w:p>
      <w:pPr>
        <w:pStyle w:val="BodyText"/>
      </w:pPr>
      <w:r>
        <w:t xml:space="preserve">These pivots align with changes in the external environment that McKinsey itself references, including the consumer shock of ChatGPT’s release and rapid model capability improvements.</w:t>
      </w:r>
      <w:r>
        <w:t xml:space="preserve"> </w:t>
      </w:r>
      <w:hyperlink r:id="rId61">
        <w:r>
          <w:rPr>
            <w:rStyle w:val="Hyperlink"/>
          </w:rPr>
          <w:t xml:space="preserve">[44]</w:t>
        </w:r>
      </w:hyperlink>
    </w:p>
    <w:bookmarkEnd w:id="62"/>
    <w:bookmarkStart w:id="63" w:name="Xa54348ca583398177f0a6183359c584b734f332"/>
    <w:p>
      <w:pPr>
        <w:pStyle w:val="Heading3"/>
      </w:pPr>
      <w:r>
        <w:t xml:space="preserve">A concise map of the most salient contradiction pairs in McKinsey’s post‑2021 AI writing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“A” claim (McKinsey)</w:t>
            </w:r>
          </w:p>
        </w:tc>
        <w:tc>
          <w:tcPr/>
          <w:p>
            <w:pPr>
              <w:pStyle w:val="Compact"/>
            </w:pPr>
            <w:r>
              <w:t xml:space="preserve">“B” claim (McKinsey)</w:t>
            </w:r>
          </w:p>
        </w:tc>
        <w:tc>
          <w:tcPr/>
          <w:p>
            <w:pPr>
              <w:pStyle w:val="Compact"/>
            </w:pPr>
            <w:r>
              <w:t xml:space="preserve">Why readers experience contradiction</w:t>
            </w:r>
          </w:p>
        </w:tc>
      </w:tr>
      <w:tr>
        <w:tc>
          <w:tcPr/>
          <w:p>
            <w:pPr>
              <w:pStyle w:val="Compact"/>
            </w:pPr>
            <w:r>
              <w:t xml:space="preserve">Gen‑AI uptake</w:t>
            </w:r>
          </w:p>
        </w:tc>
        <w:tc>
          <w:tcPr/>
          <w:p>
            <w:pPr>
              <w:pStyle w:val="Compact"/>
            </w:pPr>
            <w:r>
              <w:t xml:space="preserve">65% “regularly using gen AI”.</w:t>
            </w:r>
            <w:r>
              <w:t xml:space="preserve"> </w:t>
            </w:r>
            <w:hyperlink r:id="rId27">
              <w:r>
                <w:rPr>
                  <w:rStyle w:val="Hyperlink"/>
                </w:rPr>
                <w:t xml:space="preserve">[10]</w:t>
              </w:r>
            </w:hyperlink>
          </w:p>
        </w:tc>
        <w:tc>
          <w:tcPr/>
          <w:p>
            <w:pPr>
              <w:pStyle w:val="Compact"/>
            </w:pPr>
            <w:r>
              <w:t xml:space="preserve">Only 11% “using gen AI at scale”.</w:t>
            </w:r>
            <w:r>
              <w:t xml:space="preserve"> </w:t>
            </w:r>
            <w:hyperlink r:id="rId30">
              <w:r>
                <w:rPr>
                  <w:rStyle w:val="Hyperlink"/>
                </w:rPr>
                <w:t xml:space="preserve">[11]</w:t>
              </w:r>
            </w:hyperlink>
          </w:p>
        </w:tc>
        <w:tc>
          <w:tcPr/>
          <w:p>
            <w:pPr>
              <w:pStyle w:val="Compact"/>
            </w:pPr>
            <w:r>
              <w:t xml:space="preserve">“Regular use” and “at scale” suggest different maturity thresholds.</w:t>
            </w:r>
          </w:p>
        </w:tc>
      </w:tr>
      <w:tr>
        <w:tc>
          <w:tcPr/>
          <w:p>
            <w:pPr>
              <w:pStyle w:val="Compact"/>
            </w:pPr>
            <w:r>
              <w:t xml:space="preserve">Value</w:t>
            </w:r>
          </w:p>
        </w:tc>
        <w:tc>
          <w:tcPr/>
          <w:p>
            <w:pPr>
              <w:pStyle w:val="Compact"/>
            </w:pPr>
            <w:r>
              <w:t xml:space="preserve">“Deriving business value” and “material benefits” in deploying units.</w:t>
            </w:r>
            <w:r>
              <w:t xml:space="preserve"> </w:t>
            </w:r>
            <w:hyperlink r:id="rId27">
              <w:r>
                <w:rPr>
                  <w:rStyle w:val="Hyperlink"/>
                </w:rPr>
                <w:t xml:space="preserve">[10]</w:t>
              </w:r>
            </w:hyperlink>
          </w:p>
        </w:tc>
        <w:tc>
          <w:tcPr/>
          <w:p>
            <w:pPr>
              <w:pStyle w:val="Compact"/>
            </w:pPr>
            <w:r>
              <w:t xml:space="preserve">&gt;80% report no tangible enterprise‑level EBIT impact from gen AI.</w:t>
            </w:r>
            <w:r>
              <w:t xml:space="preserve"> </w:t>
            </w:r>
            <w:hyperlink r:id="rId37">
              <w:r>
                <w:rPr>
                  <w:rStyle w:val="Hyperlink"/>
                </w:rPr>
                <w:t xml:space="preserve">[17]</w:t>
              </w:r>
            </w:hyperlink>
          </w:p>
        </w:tc>
        <w:tc>
          <w:tcPr/>
          <w:p>
            <w:pPr>
              <w:pStyle w:val="Compact"/>
            </w:pPr>
            <w:r>
              <w:t xml:space="preserve">McKinsey alternates between business‑unit outcomes and enterprise P&amp;L outcomes.</w:t>
            </w:r>
          </w:p>
        </w:tc>
      </w:tr>
      <w:tr>
        <w:tc>
          <w:tcPr/>
          <w:p>
            <w:pPr>
              <w:pStyle w:val="Compact"/>
            </w:pPr>
            <w:r>
              <w:t xml:space="preserve">Adoption trendlines</w:t>
            </w:r>
          </w:p>
        </w:tc>
        <w:tc>
          <w:tcPr/>
          <w:p>
            <w:pPr>
              <w:pStyle w:val="Compact"/>
            </w:pPr>
            <w:r>
              <w:t xml:space="preserve">Adoption plateaued 50–60% for years.</w:t>
            </w:r>
            <w:r>
              <w:t xml:space="preserve"> </w:t>
            </w:r>
            <w:hyperlink r:id="rId22">
              <w:r>
                <w:rPr>
                  <w:rStyle w:val="Hyperlink"/>
                </w:rPr>
                <w:t xml:space="preserve">[6]</w:t>
              </w:r>
            </w:hyperlink>
          </w:p>
        </w:tc>
        <w:tc>
          <w:tcPr/>
          <w:p>
            <w:pPr>
              <w:pStyle w:val="Compact"/>
            </w:pPr>
            <w:r>
              <w:t xml:space="preserve">Adoption jumps to 72% (and later 78%, 88%).</w:t>
            </w:r>
            <w:r>
              <w:t xml:space="preserve"> </w:t>
            </w:r>
            <w:hyperlink r:id="rId27">
              <w:r>
                <w:rPr>
                  <w:rStyle w:val="Hyperlink"/>
                </w:rPr>
                <w:t xml:space="preserve">[45]</w:t>
              </w:r>
            </w:hyperlink>
          </w:p>
        </w:tc>
        <w:tc>
          <w:tcPr/>
          <w:p>
            <w:pPr>
              <w:pStyle w:val="Compact"/>
            </w:pPr>
            <w:r>
              <w:t xml:space="preserve">True change plus changed survey framing; definitions evolve over time.</w:t>
            </w:r>
            <w:r>
              <w:t xml:space="preserve"> </w:t>
            </w:r>
            <w:hyperlink r:id="rId22">
              <w:r>
                <w:rPr>
                  <w:rStyle w:val="Hyperlink"/>
                </w:rPr>
                <w:t xml:space="preserve">[9]</w:t>
              </w:r>
            </w:hyperlink>
          </w:p>
        </w:tc>
      </w:tr>
      <w:tr>
        <w:tc>
          <w:tcPr/>
          <w:p>
            <w:pPr>
              <w:pStyle w:val="Compact"/>
            </w:pPr>
            <w:r>
              <w:t xml:space="preserve">Workforce impacts</w:t>
            </w:r>
          </w:p>
        </w:tc>
        <w:tc>
          <w:tcPr/>
          <w:p>
            <w:pPr>
              <w:pStyle w:val="Compact"/>
            </w:pPr>
            <w:r>
              <w:t xml:space="preserve">2023: workforce cuts and reskilling expected; “substantial” effects.</w:t>
            </w:r>
            <w:r>
              <w:t xml:space="preserve"> </w:t>
            </w:r>
            <w:hyperlink r:id="rId45">
              <w:r>
                <w:rPr>
                  <w:rStyle w:val="Hyperlink"/>
                </w:rPr>
                <w:t xml:space="preserve">[26]</w:t>
              </w:r>
            </w:hyperlink>
          </w:p>
        </w:tc>
        <w:tc>
          <w:tcPr/>
          <w:p>
            <w:pPr>
              <w:pStyle w:val="Compact"/>
            </w:pPr>
            <w:r>
              <w:t xml:space="preserve">2025: plurality expect little effect on workforce size over three years.</w:t>
            </w:r>
            <w:r>
              <w:t xml:space="preserve"> </w:t>
            </w:r>
            <w:hyperlink r:id="rId48">
              <w:r>
                <w:rPr>
                  <w:rStyle w:val="Hyperlink"/>
                </w:rPr>
                <w:t xml:space="preserve">[34]</w:t>
              </w:r>
            </w:hyperlink>
          </w:p>
        </w:tc>
        <w:tc>
          <w:tcPr/>
          <w:p>
            <w:pPr>
              <w:pStyle w:val="Compact"/>
            </w:pPr>
            <w:r>
              <w:t xml:space="preserve">Different horizons and respondent expectations vs technical potential; tasks ≠ jobs.</w:t>
            </w:r>
            <w:r>
              <w:t xml:space="preserve"> </w:t>
            </w:r>
            <w:hyperlink r:id="rId50">
              <w:r>
                <w:rPr>
                  <w:rStyle w:val="Hyperlink"/>
                </w:rPr>
                <w:t xml:space="preserve">[30]</w:t>
              </w:r>
            </w:hyperlink>
          </w:p>
        </w:tc>
      </w:tr>
      <w:tr>
        <w:tc>
          <w:tcPr/>
          <w:p>
            <w:pPr>
              <w:pStyle w:val="Compact"/>
            </w:pPr>
            <w:r>
              <w:t xml:space="preserve">Governance trajectory</w:t>
            </w:r>
          </w:p>
        </w:tc>
        <w:tc>
          <w:tcPr/>
          <w:p>
            <w:pPr>
              <w:pStyle w:val="Compact"/>
            </w:pPr>
            <w:r>
              <w:t xml:space="preserve">2019–2022: no substantial increase in risk mitigation.</w:t>
            </w:r>
            <w:r>
              <w:t xml:space="preserve"> </w:t>
            </w:r>
            <w:hyperlink r:id="rId22">
              <w:r>
                <w:rPr>
                  <w:rStyle w:val="Hyperlink"/>
                </w:rPr>
                <w:t xml:space="preserve">[32]</w:t>
              </w:r>
            </w:hyperlink>
          </w:p>
        </w:tc>
        <w:tc>
          <w:tcPr/>
          <w:p>
            <w:pPr>
              <w:pStyle w:val="Compact"/>
            </w:pPr>
            <w:r>
              <w:t xml:space="preserve">2024–2025: mitigation rising (inaccuracy, cyber, IP).</w:t>
            </w:r>
            <w:r>
              <w:t xml:space="preserve"> </w:t>
            </w:r>
            <w:hyperlink r:id="rId27">
              <w:r>
                <w:rPr>
                  <w:rStyle w:val="Hyperlink"/>
                </w:rPr>
                <w:t xml:space="preserve">[43]</w:t>
              </w:r>
            </w:hyperlink>
          </w:p>
        </w:tc>
        <w:tc>
          <w:tcPr/>
          <w:p>
            <w:pPr>
              <w:pStyle w:val="Compact"/>
            </w:pPr>
            <w:r>
              <w:t xml:space="preserve">Genuine pivot after gen‑AI visibility, but improvement is uneven (accuracy/explainability still weak in places).</w:t>
            </w:r>
            <w:r>
              <w:t xml:space="preserve"> </w:t>
            </w:r>
            <w:hyperlink r:id="rId48">
              <w:r>
                <w:rPr>
                  <w:rStyle w:val="Hyperlink"/>
                </w:rPr>
                <w:t xml:space="preserve">[34]</w:t>
              </w:r>
            </w:hyperlink>
          </w:p>
        </w:tc>
      </w:tr>
    </w:tbl>
    <w:bookmarkEnd w:id="63"/>
    <w:bookmarkStart w:id="64" w:name="Xacc7b262574fc715df007747935d78d1272f10f"/>
    <w:p>
      <w:pPr>
        <w:pStyle w:val="Heading3"/>
      </w:pPr>
      <w:r>
        <w:t xml:space="preserve">Named continuity across McKinsey’s AI ecosystem</w:t>
      </w:r>
    </w:p>
    <w:p>
      <w:pPr>
        <w:pStyle w:val="FirstParagraph"/>
      </w:pPr>
      <w:r>
        <w:t xml:space="preserve">A structural reason McKinsey can sound internally inconsistent is that different arms of the firm emphasise different lenses: survey messaging is associated with entity["organization","QuantumBlack, AI by McKinsey","mckinsey ai unit"] and related “State of AI” publishing, while economic modelling is often presented under entity["organization","McKinsey Global Institute","research institute"].</w:t>
      </w:r>
      <w:r>
        <w:t xml:space="preserve"> </w:t>
      </w:r>
      <w:hyperlink r:id="rId27">
        <w:r>
          <w:rPr>
            <w:rStyle w:val="Hyperlink"/>
          </w:rPr>
          <w:t xml:space="preserve">[46]</w:t>
        </w:r>
      </w:hyperlink>
      <w:r>
        <w:br/>
      </w:r>
      <w:r>
        <w:t xml:space="preserve">Some senior voices (for example entity["people","Alex Singla","mckinsey partner"], entity["people","Alexander Sukharevsky","mckinsey partner"], and entity["people","Lareina Yee","mckinsey partner"]) recur across these strands, but the underlying artefacts still differ in question wording, outcome measures, and time horizons.</w:t>
      </w:r>
      <w:r>
        <w:t xml:space="preserve"> </w:t>
      </w:r>
      <w:hyperlink r:id="rId27">
        <w:r>
          <w:rPr>
            <w:rStyle w:val="Hyperlink"/>
          </w:rPr>
          <w:t xml:space="preserve">[47]</w:t>
        </w:r>
      </w:hyperlink>
    </w:p>
    <w:bookmarkEnd w:id="64"/>
    <w:bookmarkEnd w:id="65"/>
    <w:bookmarkEnd w:id="66"/>
    <w:bookmarkEnd w:id="67"/>
    <w:p>
      <w:r>
        <w:pict>
          <v:rect style="width:0;height:1.5pt" o:hralign="center" o:hrstd="t" o:hr="t"/>
        </w:pict>
      </w:r>
    </w:p>
    <w:bookmarkStart w:id="68" w:name="citations"/>
    <w:p>
      <w:pPr>
        <w:pStyle w:val="FirstParagraph"/>
      </w:pPr>
      <w:hyperlink r:id="rId21">
        <w:r>
          <w:rPr>
            <w:rStyle w:val="Hyperlink"/>
          </w:rPr>
          <w:t xml:space="preserve">[1]</w:t>
        </w:r>
      </w:hyperlink>
      <w:r>
        <w:t xml:space="preserve"> </w:t>
      </w:r>
      <w:r>
        <w:t xml:space="preserve">100 articles on generative AI</w:t>
      </w:r>
    </w:p>
    <w:p>
      <w:pPr>
        <w:pStyle w:val="BodyText"/>
      </w:pPr>
      <w:hyperlink r:id="rId21">
        <w:r>
          <w:rPr>
            <w:rStyle w:val="Hyperlink"/>
          </w:rPr>
          <w:t xml:space="preserve">https://www.mckinsey.com/featured-insights/themes/100-articles-on-generative-ai</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[9]</w:t>
        </w:r>
      </w:hyperlink>
      <w:r>
        <w:t xml:space="preserve"> </w:t>
      </w:r>
      <w:hyperlink r:id="rId22">
        <w:r>
          <w:rPr>
            <w:rStyle w:val="Hyperlink"/>
          </w:rPr>
          <w:t xml:space="preserve">[14]</w:t>
        </w:r>
      </w:hyperlink>
      <w:r>
        <w:t xml:space="preserve"> </w:t>
      </w:r>
      <w:hyperlink r:id="rId22">
        <w:r>
          <w:rPr>
            <w:rStyle w:val="Hyperlink"/>
          </w:rPr>
          <w:t xml:space="preserve">[32]</w:t>
        </w:r>
      </w:hyperlink>
      <w:r>
        <w:t xml:space="preserve"> </w:t>
      </w:r>
      <w:hyperlink r:id="rId22">
        <w:r>
          <w:rPr>
            <w:rStyle w:val="Hyperlink"/>
          </w:rPr>
          <w:t xml:space="preserve">[33]</w:t>
        </w:r>
      </w:hyperlink>
      <w:r>
        <w:t xml:space="preserve"> </w:t>
      </w:r>
      <w:r>
        <w:t xml:space="preserve">The state of AI in 2022—and a half decade in review | McKinsey</w:t>
      </w:r>
    </w:p>
    <w:p>
      <w:pPr>
        <w:pStyle w:val="BodyText"/>
      </w:pPr>
      <w:hyperlink r:id="rId22">
        <w:r>
          <w:rPr>
            <w:rStyle w:val="Hyperlink"/>
          </w:rPr>
          <w:t xml:space="preserve">https://www.mckinsey.com/capabilities/quantumblack/our-insights/the-state-of-ai-in-2022-and-a-half-decade-in-review</w:t>
        </w:r>
      </w:hyperlink>
    </w:p>
    <w:p>
      <w:pPr>
        <w:pStyle w:val="BodyText"/>
      </w:pPr>
      <w:hyperlink r:id="rId23">
        <w:r>
          <w:rPr>
            <w:rStyle w:val="Hyperlink"/>
          </w:rPr>
          <w:t xml:space="preserve">[3]</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hyperlink r:id="rId23">
        <w:r>
          <w:rPr>
            <w:rStyle w:val="Hyperlink"/>
          </w:rPr>
          <w:t xml:space="preserve">[27]</w:t>
        </w:r>
      </w:hyperlink>
      <w:r>
        <w:t xml:space="preserve"> </w:t>
      </w:r>
      <w:hyperlink r:id="rId23">
        <w:r>
          <w:rPr>
            <w:rStyle w:val="Hyperlink"/>
          </w:rPr>
          <w:t xml:space="preserve">[40]</w:t>
        </w:r>
      </w:hyperlink>
      <w:r>
        <w:t xml:space="preserve"> </w:t>
      </w:r>
      <w:r>
        <w:t xml:space="preserve">Economic potential of generative AI | McKinsey</w:t>
      </w:r>
    </w:p>
    <w:p>
      <w:pPr>
        <w:pStyle w:val="BodyText"/>
      </w:pPr>
      <w:hyperlink r:id="rId23">
        <w:r>
          <w:rPr>
            <w:rStyle w:val="Hyperlink"/>
          </w:rPr>
          <w:t xml:space="preserve">https://www.mckinsey.com/capabilities/tech-and-ai/our-insights/the-economic-potential-of-generative-ai-the-next-productivity-frontier</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[20]</w:t>
        </w:r>
      </w:hyperlink>
      <w:r>
        <w:t xml:space="preserve"> </w:t>
      </w:r>
      <w:r>
        <w:t xml:space="preserve">The competitive advantage of generative AI | McKinsey</w:t>
      </w:r>
    </w:p>
    <w:p>
      <w:pPr>
        <w:pStyle w:val="BodyText"/>
      </w:pPr>
      <w:hyperlink r:id="rId24">
        <w:r>
          <w:rPr>
            <w:rStyle w:val="Hyperlink"/>
          </w:rPr>
          <w:t xml:space="preserve">https://www.mckinsey.com/capabilities/tech-and-ai/our-insights/a-generative-ai-reset-rewiring-to-turn-potential-into-value-in-2024</w:t>
        </w:r>
      </w:hyperlink>
    </w:p>
    <w:p>
      <w:pPr>
        <w:pStyle w:val="BodyText"/>
      </w:pPr>
      <w:hyperlink r:id="rId27">
        <w:r>
          <w:rPr>
            <w:rStyle w:val="Hyperlink"/>
          </w:rPr>
          <w:t xml:space="preserve">[7]</w:t>
        </w:r>
      </w:hyperlink>
      <w:r>
        <w:t xml:space="preserve"> </w:t>
      </w:r>
      <w:hyperlink r:id="rId27">
        <w:r>
          <w:rPr>
            <w:rStyle w:val="Hyperlink"/>
          </w:rPr>
          <w:t xml:space="preserve">[10]</w:t>
        </w:r>
      </w:hyperlink>
      <w:r>
        <w:t xml:space="preserve"> </w:t>
      </w:r>
      <w:hyperlink r:id="rId27">
        <w:r>
          <w:rPr>
            <w:rStyle w:val="Hyperlink"/>
          </w:rPr>
          <w:t xml:space="preserve">[12]</w:t>
        </w:r>
      </w:hyperlink>
      <w:r>
        <w:t xml:space="preserve"> </w:t>
      </w:r>
      <w:hyperlink r:id="rId27">
        <w:r>
          <w:rPr>
            <w:rStyle w:val="Hyperlink"/>
          </w:rPr>
          <w:t xml:space="preserve">[16]</w:t>
        </w:r>
      </w:hyperlink>
      <w:r>
        <w:t xml:space="preserve"> </w:t>
      </w:r>
      <w:hyperlink r:id="rId27">
        <w:r>
          <w:rPr>
            <w:rStyle w:val="Hyperlink"/>
          </w:rPr>
          <w:t xml:space="preserve">[18]</w:t>
        </w:r>
      </w:hyperlink>
      <w:r>
        <w:t xml:space="preserve"> </w:t>
      </w:r>
      <w:hyperlink r:id="rId27">
        <w:r>
          <w:rPr>
            <w:rStyle w:val="Hyperlink"/>
          </w:rPr>
          <w:t xml:space="preserve">[42]</w:t>
        </w:r>
      </w:hyperlink>
      <w:r>
        <w:t xml:space="preserve"> </w:t>
      </w:r>
      <w:hyperlink r:id="rId27">
        <w:r>
          <w:rPr>
            <w:rStyle w:val="Hyperlink"/>
          </w:rPr>
          <w:t xml:space="preserve">[43]</w:t>
        </w:r>
      </w:hyperlink>
      <w:r>
        <w:t xml:space="preserve"> </w:t>
      </w:r>
      <w:hyperlink r:id="rId27">
        <w:r>
          <w:rPr>
            <w:rStyle w:val="Hyperlink"/>
          </w:rPr>
          <w:t xml:space="preserve">[45]</w:t>
        </w:r>
      </w:hyperlink>
      <w:r>
        <w:t xml:space="preserve"> </w:t>
      </w:r>
      <w:hyperlink r:id="rId27">
        <w:r>
          <w:rPr>
            <w:rStyle w:val="Hyperlink"/>
          </w:rPr>
          <w:t xml:space="preserve">[46]</w:t>
        </w:r>
      </w:hyperlink>
      <w:r>
        <w:t xml:space="preserve"> </w:t>
      </w:r>
      <w:hyperlink r:id="rId27">
        <w:r>
          <w:rPr>
            <w:rStyle w:val="Hyperlink"/>
          </w:rPr>
          <w:t xml:space="preserve">[47]</w:t>
        </w:r>
      </w:hyperlink>
      <w:r>
        <w:t xml:space="preserve"> </w:t>
      </w:r>
      <w:r>
        <w:t xml:space="preserve">The state of AI in early 2024 | McKinsey</w:t>
      </w:r>
    </w:p>
    <w:p>
      <w:pPr>
        <w:pStyle w:val="BodyText"/>
      </w:pPr>
      <w:hyperlink r:id="rId27">
        <w:r>
          <w:rPr>
            <w:rStyle w:val="Hyperlink"/>
          </w:rPr>
          <w:t xml:space="preserve">https://www.mckinsey.com/capabilities/quantumblack/our-insights/the-state-of-ai-2024</w:t>
        </w:r>
      </w:hyperlink>
    </w:p>
    <w:p>
      <w:pPr>
        <w:pStyle w:val="BodyText"/>
      </w:pPr>
      <w:hyperlink r:id="rId28">
        <w:r>
          <w:rPr>
            <w:rStyle w:val="Hyperlink"/>
          </w:rPr>
          <w:t xml:space="preserve">[8]</w:t>
        </w:r>
      </w:hyperlink>
      <w:r>
        <w:t xml:space="preserve"> </w:t>
      </w:r>
      <w:r>
        <w:t xml:space="preserve">AI at work but not at scale</w:t>
      </w:r>
    </w:p>
    <w:p>
      <w:pPr>
        <w:pStyle w:val="BodyText"/>
      </w:pPr>
      <w:hyperlink r:id="rId28">
        <w:r>
          <w:rPr>
            <w:rStyle w:val="Hyperlink"/>
          </w:rPr>
          <w:t xml:space="preserve">https://www.mckinsey.com/featured-insights/week-in-charts/ai-at-work-but-not-at-scale</w:t>
        </w:r>
      </w:hyperlink>
    </w:p>
    <w:p>
      <w:pPr>
        <w:pStyle w:val="BodyText"/>
      </w:pPr>
      <w:hyperlink r:id="rId30">
        <w:r>
          <w:rPr>
            <w:rStyle w:val="Hyperlink"/>
          </w:rPr>
          <w:t xml:space="preserve">[11]</w:t>
        </w:r>
      </w:hyperlink>
      <w:r>
        <w:t xml:space="preserve"> </w:t>
      </w:r>
      <w:hyperlink r:id="rId30">
        <w:r>
          <w:rPr>
            <w:rStyle w:val="Hyperlink"/>
          </w:rPr>
          <w:t xml:space="preserve">[39]</w:t>
        </w:r>
      </w:hyperlink>
      <w:r>
        <w:t xml:space="preserve"> </w:t>
      </w:r>
      <w:r>
        <w:t xml:space="preserve">Deploying gen AI for service operations | McKinsey</w:t>
      </w:r>
    </w:p>
    <w:p>
      <w:pPr>
        <w:pStyle w:val="BodyText"/>
      </w:pPr>
      <w:hyperlink r:id="rId30">
        <w:r>
          <w:rPr>
            <w:rStyle w:val="Hyperlink"/>
          </w:rPr>
          <w:t xml:space="preserve">https://www.mckinsey.com/capabilities/operations/our-insights/from-promising-to-productive-real-results-from-gen-ai-in-services</w:t>
        </w:r>
      </w:hyperlink>
    </w:p>
    <w:p>
      <w:pPr>
        <w:pStyle w:val="BodyText"/>
      </w:pPr>
      <w:hyperlink r:id="rId31">
        <w:r>
          <w:rPr>
            <w:rStyle w:val="Hyperlink"/>
          </w:rPr>
          <w:t xml:space="preserve">[13]</w:t>
        </w:r>
      </w:hyperlink>
      <w:r>
        <w:t xml:space="preserve"> </w:t>
      </w:r>
      <w:r>
        <w:t xml:space="preserve">The State of AI: Global Survey 2025 | McKinsey</w:t>
      </w:r>
    </w:p>
    <w:p>
      <w:pPr>
        <w:pStyle w:val="BodyText"/>
      </w:pPr>
      <w:hyperlink r:id="rId31">
        <w:r>
          <w:rPr>
            <w:rStyle w:val="Hyperlink"/>
          </w:rPr>
          <w:t xml:space="preserve">https://www.mckinsey.com/capabilities/quantumblack/our-insights/the-state-of-ai</w:t>
        </w:r>
      </w:hyperlink>
    </w:p>
    <w:p>
      <w:pPr>
        <w:pStyle w:val="BodyText"/>
      </w:pPr>
      <w:hyperlink r:id="rId37">
        <w:r>
          <w:rPr>
            <w:rStyle w:val="Hyperlink"/>
          </w:rPr>
          <w:t xml:space="preserve">[17]</w:t>
        </w:r>
      </w:hyperlink>
      <w:r>
        <w:t xml:space="preserve"> </w:t>
      </w:r>
      <w:hyperlink r:id="rId37">
        <w:r>
          <w:rPr>
            <w:rStyle w:val="Hyperlink"/>
          </w:rPr>
          <w:t xml:space="preserve">[41]</w:t>
        </w:r>
      </w:hyperlink>
      <w:r>
        <w:t xml:space="preserve"> </w:t>
      </w:r>
      <w:r>
        <w:t xml:space="preserve">mckinsey.com</w:t>
      </w:r>
    </w:p>
    <w:p>
      <w:pPr>
        <w:pStyle w:val="BodyText"/>
      </w:pPr>
      <w:hyperlink r:id="rId37">
        <w:r>
          <w:rPr>
            <w:rStyle w:val="Hyperlink"/>
          </w:rPr>
          <w:t xml:space="preserve">https://www.mckinsey.com/~/media/mckinsey/business%20functions/quantumblack/our%20insights/the%20state%20of%20ai/2025/the-state-of-ai-how-organizations-are-rewiring-to-capture-value_final.pdf</w:t>
        </w:r>
      </w:hyperlink>
    </w:p>
    <w:p>
      <w:pPr>
        <w:pStyle w:val="BodyText"/>
      </w:pPr>
      <w:hyperlink r:id="rId39">
        <w:r>
          <w:rPr>
            <w:rStyle w:val="Hyperlink"/>
          </w:rPr>
          <w:t xml:space="preserve">[19]</w:t>
        </w:r>
      </w:hyperlink>
      <w:r>
        <w:t xml:space="preserve"> </w:t>
      </w:r>
      <w:r>
        <w:t xml:space="preserve">Generative AI has ignited a wave of enthusiasm and investment. | McKinsey</w:t>
      </w:r>
    </w:p>
    <w:p>
      <w:pPr>
        <w:pStyle w:val="BodyText"/>
      </w:pPr>
      <w:hyperlink r:id="rId39">
        <w:r>
          <w:rPr>
            <w:rStyle w:val="Hyperlink"/>
          </w:rPr>
          <w:t xml:space="preserve">https://www.mckinsey.com/cn/our-insights/our-insights/beyond-the-hype-unlocking-value-from-the-ai-revolution</w:t>
        </w:r>
      </w:hyperlink>
    </w:p>
    <w:p>
      <w:pPr>
        <w:pStyle w:val="BodyText"/>
      </w:pPr>
      <w:hyperlink r:id="rId41">
        <w:r>
          <w:rPr>
            <w:rStyle w:val="Hyperlink"/>
          </w:rPr>
          <w:t xml:space="preserve">[21]</w:t>
        </w:r>
      </w:hyperlink>
      <w:r>
        <w:t xml:space="preserve"> </w:t>
      </w:r>
      <w:hyperlink r:id="rId41">
        <w:r>
          <w:rPr>
            <w:rStyle w:val="Hyperlink"/>
          </w:rPr>
          <w:t xml:space="preserve">[22]</w:t>
        </w:r>
      </w:hyperlink>
      <w:r>
        <w:t xml:space="preserve"> </w:t>
      </w:r>
      <w:r>
        <w:t xml:space="preserve">AI in the workplace: A report for 2025 | McKinsey</w:t>
      </w:r>
    </w:p>
    <w:p>
      <w:pPr>
        <w:pStyle w:val="BodyText"/>
      </w:pPr>
      <w:hyperlink r:id="rId41">
        <w:r>
          <w:rPr>
            <w:rStyle w:val="Hyperlink"/>
          </w:rPr>
          <w:t xml:space="preserve">https://www.mckinsey.com/capabilities/tech-and-ai/our-insights/superagency-in-the-workplace-empowering-people-to-unlock-ais-full-potential-at-work</w:t>
        </w:r>
      </w:hyperlink>
    </w:p>
    <w:p>
      <w:pPr>
        <w:pStyle w:val="BodyText"/>
      </w:pPr>
      <w:hyperlink r:id="rId45">
        <w:r>
          <w:rPr>
            <w:rStyle w:val="Hyperlink"/>
          </w:rPr>
          <w:t xml:space="preserve">[26]</w:t>
        </w:r>
      </w:hyperlink>
      <w:r>
        <w:t xml:space="preserve"> </w:t>
      </w:r>
      <w:hyperlink r:id="rId45">
        <w:r>
          <w:rPr>
            <w:rStyle w:val="Hyperlink"/>
          </w:rPr>
          <w:t xml:space="preserve">[29]</w:t>
        </w:r>
      </w:hyperlink>
      <w:r>
        <w:t xml:space="preserve"> </w:t>
      </w:r>
      <w:r>
        <w:t xml:space="preserve">The state of AI in 2023: Generative AI’s breakout year | McKinsey</w:t>
      </w:r>
    </w:p>
    <w:p>
      <w:pPr>
        <w:pStyle w:val="BodyText"/>
      </w:pPr>
      <w:hyperlink r:id="rId45">
        <w:r>
          <w:rPr>
            <w:rStyle w:val="Hyperlink"/>
          </w:rPr>
          <w:t xml:space="preserve">https://www.mckinsey.com/capabilities/quantumblack/our-insights/the-state-of-ai-in-2023-generative-ais-breakout-year</w:t>
        </w:r>
      </w:hyperlink>
    </w:p>
    <w:p>
      <w:pPr>
        <w:pStyle w:val="BodyText"/>
      </w:pPr>
      <w:hyperlink r:id="rId48">
        <w:r>
          <w:rPr>
            <w:rStyle w:val="Hyperlink"/>
          </w:rPr>
          <w:t xml:space="preserve">[28]</w:t>
        </w:r>
      </w:hyperlink>
      <w:r>
        <w:t xml:space="preserve"> </w:t>
      </w:r>
      <w:hyperlink r:id="rId48">
        <w:r>
          <w:rPr>
            <w:rStyle w:val="Hyperlink"/>
          </w:rPr>
          <w:t xml:space="preserve">[34]</w:t>
        </w:r>
      </w:hyperlink>
      <w:r>
        <w:t xml:space="preserve"> </w:t>
      </w:r>
      <w:hyperlink r:id="rId48">
        <w:r>
          <w:rPr>
            <w:rStyle w:val="Hyperlink"/>
          </w:rPr>
          <w:t xml:space="preserve">[35]</w:t>
        </w:r>
      </w:hyperlink>
      <w:r>
        <w:t xml:space="preserve"> </w:t>
      </w:r>
      <w:hyperlink r:id="rId48">
        <w:r>
          <w:rPr>
            <w:rStyle w:val="Hyperlink"/>
          </w:rPr>
          <w:t xml:space="preserve">[38]</w:t>
        </w:r>
      </w:hyperlink>
      <w:r>
        <w:t xml:space="preserve"> </w:t>
      </w:r>
      <w:r>
        <w:t xml:space="preserve">The State of AI: Global survey | McKinsey</w:t>
      </w:r>
    </w:p>
    <w:p>
      <w:pPr>
        <w:pStyle w:val="BodyText"/>
      </w:pPr>
      <w:hyperlink r:id="rId48">
        <w:r>
          <w:rPr>
            <w:rStyle w:val="Hyperlink"/>
          </w:rPr>
          <w:t xml:space="preserve">https://www.mckinsey.com/capabilities/quantumblack/our-insights/the-state-of-ai-how-organizations-are-rewiring-to-capture-value</w:t>
        </w:r>
      </w:hyperlink>
    </w:p>
    <w:p>
      <w:pPr>
        <w:pStyle w:val="BodyText"/>
      </w:pPr>
      <w:hyperlink r:id="rId50">
        <w:r>
          <w:rPr>
            <w:rStyle w:val="Hyperlink"/>
          </w:rPr>
          <w:t xml:space="preserve">[30]</w:t>
        </w:r>
      </w:hyperlink>
      <w:r>
        <w:t xml:space="preserve"> </w:t>
      </w:r>
      <w:hyperlink r:id="rId50">
        <w:r>
          <w:rPr>
            <w:rStyle w:val="Hyperlink"/>
          </w:rPr>
          <w:t xml:space="preserve">[31]</w:t>
        </w:r>
      </w:hyperlink>
      <w:r>
        <w:t xml:space="preserve"> </w:t>
      </w:r>
      <w:r>
        <w:t xml:space="preserve">AI: Work partnerships between people, agents, and robots | McKinsey</w:t>
      </w:r>
    </w:p>
    <w:p>
      <w:pPr>
        <w:pStyle w:val="BodyText"/>
      </w:pPr>
      <w:hyperlink r:id="rId50">
        <w:r>
          <w:rPr>
            <w:rStyle w:val="Hyperlink"/>
          </w:rPr>
          <w:t xml:space="preserve">https://www.mckinsey.com/mgi/our-research/agents-robots-and-us-skill-partnerships-in-the-age-of-ai</w:t>
        </w:r>
      </w:hyperlink>
    </w:p>
    <w:p>
      <w:pPr>
        <w:pStyle w:val="BodyText"/>
      </w:pPr>
      <w:hyperlink r:id="rId57">
        <w:r>
          <w:rPr>
            <w:rStyle w:val="Hyperlink"/>
          </w:rPr>
          <w:t xml:space="preserve">[36]</w:t>
        </w:r>
      </w:hyperlink>
      <w:r>
        <w:t xml:space="preserve"> </w:t>
      </w:r>
      <w:hyperlink r:id="rId57">
        <w:r>
          <w:rPr>
            <w:rStyle w:val="Hyperlink"/>
          </w:rPr>
          <w:t xml:space="preserve">[37]</w:t>
        </w:r>
      </w:hyperlink>
      <w:r>
        <w:t xml:space="preserve"> </w:t>
      </w:r>
      <w:r>
        <w:t xml:space="preserve">AI in software development: Boosting trust and productivity | McKinsey</w:t>
      </w:r>
    </w:p>
    <w:p>
      <w:pPr>
        <w:pStyle w:val="BodyText"/>
      </w:pPr>
      <w:hyperlink r:id="rId57">
        <w:r>
          <w:rPr>
            <w:rStyle w:val="Hyperlink"/>
          </w:rPr>
          <w:t xml:space="preserve">https://www.mckinsey.com/capabilities/mckinsey-technology/our-insights/building-trust-to-scale-ai-interview-with-the-ceo-of-stack-overflow</w:t>
        </w:r>
      </w:hyperlink>
    </w:p>
    <w:p>
      <w:pPr>
        <w:pStyle w:val="BodyText"/>
      </w:pPr>
      <w:hyperlink r:id="rId61">
        <w:r>
          <w:rPr>
            <w:rStyle w:val="Hyperlink"/>
          </w:rPr>
          <w:t xml:space="preserve">[44]</w:t>
        </w:r>
      </w:hyperlink>
      <w:r>
        <w:t xml:space="preserve"> </w:t>
      </w:r>
      <w:r>
        <w:t xml:space="preserve">Introducing ChatGPT | OpenAI</w:t>
      </w:r>
    </w:p>
    <w:p>
      <w:pPr>
        <w:pStyle w:val="BodyText"/>
      </w:pPr>
      <w:hyperlink r:id="rId61">
        <w:r>
          <w:rPr>
            <w:rStyle w:val="Hyperlink"/>
          </w:rPr>
          <w:t xml:space="preserve">https://openai.com/index/chatgpt/</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openai.com/index/chatgpt/" TargetMode="External" /><Relationship Type="http://schemas.openxmlformats.org/officeDocument/2006/relationships/hyperlink" Id="rId57" Target="https://www.mckinsey.com/capabilities/mckinsey-technology/our-insights/building-trust-to-scale-ai-interview-with-the-ceo-of-stack-overflow" TargetMode="External" /><Relationship Type="http://schemas.openxmlformats.org/officeDocument/2006/relationships/hyperlink" Id="rId30" Target="https://www.mckinsey.com/capabilities/operations/our-insights/from-promising-to-productive-real-results-from-gen-ai-in-services" TargetMode="External" /><Relationship Type="http://schemas.openxmlformats.org/officeDocument/2006/relationships/hyperlink" Id="rId31" Target="https://www.mckinsey.com/capabilities/quantumblack/our-insights/the-state-of-ai" TargetMode="External" /><Relationship Type="http://schemas.openxmlformats.org/officeDocument/2006/relationships/hyperlink" Id="rId27" Target="https://www.mckinsey.com/capabilities/quantumblack/our-insights/the-state-of-ai-2024" TargetMode="External" /><Relationship Type="http://schemas.openxmlformats.org/officeDocument/2006/relationships/hyperlink" Id="rId48" Target="https://www.mckinsey.com/capabilities/quantumblack/our-insights/the-state-of-ai-how-organizations-are-rewiring-to-capture-value" TargetMode="External" /><Relationship Type="http://schemas.openxmlformats.org/officeDocument/2006/relationships/hyperlink" Id="rId22" Target="https://www.mckinsey.com/capabilities/quantumblack/our-insights/the-state-of-ai-in-2022-and-a-half-decade-in-review" TargetMode="External" /><Relationship Type="http://schemas.openxmlformats.org/officeDocument/2006/relationships/hyperlink" Id="rId45" Target="https://www.mckinsey.com/capabilities/quantumblack/our-insights/the-state-of-ai-in-2023-generative-ais-breakout-year" TargetMode="External" /><Relationship Type="http://schemas.openxmlformats.org/officeDocument/2006/relationships/hyperlink" Id="rId24" Target="https://www.mckinsey.com/capabilities/tech-and-ai/our-insights/a-generative-ai-reset-rewiring-to-turn-potential-into-value-in-2024" TargetMode="External" /><Relationship Type="http://schemas.openxmlformats.org/officeDocument/2006/relationships/hyperlink" Id="rId41" Target="https://www.mckinsey.com/capabilities/tech-and-ai/our-insights/superagency-in-the-workplace-empowering-people-to-unlock-ais-full-potential-at-work" TargetMode="External" /><Relationship Type="http://schemas.openxmlformats.org/officeDocument/2006/relationships/hyperlink" Id="rId23" Target="https://www.mckinsey.com/capabilities/tech-and-ai/our-insights/the-economic-potential-of-generative-ai-the-next-productivity-frontier" TargetMode="External" /><Relationship Type="http://schemas.openxmlformats.org/officeDocument/2006/relationships/hyperlink" Id="rId39" Target="https://www.mckinsey.com/cn/our-insights/our-insights/beyond-the-hype-unlocking-value-from-the-ai-revolution" TargetMode="External" /><Relationship Type="http://schemas.openxmlformats.org/officeDocument/2006/relationships/hyperlink" Id="rId21" Target="https://www.mckinsey.com/featured-insights/themes/100-articles-on-generative-ai" TargetMode="External" /><Relationship Type="http://schemas.openxmlformats.org/officeDocument/2006/relationships/hyperlink" Id="rId28" Target="https://www.mckinsey.com/featured-insights/week-in-charts/ai-at-work-but-not-at-scale" TargetMode="External" /><Relationship Type="http://schemas.openxmlformats.org/officeDocument/2006/relationships/hyperlink" Id="rId50" Target="https://www.mckinsey.com/mgi/our-research/agents-robots-and-us-skill-partnerships-in-the-age-of-ai" TargetMode="External" /><Relationship Type="http://schemas.openxmlformats.org/officeDocument/2006/relationships/hyperlink" Id="rId37" Target="https://www.mckinsey.com/~/media/mckinsey/business%20functions/quantumblack/our%20insights/the%20state%20of%20ai/2025/the-state-of-ai-how-organizations-are-rewiring-to-capture-value_final.pdf" TargetMode="External" /></Relationships>
</file>

<file path=word/_rels/footnotes.xml.rels><?xml version="1.0" encoding="UTF-8"?><Relationships xmlns="http://schemas.openxmlformats.org/package/2006/relationships"><Relationship Type="http://schemas.openxmlformats.org/officeDocument/2006/relationships/hyperlink" Id="rId61" Target="https://openai.com/index/chatgpt/" TargetMode="External" /><Relationship Type="http://schemas.openxmlformats.org/officeDocument/2006/relationships/hyperlink" Id="rId57" Target="https://www.mckinsey.com/capabilities/mckinsey-technology/our-insights/building-trust-to-scale-ai-interview-with-the-ceo-of-stack-overflow" TargetMode="External" /><Relationship Type="http://schemas.openxmlformats.org/officeDocument/2006/relationships/hyperlink" Id="rId30" Target="https://www.mckinsey.com/capabilities/operations/our-insights/from-promising-to-productive-real-results-from-gen-ai-in-services" TargetMode="External" /><Relationship Type="http://schemas.openxmlformats.org/officeDocument/2006/relationships/hyperlink" Id="rId31" Target="https://www.mckinsey.com/capabilities/quantumblack/our-insights/the-state-of-ai" TargetMode="External" /><Relationship Type="http://schemas.openxmlformats.org/officeDocument/2006/relationships/hyperlink" Id="rId27" Target="https://www.mckinsey.com/capabilities/quantumblack/our-insights/the-state-of-ai-2024" TargetMode="External" /><Relationship Type="http://schemas.openxmlformats.org/officeDocument/2006/relationships/hyperlink" Id="rId48" Target="https://www.mckinsey.com/capabilities/quantumblack/our-insights/the-state-of-ai-how-organizations-are-rewiring-to-capture-value" TargetMode="External" /><Relationship Type="http://schemas.openxmlformats.org/officeDocument/2006/relationships/hyperlink" Id="rId22" Target="https://www.mckinsey.com/capabilities/quantumblack/our-insights/the-state-of-ai-in-2022-and-a-half-decade-in-review" TargetMode="External" /><Relationship Type="http://schemas.openxmlformats.org/officeDocument/2006/relationships/hyperlink" Id="rId45" Target="https://www.mckinsey.com/capabilities/quantumblack/our-insights/the-state-of-ai-in-2023-generative-ais-breakout-year" TargetMode="External" /><Relationship Type="http://schemas.openxmlformats.org/officeDocument/2006/relationships/hyperlink" Id="rId24" Target="https://www.mckinsey.com/capabilities/tech-and-ai/our-insights/a-generative-ai-reset-rewiring-to-turn-potential-into-value-in-2024" TargetMode="External" /><Relationship Type="http://schemas.openxmlformats.org/officeDocument/2006/relationships/hyperlink" Id="rId41" Target="https://www.mckinsey.com/capabilities/tech-and-ai/our-insights/superagency-in-the-workplace-empowering-people-to-unlock-ais-full-potential-at-work" TargetMode="External" /><Relationship Type="http://schemas.openxmlformats.org/officeDocument/2006/relationships/hyperlink" Id="rId23" Target="https://www.mckinsey.com/capabilities/tech-and-ai/our-insights/the-economic-potential-of-generative-ai-the-next-productivity-frontier" TargetMode="External" /><Relationship Type="http://schemas.openxmlformats.org/officeDocument/2006/relationships/hyperlink" Id="rId39" Target="https://www.mckinsey.com/cn/our-insights/our-insights/beyond-the-hype-unlocking-value-from-the-ai-revolution" TargetMode="External" /><Relationship Type="http://schemas.openxmlformats.org/officeDocument/2006/relationships/hyperlink" Id="rId21" Target="https://www.mckinsey.com/featured-insights/themes/100-articles-on-generative-ai" TargetMode="External" /><Relationship Type="http://schemas.openxmlformats.org/officeDocument/2006/relationships/hyperlink" Id="rId28" Target="https://www.mckinsey.com/featured-insights/week-in-charts/ai-at-work-but-not-at-scale" TargetMode="External" /><Relationship Type="http://schemas.openxmlformats.org/officeDocument/2006/relationships/hyperlink" Id="rId50" Target="https://www.mckinsey.com/mgi/our-research/agents-robots-and-us-skill-partnerships-in-the-age-of-ai" TargetMode="External" /><Relationship Type="http://schemas.openxmlformats.org/officeDocument/2006/relationships/hyperlink" Id="rId37" Target="https://www.mckinsey.com/~/media/mckinsey/business%20functions/quantumblack/our%20insights/the%20state%20of%20ai/2025/the-state-of-ai-how-organizations-are-rewiring-to-capture-value_final.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2026-02-07T15:48:00Z</dcterms:created>
  <dcterms:modified xsi:type="dcterms:W3CDTF">2026-02-07T15:48:00Z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