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ELI-DL URI components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note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describes additional URI components of the core ELI framework components to identify entities in the Draft Legislation extension (ELI-DL);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give general guidelines and best practices on how to forge the URIs of Legal Activities and other entities in the ELI-DL extension;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should be read by teams of the ELI Taskforce members wishing to implement ELI for Draft Legislation.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ELI-DL URI components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ELI core URI components are listed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Reference ELI template components document</w:t>
        </w:r>
      </w:hyperlink>
      <w:r w:rsidDel="00000000" w:rsidR="00000000" w:rsidRPr="00000000">
        <w:rPr>
          <w:rtl w:val="0"/>
        </w:rPr>
        <w:t xml:space="preserve">. ELI-DL defines the following additional URI components in the table below, similar to the ELI core URI component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 that all existing ELI URI components remain applicable in the case of draft legislation, typically Agent, Point-in-Time, Sequence number, Jurisdiction, Language, Format,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80"/>
        <w:gridCol w:w="5235"/>
        <w:tblGridChange w:id="0">
          <w:tblGrid>
            <w:gridCol w:w="1965"/>
            <w:gridCol w:w="1980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/eli/dl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“/eli/dl” root is used to indicate the URI of any entity related to draft legislation, as opposed to an ELI URI from the legislation corpus.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Legislative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legislative process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Nature of a legislation drafting process.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exact nature of the legislative process is not known, or is not applicable, a fixed value or code should be used to indicate that the URI identifies a legislative process.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legislative process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identifier, number or reference of the legislative process.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to an activity taking place in the course of a legislative process.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can be decomposed into an activity type followed by a sequence number or an activity date, or use any other ways of referring to an activity, depending on requirements.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decomposition of a larger activity into smaller activities.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Documents produced within a legislative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a legislative process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nature of a document produced during a legislative process.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exact nature of the document is not known, or is not applicable, a fixed value or code should be used to indicate that the URI identifies a document.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Guidelines for creating ELI-DL URIs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“SHOULD” and “MUST” guidelines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Key words MUST, SHOULD in this document are to be interpreted as described in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BCP 14</w:t>
        </w:r>
      </w:hyperlink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key word MUST, when appearing in capital, mean that the definition is an absolute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key word SHOULD or the adjective "RECOMMENDED", when appearing in capital, mean that there may exist valid reasons in particular circumstances to ignore a particular item, but the full implications must be understood and carefully weighed before choosing a different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Use the “/eli/dl” root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URIs for legislative processes, activities and all related documents MUST all start with the “/eli/dl” path.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is made to clearly separate the draft legislation corpus from the published acts; by looking at the URI one immediately knows in which world it belongs.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Identify legislative processes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Legislative processes MUST be uniquely identified. Typical identification of legislative processes will use the {legislative_process_type} component. This can take a fixed value or code in the case a type is not applicable (e.g. “project”, “proj”, “bill”, “draft”, etc.).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if legislative processes are identified using a sequence number that starts over each year, a possible URI template can be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/eli/dl/proj/{year}/{legislative_process_identifier}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Here,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proj</w:t>
      </w:r>
      <w:r w:rsidDel="00000000" w:rsidR="00000000" w:rsidRPr="00000000">
        <w:rPr>
          <w:i w:val="1"/>
          <w:rtl w:val="0"/>
        </w:rPr>
        <w:t xml:space="preserve"> is a fixed value for the {legislative_process_type} component, right after the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</w:t>
      </w:r>
      <w:r w:rsidDel="00000000" w:rsidR="00000000" w:rsidRPr="00000000">
        <w:rPr>
          <w:i w:val="1"/>
          <w:rtl w:val="0"/>
        </w:rPr>
        <w:t xml:space="preserve"> root.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Use the legislative process URI as root of activities URIs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legislative process URI SHOULD be used as a root URI to identify activities that took place during the process, using the {activity} URI component.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/eli/dl/proj/{year}/{legislative_process_identifier}/{activity}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Note how the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{activity}</w:t>
      </w:r>
      <w:r w:rsidDel="00000000" w:rsidR="00000000" w:rsidRPr="00000000">
        <w:rPr>
          <w:i w:val="1"/>
          <w:rtl w:val="0"/>
        </w:rPr>
        <w:t xml:space="preserve"> component follows the URI that identifies the process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By default, identify an activity with an activity type plus a sequence number or a date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identification of an activity depends on each country’s requirements; if there is no such requirement, it is suggested that the {activity} component is structured in {activity_type}_{sequence_number} : the type of the activity, the “_” (underscore) character, and the sequence number of the activity in the serie of activities. The {activity_type}, when unknown or not applicable, can take a fixed value or code that indicate this URI identifies an activity (e.g. “activity”, “avt”, “event”, “evt”, etc. using “act” is discouraged to avoid confusion with a published act).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Instead of a {sequence_number}, if it is known, the {activity_date} can also be used, i.e. {activity_type}_{activity_date}. The date SHOULD be formatted in YYYYMMDD.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 all cases, the URI identifier of an activity MUST be unique.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/eli/dl/proj/2019/123/avt_2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how the activity is identified using a fixed value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avt</w:t>
      </w:r>
      <w:r w:rsidDel="00000000" w:rsidR="00000000" w:rsidRPr="00000000">
        <w:rPr>
          <w:i w:val="1"/>
          <w:rtl w:val="0"/>
        </w:rPr>
        <w:t xml:space="preserve"> and the sequence number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, indicating this is the second activity that occurred during the process.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/eli/dl/proj/2019/123/opinion_20200214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 how the activity is identified using an activity type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opinion</w:t>
      </w:r>
      <w:r w:rsidDel="00000000" w:rsidR="00000000" w:rsidRPr="00000000">
        <w:rPr>
          <w:i w:val="1"/>
          <w:rtl w:val="0"/>
        </w:rPr>
        <w:t xml:space="preserve"> and the activity date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20200214</w:t>
      </w:r>
      <w:r w:rsidDel="00000000" w:rsidR="00000000" w:rsidRPr="00000000">
        <w:rPr>
          <w:i w:val="1"/>
          <w:rtl w:val="0"/>
        </w:rPr>
        <w:t xml:space="preserve">, indicating the date at which the activity took place.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Nest subactivities in the hierarchical structure of the URI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Subactivities can be identified by nesting them in the hierarchical structure of the URI, typically {activity}/{sub-activity}/{sub-sub-activity}.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Each activity and subactivity can be identified using the default identification scheme described above, or any other way of identifying an activity depending on each country’s requirement.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/eli/dl/proj/2019/123/parl_2/vote_1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In this example the activity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vote_1</w:t>
      </w:r>
      <w:r w:rsidDel="00000000" w:rsidR="00000000" w:rsidRPr="00000000">
        <w:rPr>
          <w:i w:val="1"/>
          <w:rtl w:val="0"/>
        </w:rPr>
        <w:t xml:space="preserve"> is a subactivity of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parl_2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Use the legislative process URI as root of document URIs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legislative process URI SHOULD be used as a root URI to identify documents that have been written in the course of the process, using the {type_of_legislative_process_document} and any other suitable URI components.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/eli/dl/proj/{year}/{legislative_process_identifier}/{type_of_legislative_process_document}/{document_identifier}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rtl w:val="0"/>
        </w:rPr>
        <w:t xml:space="preserve">Note how the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{type_of_legislative_process_document}/{document_identifier}</w:t>
      </w:r>
      <w:r w:rsidDel="00000000" w:rsidR="00000000" w:rsidRPr="00000000">
        <w:rPr>
          <w:i w:val="1"/>
          <w:rtl w:val="0"/>
        </w:rPr>
        <w:t xml:space="preserve"> part follows the URI that identifies the legislative process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When possible, give a specific type to the drafted act and amendments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 possible, the drafted act SHOULD be identified with a proper value for the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{type_of_legislative_process_document}</w:t>
      </w:r>
      <w:r w:rsidDel="00000000" w:rsidR="00000000" w:rsidRPr="00000000">
        <w:rPr>
          <w:rtl w:val="0"/>
        </w:rPr>
        <w:t xml:space="preserve"> component, like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draft_act</w:t>
      </w:r>
      <w:r w:rsidDel="00000000" w:rsidR="00000000" w:rsidRPr="00000000">
        <w:rPr>
          <w:rtl w:val="0"/>
        </w:rPr>
        <w:t xml:space="preserve">, or an equivalent code in another language.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(fictitious) 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.../eli/dl/proj/2019/123/draft_act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This URI identifies the draft act of legislative process 123 of 2019, independently of one of its temporal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possible, the amendments to the drafted legislation SHOULD be identified with a proper value for the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{type_of_legislative_process_document}</w:t>
      </w:r>
      <w:r w:rsidDel="00000000" w:rsidR="00000000" w:rsidRPr="00000000">
        <w:rPr>
          <w:rtl w:val="0"/>
        </w:rPr>
        <w:t xml:space="preserve"> component, like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amendment</w:t>
      </w:r>
      <w:r w:rsidDel="00000000" w:rsidR="00000000" w:rsidRPr="00000000">
        <w:rPr>
          <w:rtl w:val="0"/>
        </w:rPr>
        <w:t xml:space="preserve">, or an equivalent code in another language. 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 (fictitious)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.../eli/dl/proj/2019/123/amendment/commission_abc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i w:val="1"/>
          <w:rtl w:val="0"/>
        </w:rPr>
        <w:t xml:space="preserve">This URI identifies an amendment with the identifier “commission_abc”, in the legislative process 123 of 2019 (independently of the potential temporal versions of this amendment).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When known, proper values SHOULD be used for the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{type_of_legislative_process_document}</w:t>
      </w:r>
      <w:r w:rsidDel="00000000" w:rsidR="00000000" w:rsidRPr="00000000">
        <w:rPr>
          <w:rtl w:val="0"/>
        </w:rPr>
        <w:t xml:space="preserve"> (e.g. opinion, report, etc.)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i w:val="1"/>
          <w:rtl w:val="0"/>
        </w:rPr>
        <w:t xml:space="preserve">Example (fictitious)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.../eli/dl/proj/2019/123/opinion/XYZ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i w:val="1"/>
          <w:rtl w:val="0"/>
        </w:rPr>
        <w:t xml:space="preserve">This URI identifies an opinion document, with the identifier “XYZ”, in the legislative process 123 of 2019 (independently of the potential successive temporal versions of this opinion document).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Knowing the type of every document that is produced or used in the course of a legislative process may not be possible. In that case, a default value MUST be used for the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{type_of_legislative_process_document}</w:t>
      </w:r>
      <w:r w:rsidDel="00000000" w:rsidR="00000000" w:rsidRPr="00000000">
        <w:rPr>
          <w:rtl w:val="0"/>
        </w:rPr>
        <w:t xml:space="preserve"> component, like </w:t>
      </w: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doc</w:t>
      </w:r>
      <w:r w:rsidDel="00000000" w:rsidR="00000000" w:rsidRPr="00000000">
        <w:rPr>
          <w:rtl w:val="0"/>
        </w:rPr>
        <w:t xml:space="preserve">, or an equivalent code in the country’s language. The objective is to clearly distinguish a URI that identifies a document from a URI that identifies an activity.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i w:val="1"/>
          <w:rtl w:val="0"/>
        </w:rPr>
        <w:t xml:space="preserve">Example (fictitious)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  <w:color w:val="cc0000"/>
        </w:rPr>
      </w:pPr>
      <w:r w:rsidDel="00000000" w:rsidR="00000000" w:rsidRPr="00000000">
        <w:rPr>
          <w:rFonts w:ascii="Consolas" w:cs="Consolas" w:eastAsia="Consolas" w:hAnsi="Consolas"/>
          <w:color w:val="cc0000"/>
          <w:rtl w:val="0"/>
        </w:rPr>
        <w:t xml:space="preserve">.../eli/dl/proj/2019/123/doc/XYZ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i w:val="1"/>
          <w:rtl w:val="0"/>
        </w:rPr>
        <w:t xml:space="preserve">This URI identifies a document with the identifier “XYZ”, in the legislative process 123 of 2019 (independently of the potential temporal versions of this document).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Identify temporal versions of the drafted act (typically using point-in-time)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(existing) {point-in-time} component SHOULD be used to identify temporal version of the draft act itself.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/eli/dl/proj/2019/123/draft_act/20190922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URI identifies the draft act of legislative process 123 of 2019, as it was on the 22nd of september 2019.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Provide direct access to the latest version of the draft act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URI of the draft act without a {point-in-time} identifies the “abstract” draft act, meaning the draft act independently of one of its specific version.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Such a URI SHOULD return the most recent version of the draft act.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/eli/dl/proj/2019/123/draft_act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This URI identifies the draft act of legislative process 123 of 2019, independently of a specific version, and should return the most recent version of the drafted act when accessed.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FRBR structure remain applicable for documents (to identify language variants and format variants)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FRBR structure, with Expressions identifying language variants of a document, and Formats identifying format variants of the same content, remains applicable for any legislative-process-related document. They typically use the existing {language} and {format} existing URI components.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{point-in-time} remains also applicable if there is a need to identify temporal versions of a document.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cc0000"/>
          <w:shd w:fill="d9d9d9" w:val="clear"/>
        </w:rPr>
      </w:pPr>
      <w:r w:rsidDel="00000000" w:rsidR="00000000" w:rsidRPr="00000000">
        <w:rPr>
          <w:i w:val="1"/>
          <w:rtl w:val="0"/>
        </w:rPr>
        <w:t xml:space="preserve">Example (fictitious) : </w:t>
      </w:r>
      <w:r w:rsidDel="00000000" w:rsidR="00000000" w:rsidRPr="00000000">
        <w:rPr>
          <w:rFonts w:ascii="Consolas" w:cs="Consolas" w:eastAsia="Consolas" w:hAnsi="Consolas"/>
          <w:color w:val="cc0000"/>
          <w:shd w:fill="d9d9d9" w:val="clear"/>
          <w:rtl w:val="0"/>
        </w:rPr>
        <w:t xml:space="preserve">/eli/dl/proj/2019/123/doc/abc12/spa/html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This URI identifies the HTML format of the Spanish variant of a related document number abc12 in the legislative process 123 of 2019.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281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ublications.europa.eu/resource/cellar/c2f0e4f9-ed6f-11e8-b690-01aa75ed71a1.0001.03/DOC_2" TargetMode="External"/><Relationship Id="rId7" Type="http://schemas.openxmlformats.org/officeDocument/2006/relationships/hyperlink" Target="https://tools.ietf.org/html/bcp14" TargetMode="External"/><Relationship Id="rId8" Type="http://schemas.openxmlformats.org/officeDocument/2006/relationships/hyperlink" Target="https://tools.ietf.org/html/bcp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