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5"/>
        <w:jc w:val="center"/>
        <w:rPr>
          <w:b/>
          <w:lang w:val="fr-FR"/>
        </w:rPr>
      </w:pPr>
      <w:r>
        <w:rPr>
          <w:b/>
          <w:lang w:val="fr-FR"/>
        </w:rPr>
        <w:t xml:space="preserve">Scorebot</w:t>
      </w:r>
      <w:r/>
    </w:p>
    <w:p>
      <w:pPr>
        <w:pStyle w:val="865"/>
        <w:jc w:val="center"/>
        <w:rPr>
          <w:lang w:val="fr-FR"/>
        </w:rPr>
      </w:pPr>
      <w:r>
        <w:rPr>
          <w:lang w:val="fr-FR"/>
        </w:rPr>
        <w:t xml:space="preserve">Documentation de la conversion en RDF</w:t>
      </w:r>
      <w:r>
        <w:rPr>
          <w:lang w:val="fr-FR"/>
        </w:rPr>
      </w:r>
      <w:r/>
    </w:p>
    <w:p>
      <w:pPr>
        <w:rPr>
          <w:lang w:val="fr-FR"/>
        </w:rPr>
      </w:pPr>
      <w:r/>
      <w:bookmarkStart w:id="0" w:name="_a27tpdahfp82"/>
      <w:r/>
      <w:bookmarkEnd w:id="0"/>
      <w:r/>
      <w:r/>
    </w:p>
    <w:sdt>
      <w:sdtPr>
        <w15:appearance w15:val="boundingBox"/>
        <w:id w:val="971331899"/>
        <w:docPartObj>
          <w:docPartGallery w:val="Table of Contents"/>
          <w:docPartUnique w:val="true"/>
        </w:docPartObj>
        <w:rPr>
          <w:rFonts w:ascii="Arial" w:hAnsi="Arial" w:eastAsia="Arial" w:cs="Arial"/>
          <w:color w:val="auto"/>
          <w:sz w:val="22"/>
          <w:szCs w:val="22"/>
          <w:lang w:val="en"/>
        </w:rPr>
      </w:sdtPr>
      <w:sdtContent>
        <w:p>
          <w:pPr>
            <w:pStyle w:val="871"/>
          </w:pPr>
          <w:r/>
          <w:bookmarkStart w:id="13" w:name="_Toc1"/>
          <w:r>
            <w:t xml:space="preserve">Table des matières</w:t>
          </w:r>
          <w:r/>
          <w:bookmarkEnd w:id="13"/>
          <w:r/>
          <w:r/>
        </w:p>
        <w:p>
          <w:pPr>
            <w:pStyle w:val="872"/>
            <w:tabs>
              <w:tab w:val="right" w:pos="9350" w:leader="dot"/>
            </w:tabs>
          </w:pPr>
          <w:r>
            <w:rPr>
              <w:lang w:val="fr-FR"/>
            </w:rPr>
            <w:fldChar w:fldCharType="begin"/>
          </w:r>
          <w:r>
            <w:rPr>
              <w:rStyle w:val="864"/>
              <w:lang w:val="fr-FR"/>
            </w:rPr>
            <w:instrText xml:space="preserve">TOC \z \o "1-3" \u \h</w:instrText>
          </w:r>
          <w:r>
            <w:rPr>
              <w:rStyle w:val="864"/>
            </w:rPr>
            <w:fldChar w:fldCharType="separate"/>
          </w:r>
          <w:r>
            <w:rPr>
              <w:lang w:val="fr-FR"/>
            </w:rPr>
          </w:r>
          <w:hyperlink w:tooltip="#_Toc1" w:anchor="_Toc1" w:history="1">
            <w:r>
              <w:rPr>
                <w:rStyle w:val="882"/>
              </w:rPr>
            </w:r>
            <w:r>
              <w:rPr>
                <w:rStyle w:val="882"/>
              </w:rPr>
              <w:t xml:space="preserve">Table des matières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72"/>
            <w:tabs>
              <w:tab w:val="right" w:pos="9350" w:leader="dot"/>
            </w:tabs>
          </w:pPr>
          <w:hyperlink w:tooltip="#_Toc2" w:anchor="_Toc2" w:history="1">
            <w:r>
              <w:rPr>
                <w:rStyle w:val="882"/>
              </w:rPr>
            </w:r>
            <w:r>
              <w:rPr>
                <w:rStyle w:val="882"/>
                <w:lang w:val="fr-FR"/>
              </w:rPr>
              <w:t xml:space="preserve">Prérequis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2"/>
            <w:tabs>
              <w:tab w:val="right" w:pos="9350" w:leader="dot"/>
            </w:tabs>
          </w:pPr>
          <w:hyperlink w:tooltip="#_Toc3" w:anchor="_Toc3" w:history="1">
            <w:r>
              <w:rPr>
                <w:rStyle w:val="882"/>
              </w:rPr>
            </w:r>
            <w:r>
              <w:rPr>
                <w:rStyle w:val="882"/>
                <w:lang w:val="fr-FR"/>
              </w:rPr>
              <w:t xml:space="preserve">Organisation des fichiers et répertoire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3"/>
            <w:tabs>
              <w:tab w:val="right" w:pos="9350" w:leader="dot"/>
            </w:tabs>
          </w:pPr>
          <w:hyperlink w:tooltip="#_Toc4" w:anchor="_Toc4" w:history="1">
            <w:r>
              <w:rPr>
                <w:rStyle w:val="882"/>
              </w:rPr>
            </w:r>
            <w:r>
              <w:rPr>
                <w:rStyle w:val="882"/>
                <w:lang w:val="fr-FR"/>
              </w:rPr>
              <w:t xml:space="preserve">Structure de répertoires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3"/>
            <w:tabs>
              <w:tab w:val="right" w:pos="9350" w:leader="dot"/>
            </w:tabs>
          </w:pPr>
          <w:hyperlink w:tooltip="#_Toc5" w:anchor="_Toc5" w:history="1">
            <w:r>
              <w:rPr>
                <w:rStyle w:val="882"/>
              </w:rPr>
            </w:r>
            <w:r>
              <w:rPr>
                <w:rStyle w:val="882"/>
                <w:lang w:val="fr-FR"/>
              </w:rPr>
              <w:t xml:space="preserve">Structure du répertoire « input »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4"/>
            <w:tabs>
              <w:tab w:val="right" w:pos="9350" w:leader="dot"/>
            </w:tabs>
            <w:rPr>
              <w:highlight w:val="none"/>
            </w:rPr>
          </w:pPr>
          <w:hyperlink w:tooltip="#_Toc6" w:anchor="_Toc6" w:history="1">
            <w:r>
              <w:rPr>
                <w:rStyle w:val="882"/>
              </w:rPr>
            </w:r>
            <w:r>
              <w:rPr>
                <w:rStyle w:val="882"/>
                <w:highlight w:val="none"/>
                <w:lang w:val="fr-FR"/>
              </w:rPr>
              <w:t xml:space="preserve">XML à convertir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:lang w:val="fr-FR"/>
            </w:rPr>
          </w:r>
        </w:p>
        <w:p>
          <w:pPr>
            <w:pStyle w:val="874"/>
            <w:tabs>
              <w:tab w:val="right" w:pos="9350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82"/>
              </w:rPr>
            </w:r>
            <w:r>
              <w:rPr>
                <w:rStyle w:val="882"/>
                <w:highlight w:val="none"/>
                <w:lang w:val="fr-FR"/>
              </w:rPr>
              <w:t xml:space="preserve">Vocabulaires contrôlés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:lang w:val="fr-FR"/>
            </w:rPr>
          </w:r>
        </w:p>
        <w:p>
          <w:pPr>
            <w:pStyle w:val="873"/>
            <w:tabs>
              <w:tab w:val="right" w:pos="9350" w:leader="dot"/>
            </w:tabs>
          </w:pPr>
          <w:hyperlink w:tooltip="#_Toc8" w:anchor="_Toc8" w:history="1">
            <w:r>
              <w:rPr>
                <w:rStyle w:val="882"/>
              </w:rPr>
            </w:r>
            <w:r>
              <w:rPr>
                <w:rStyle w:val="882"/>
                <w:lang w:val="fr-FR"/>
              </w:rPr>
              <w:t xml:space="preserve">Structure du répertoire « work »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2"/>
            <w:tabs>
              <w:tab w:val="right" w:pos="9350" w:leader="dot"/>
            </w:tabs>
          </w:pPr>
          <w:hyperlink w:tooltip="#_Toc9" w:anchor="_Toc9" w:history="1">
            <w:r>
              <w:rPr>
                <w:rStyle w:val="882"/>
              </w:rPr>
            </w:r>
            <w:r>
              <w:rPr>
                <w:rStyle w:val="882"/>
              </w:rPr>
              <w:t xml:space="preserve">Principe de la conversion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2"/>
            <w:tabs>
              <w:tab w:val="right" w:pos="9350" w:leader="dot"/>
            </w:tabs>
            <w:rPr>
              <w:bCs/>
            </w:rPr>
          </w:pPr>
          <w:hyperlink w:tooltip="#_Toc10" w:anchor="_Toc10" w:history="1">
            <w:r>
              <w:rPr>
                <w:rStyle w:val="882"/>
              </w:rPr>
            </w:r>
            <w:r>
              <w:rPr>
                <w:rStyle w:val="882"/>
              </w:rPr>
              <w:t xml:space="preserve">Convertir les vocabulaires contrôlés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bCs/>
              <w:lang w:val="fr-FR"/>
            </w:rPr>
          </w:r>
        </w:p>
        <w:p>
          <w:pPr>
            <w:pStyle w:val="872"/>
            <w:tabs>
              <w:tab w:val="right" w:pos="9350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882"/>
              </w:rPr>
            </w:r>
            <w:r>
              <w:rPr>
                <w:rStyle w:val="882"/>
                <w:highlight w:val="none"/>
              </w:rPr>
              <w:t xml:space="preserve">Copier les fichiers</w:t>
            </w:r>
            <w:r>
              <w:rPr>
                <w:rStyle w:val="882"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72"/>
            <w:tabs>
              <w:tab w:val="right" w:pos="9350" w:leader="dot"/>
            </w:tabs>
            <w:rPr>
              <w:highlight w:val="none"/>
            </w:rPr>
          </w:pPr>
          <w:hyperlink w:tooltip="#_Toc12" w:anchor="_Toc12" w:history="1">
            <w:r>
              <w:rPr>
                <w:rStyle w:val="882"/>
              </w:rPr>
            </w:r>
            <w:r>
              <w:rPr>
                <w:rStyle w:val="882"/>
              </w:rPr>
              <w:t xml:space="preserve">Convertir les fichiers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72"/>
            <w:tabs>
              <w:tab w:val="right" w:pos="9350" w:leader="dot"/>
            </w:tabs>
          </w:pPr>
          <w:hyperlink w:tooltip="#_Toc13" w:anchor="_Toc13" w:history="1">
            <w:r>
              <w:rPr>
                <w:rStyle w:val="882"/>
              </w:rPr>
            </w:r>
            <w:r>
              <w:rPr>
                <w:rStyle w:val="882"/>
                <w:highlight w:val="none"/>
                <w:lang w:val="fr-FR"/>
              </w:rPr>
              <w:t xml:space="preserve">Valider les données</w:t>
            </w:r>
            <w:r>
              <w:rPr>
                <w:rStyle w:val="882"/>
                <w:highlight w:val="none"/>
                <w:lang w:val="fr-FR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5</w:t>
              <w:fldChar w:fldCharType="end"/>
            </w:r>
          </w:hyperlink>
          <w:r>
            <w:rPr>
              <w:lang w:val="fr-FR"/>
            </w:rPr>
          </w:r>
        </w:p>
        <w:p>
          <w:pPr>
            <w:pStyle w:val="872"/>
            <w:tabs>
              <w:tab w:val="right" w:pos="9350" w:leader="dot"/>
            </w:tabs>
            <w:rPr>
              <w:highlight w:val="none"/>
            </w:rPr>
          </w:pPr>
          <w:hyperlink w:tooltip="#_Toc14" w:anchor="_Toc14" w:history="1">
            <w:r>
              <w:rPr>
                <w:rStyle w:val="882"/>
              </w:rPr>
            </w:r>
            <w:r>
              <w:rPr>
                <w:rStyle w:val="882"/>
                <w:highlight w:val="none"/>
                <w:lang w:val="fr-FR"/>
              </w:rPr>
              <w:t xml:space="preserve">Chargement des données dans GraphDB</w:t>
            </w:r>
            <w:r>
              <w:rPr>
                <w:rStyle w:val="882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fr-FR"/>
            </w:rPr>
          </w:r>
        </w:p>
        <w:p>
          <w:pPr>
            <w:rPr>
              <w:lang w:val="fr-FR"/>
            </w:rPr>
          </w:pPr>
          <w:r>
            <w:rPr>
              <w:rStyle w:val="864"/>
            </w:rPr>
          </w:r>
          <w:r>
            <w:rPr>
              <w:lang w:val="fr-FR"/>
            </w:rPr>
            <w:fldChar w:fldCharType="end"/>
          </w:r>
          <w:r/>
          <w:r/>
        </w:p>
      </w:sdtContent>
    </w:sdt>
    <w:p>
      <w:pPr>
        <w:rPr>
          <w:lang w:val="fr-FR"/>
        </w:rPr>
      </w:pPr>
      <w:r>
        <w:rPr>
          <w:lang w:val="fr-FR"/>
        </w:rPr>
        <w:br w:type="page" w:clear="all"/>
      </w:r>
      <w:r/>
    </w:p>
    <w:p>
      <w:pPr>
        <w:pStyle w:val="854"/>
        <w:rPr>
          <w:lang w:val="fr-FR"/>
        </w:rPr>
      </w:pPr>
      <w:r/>
      <w:bookmarkStart w:id="14" w:name="_Toc2"/>
      <w:r>
        <w:rPr>
          <w:lang w:val="fr-FR"/>
        </w:rPr>
        <w:t xml:space="preserve">Prérequis</w:t>
      </w:r>
      <w:r/>
      <w:bookmarkEnd w:id="14"/>
      <w:r/>
      <w:r/>
    </w:p>
    <w:p>
      <w:pPr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Avoir </w:t>
      </w:r>
      <w:hyperlink r:id="rId10" w:tooltip="https://www.java.com/fr/" w:history="1">
        <w:r>
          <w:rPr>
            <w:color w:val="1155cc"/>
            <w:u w:val="single"/>
            <w:lang w:val="fr-FR"/>
          </w:rPr>
          <w:t xml:space="preserve">Java</w:t>
        </w:r>
      </w:hyperlink>
      <w:r>
        <w:rPr>
          <w:lang w:val="fr-FR"/>
        </w:rPr>
        <w:t xml:space="preserve"> installé sur le poste de travail, et avoir la commande « java » dans le PATH</w:t>
      </w:r>
      <w:r/>
    </w:p>
    <w:p>
      <w:pPr>
        <w:pStyle w:val="854"/>
        <w:rPr>
          <w:lang w:val="fr-FR"/>
        </w:rPr>
      </w:pPr>
      <w:r/>
      <w:bookmarkStart w:id="15" w:name="_Toc3"/>
      <w:r/>
      <w:bookmarkStart w:id="3" w:name="_91ceidkc7cei"/>
      <w:r/>
      <w:bookmarkEnd w:id="3"/>
      <w:r>
        <w:rPr>
          <w:lang w:val="fr-FR"/>
        </w:rPr>
        <w:t xml:space="preserve">Organisation des fichiers et répertoire</w:t>
      </w:r>
      <w:bookmarkEnd w:id="15"/>
      <w:r/>
      <w:r/>
    </w:p>
    <w:p>
      <w:pPr>
        <w:pStyle w:val="855"/>
        <w:rPr>
          <w:sz w:val="32"/>
          <w:szCs w:val="32"/>
          <w:lang w:val="fr-FR"/>
        </w:rPr>
      </w:pPr>
      <w:r/>
      <w:bookmarkStart w:id="16" w:name="_Toc4"/>
      <w:r/>
      <w:bookmarkStart w:id="5" w:name="_g866duxjlxfk"/>
      <w:r/>
      <w:bookmarkEnd w:id="5"/>
      <w:r>
        <w:rPr>
          <w:sz w:val="32"/>
          <w:szCs w:val="32"/>
          <w:lang w:val="fr-FR"/>
        </w:rPr>
        <w:t xml:space="preserve">Structure de répertoires</w:t>
      </w:r>
      <w:bookmarkEnd w:id="16"/>
      <w:r/>
      <w:r/>
    </w:p>
    <w:p>
      <w:pPr>
        <w:rPr>
          <w:b/>
          <w:lang w:val="fr-FR"/>
        </w:rPr>
      </w:pPr>
      <w:r>
        <w:rPr>
          <w:b/>
          <w:lang w:val="fr-FR"/>
        </w:rPr>
      </w:r>
      <w:r/>
    </w:p>
    <w:p>
      <w:pPr>
        <w:rPr>
          <w:lang w:val="fr-FR"/>
        </w:rPr>
      </w:pPr>
      <w:r>
        <w:rPr>
          <w:b/>
          <w:lang w:val="fr-FR"/>
        </w:rPr>
        <w:t xml:space="preserve">Dossiers</w:t>
      </w:r>
      <w:r>
        <w:rPr>
          <w:lang w:val="fr-FR"/>
        </w:rPr>
        <w:t xml:space="preserve">:</w:t>
      </w:r>
      <w:r/>
    </w:p>
    <w:p>
      <w:pPr>
        <w:pStyle w:val="875"/>
        <w:numPr>
          <w:ilvl w:val="0"/>
          <w:numId w:val="12"/>
        </w:numPr>
        <w:tabs>
          <w:tab w:val="clear" w:pos="0" w:leader="none"/>
        </w:tabs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nput</w:t>
      </w:r>
      <w:r>
        <w:rPr>
          <w:lang w:val="fr-FR"/>
        </w:rPr>
        <w:t xml:space="preserve"> : contient les données source pour la conversion</w:t>
      </w:r>
      <w:r/>
    </w:p>
    <w:p>
      <w:pPr>
        <w:pStyle w:val="875"/>
        <w:numPr>
          <w:ilvl w:val="0"/>
          <w:numId w:val="12"/>
        </w:numPr>
        <w:tabs>
          <w:tab w:val="clear" w:pos="0" w:leader="none"/>
        </w:tabs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xslt</w:t>
      </w:r>
      <w:r>
        <w:rPr>
          <w:lang w:val="fr-FR"/>
        </w:rPr>
        <w:t xml:space="preserve"> : contient les XSLT de conversion</w:t>
      </w:r>
      <w:r/>
    </w:p>
    <w:p>
      <w:pPr>
        <w:pStyle w:val="875"/>
        <w:numPr>
          <w:ilvl w:val="0"/>
          <w:numId w:val="12"/>
        </w:numPr>
        <w:tabs>
          <w:tab w:val="clear" w:pos="0" w:leader="none"/>
        </w:tabs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shacl</w:t>
      </w:r>
      <w:r>
        <w:rPr>
          <w:lang w:val="fr-FR"/>
        </w:rPr>
        <w:t xml:space="preserve"> : description du modèle en SHACL permettant une validation des données</w:t>
      </w:r>
      <w:r/>
    </w:p>
    <w:p>
      <w:pPr>
        <w:tabs>
          <w:tab w:val="clear" w:pos="0" w:leader="none"/>
        </w:tabs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tabs>
          <w:tab w:val="clear" w:pos="0" w:leader="none"/>
        </w:tabs>
        <w:rPr>
          <w:highlight w:val="none"/>
          <w:lang w:val="fr-FR"/>
        </w:rPr>
      </w:pPr>
      <w:r>
        <w:rPr>
          <w:lang w:val="fr-FR"/>
        </w:rPr>
        <w:t xml:space="preserve">Deux autres dossiers seront créés lors de la conversion :</w:t>
      </w:r>
      <w:r>
        <w:rPr>
          <w:lang w:val="fr-FR"/>
        </w:rPr>
      </w:r>
      <w:r/>
    </w:p>
    <w:p>
      <w:pPr>
        <w:tabs>
          <w:tab w:val="clear" w:pos="0" w:leader="none"/>
        </w:tabs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pStyle w:val="875"/>
        <w:numPr>
          <w:ilvl w:val="0"/>
          <w:numId w:val="23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output</w:t>
      </w:r>
      <w:r>
        <w:rPr>
          <w:lang w:val="fr-FR"/>
        </w:rPr>
        <w:t xml:space="preserve"> </w:t>
      </w:r>
      <w:r>
        <w:rPr>
          <w:lang w:val="fr-FR"/>
        </w:rPr>
        <w:t xml:space="preserve">: contient le résultat de la conversion</w:t>
      </w:r>
      <w:r/>
    </w:p>
    <w:p>
      <w:pPr>
        <w:pStyle w:val="875"/>
        <w:numPr>
          <w:ilvl w:val="0"/>
          <w:numId w:val="23"/>
        </w:numPr>
        <w:rPr>
          <w:lang w:val="fr-FR"/>
        </w:rPr>
      </w:pPr>
      <w:r>
        <w:rPr>
          <w:highlight w:val="none"/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work</w:t>
      </w:r>
      <w:r>
        <w:rPr>
          <w:lang w:val="fr-FR"/>
        </w:rPr>
        <w:t xml:space="preserve"> </w:t>
      </w:r>
      <w:r>
        <w:rPr>
          <w:lang w:val="fr-FR"/>
        </w:rPr>
        <w:t xml:space="preserve">: contient les fichiers temporaires, dont les logs, générés à chaque lancement de la conversion</w:t>
      </w:r>
      <w:r>
        <w:rPr>
          <w:highlight w:val="none"/>
          <w:lang w:val="fr-FR"/>
        </w:rPr>
      </w:r>
      <w:r/>
    </w:p>
    <w:p>
      <w:pPr>
        <w:tabs>
          <w:tab w:val="clear" w:pos="0" w:leader="none"/>
        </w:tabs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tabs>
          <w:tab w:val="clear" w:pos="0" w:leader="none"/>
        </w:tabs>
        <w:rPr>
          <w:highlight w:val="none"/>
          <w:lang w:val="fr-FR"/>
        </w:rPr>
      </w:pPr>
      <w:r>
        <w:rPr>
          <w:lang w:val="fr-FR"/>
        </w:rPr>
        <w:t xml:space="preserve">Un autre dossier sera créé lors de la validation :</w:t>
      </w:r>
      <w:r>
        <w:rPr>
          <w:lang w:val="fr-FR"/>
        </w:rPr>
      </w:r>
    </w:p>
    <w:p>
      <w:pPr>
        <w:pStyle w:val="875"/>
        <w:numPr>
          <w:ilvl w:val="0"/>
          <w:numId w:val="31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output-validation</w:t>
      </w:r>
      <w:r>
        <w:rPr>
          <w:lang w:val="fr-FR"/>
        </w:rPr>
        <w:t xml:space="preserve"> </w:t>
      </w:r>
      <w:r>
        <w:rPr>
          <w:lang w:val="fr-FR"/>
        </w:rPr>
        <w:t xml:space="preserve">: contient le rapport de validation ainsi que les logs du processus de validation</w:t>
      </w:r>
      <w:r/>
    </w:p>
    <w:p>
      <w:pPr>
        <w:tabs>
          <w:tab w:val="clear" w:pos="0" w:leader="none"/>
        </w:tabs>
        <w:rPr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tabs>
          <w:tab w:val="clear" w:pos="0" w:leader="none"/>
        </w:tabs>
        <w:rPr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b/>
          <w:lang w:val="fr-FR"/>
        </w:rPr>
        <w:t xml:space="preserve">Fichiers</w:t>
      </w:r>
      <w:r>
        <w:rPr>
          <w:lang w:val="fr-FR"/>
        </w:rPr>
        <w:t xml:space="preserve">:</w:t>
      </w:r>
      <w:r/>
    </w:p>
    <w:p>
      <w:pPr>
        <w:rPr>
          <w:lang w:val="fr-FR"/>
        </w:rPr>
      </w:pPr>
      <w:r>
        <w:rPr>
          <w:highlight w:val="none"/>
          <w:lang w:val="fr-FR"/>
        </w:rPr>
        <w:t xml:space="preserve">Le répertoires contient un certain nombre de fichiers, en particuliers les scripts de conversion et de validation : </w:t>
      </w:r>
      <w:r>
        <w:rPr>
          <w:lang w:val="fr-FR"/>
        </w:rPr>
        <w:t xml:space="preserve">scorebot_conversion</w:t>
      </w:r>
      <w:r>
        <w:rPr>
          <w:lang w:val="fr-FR"/>
        </w:rPr>
        <w:t xml:space="preserve">.bat et </w:t>
      </w:r>
      <w:r>
        <w:rPr>
          <w:lang w:val="fr-FR"/>
        </w:rPr>
        <w:t xml:space="preserve">scorebot_validation</w:t>
      </w:r>
      <w:r>
        <w:rPr>
          <w:lang w:val="fr-FR"/>
        </w:rPr>
        <w:t xml:space="preserve">.bat</w:t>
      </w:r>
      <w:r>
        <w:rPr>
          <w:lang w:val="fr-FR"/>
        </w:rPr>
      </w:r>
      <w:r/>
    </w:p>
    <w:p>
      <w:pPr>
        <w:pStyle w:val="855"/>
        <w:rPr>
          <w:lang w:val="fr-FR"/>
        </w:rPr>
      </w:pPr>
      <w:r/>
      <w:bookmarkStart w:id="17" w:name="_Toc5"/>
      <w:r>
        <w:rPr>
          <w:sz w:val="32"/>
          <w:szCs w:val="32"/>
          <w:lang w:val="fr-FR"/>
        </w:rPr>
        <w:t xml:space="preserve">Structure du répertoire « input »</w:t>
      </w:r>
      <w:r>
        <w:rPr>
          <w:lang w:val="fr-FR"/>
        </w:rPr>
      </w:r>
      <w:bookmarkEnd w:id="17"/>
      <w:r/>
      <w:r/>
    </w:p>
    <w:p>
      <w:pPr>
        <w:rPr>
          <w:lang w:val="fr-FR"/>
        </w:rPr>
      </w:pP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b w:val="0"/>
          <w:bCs w:val="0"/>
          <w:lang w:val="fr-FR"/>
        </w:rPr>
        <w:t xml:space="preserve">Ce </w:t>
      </w:r>
      <w:r>
        <w:rPr>
          <w:b w:val="0"/>
          <w:bCs w:val="0"/>
          <w:lang w:val="fr-FR"/>
        </w:rPr>
        <w:t xml:space="preserve">d</w:t>
      </w:r>
      <w:r>
        <w:rPr>
          <w:lang w:val="fr-FR"/>
        </w:rPr>
        <w:t xml:space="preserve">ossier est le dossier principal où se trouvent les fichiers </w:t>
      </w:r>
      <w:r>
        <w:rPr>
          <w:lang w:val="fr-FR"/>
        </w:rPr>
        <w:t xml:space="preserve">xml </w:t>
      </w:r>
      <w:r>
        <w:rPr>
          <w:lang w:val="fr-FR"/>
        </w:rPr>
        <w:t xml:space="preserve">à convertir</w:t>
      </w:r>
      <w:r>
        <w:rPr>
          <w:lang w:val="fr-FR"/>
        </w:rPr>
        <w:t xml:space="preserve">.</w:t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Il contient 2 grandes familles de fichiers : les XML à convertir, en XML, et les vocabulaires contrôlés utilisés lors de la conversion, en RDF (n’importe quelle sérialisation).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pStyle w:val="856"/>
        <w:rPr>
          <w:highlight w:val="none"/>
          <w:lang w:val="fr-FR"/>
        </w:rPr>
      </w:pPr>
      <w:r/>
      <w:bookmarkStart w:id="18" w:name="_Toc6"/>
      <w:r>
        <w:rPr>
          <w:highlight w:val="none"/>
          <w:lang w:val="fr-FR"/>
        </w:rPr>
        <w:t xml:space="preserve">XML à convertir</w:t>
      </w:r>
      <w:r>
        <w:rPr>
          <w:highlight w:val="none"/>
          <w:lang w:val="fr-FR"/>
        </w:rPr>
      </w:r>
      <w:bookmarkEnd w:id="18"/>
      <w:r/>
      <w:r/>
    </w:p>
    <w:p>
      <w:pPr>
        <w:rPr>
          <w:lang w:val="fr-FR"/>
        </w:rPr>
      </w:pPr>
      <w:r>
        <w:rPr>
          <w:lang w:val="fr-FR"/>
        </w:rPr>
        <w:t xml:space="preserve">Les répertoires contenant les XML à convertir sont les suivants :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input\collectivites</w:t>
      </w:r>
      <w:r>
        <w:rPr>
          <w:lang w:val="fr-FR"/>
        </w:rPr>
        <w:t xml:space="preserve"> : doit contenir le fichier XML d’export des autorités collectivités</w:t>
      </w:r>
      <w:r>
        <w:rPr>
          <w:lang w:val="fr-FR"/>
        </w:rPr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input\partitions</w:t>
      </w:r>
      <w:r>
        <w:rPr>
          <w:lang w:val="fr-FR"/>
        </w:rPr>
        <w:t xml:space="preserve"> : doit contenir le fichier XML d’export des partitions</w:t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input\personne</w:t>
      </w:r>
      <w:r>
        <w:rPr>
          <w:lang w:val="fr-FR"/>
        </w:rPr>
        <w:t xml:space="preserve"> : doit contenir le fichier XML d’export des autorités personnes</w:t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input\thesaurus</w:t>
      </w:r>
      <w:r>
        <w:rPr>
          <w:lang w:val="fr-FR"/>
        </w:rPr>
        <w:t xml:space="preserve"> : doit contenir le fichier XML d’export du thesaurus</w:t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Chaque répertoire peut contenir 1 ou plusieurs fichiers XML. S’il y en a plusieurs, chaque fichier XML sera transformé par la XSLT correspondante.</w:t>
      </w:r>
      <w:r>
        <w:rPr>
          <w:highlight w:val="none"/>
          <w:lang w:val="fr-FR"/>
        </w:rPr>
      </w:r>
      <w:r/>
    </w:p>
    <w:p>
      <w:pPr>
        <w:pStyle w:val="856"/>
        <w:rPr>
          <w:highlight w:val="none"/>
          <w:lang w:val="fr-FR"/>
        </w:rPr>
      </w:pPr>
      <w:r/>
      <w:bookmarkStart w:id="19" w:name="_Toc7"/>
      <w:r>
        <w:rPr>
          <w:highlight w:val="none"/>
          <w:lang w:val="fr-FR"/>
        </w:rPr>
        <w:t xml:space="preserve">Vocabulaires contrôlés</w:t>
      </w:r>
      <w:r>
        <w:rPr>
          <w:highlight w:val="none"/>
          <w:lang w:val="fr-FR"/>
        </w:rPr>
      </w:r>
      <w:bookmarkEnd w:id="19"/>
      <w:r/>
      <w:r/>
    </w:p>
    <w:p>
      <w:pPr>
        <w:rPr>
          <w:lang w:val="fr-FR"/>
        </w:rPr>
      </w:pPr>
      <w:r>
        <w:rPr>
          <w:lang w:val="fr-FR"/>
        </w:rPr>
        <w:t xml:space="preserve">Les vocabulaires contrôlés sont organisés dans les répertoires suivants :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pStyle w:val="875"/>
        <w:numPr>
          <w:ilvl w:val="0"/>
          <w:numId w:val="12"/>
        </w:numPr>
        <w:rPr>
          <w:b/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lang w:val="fr-FR"/>
        </w:rPr>
        <w:t xml:space="preserve">: contient des sous-répertoires pour chaque vocabulaire contrôlé utilisé lors de la conversion des données :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\iaml</w:t>
      </w:r>
      <w:r>
        <w:rPr>
          <w:lang w:val="fr-FR"/>
        </w:rPr>
        <w:t xml:space="preserve"> : vocabulaire IAML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\mimo</w:t>
      </w:r>
      <w:r>
        <w:rPr>
          <w:lang w:val="fr-FR"/>
        </w:rPr>
        <w:t xml:space="preserve"> : vocabulaire MIMO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\lexvo</w:t>
      </w:r>
      <w:r>
        <w:rPr>
          <w:lang w:val="fr-FR"/>
        </w:rPr>
        <w:t xml:space="preserve"> : vocabulaire Lexvo (langues)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\responsabilite</w:t>
      </w:r>
      <w:r>
        <w:rPr>
          <w:lang w:val="fr-FR"/>
        </w:rPr>
        <w:t xml:space="preserve"> : vocabulaires des responsabilités (responsabilité des musiciens)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\role</w:t>
      </w:r>
      <w:r>
        <w:rPr>
          <w:lang w:val="fr-FR"/>
        </w:rPr>
        <w:t xml:space="preserve"> : vocaulaire des rôles / fonctions (auteur, traducteur, etc.)</w:t>
      </w:r>
      <w:r/>
    </w:p>
    <w:p>
      <w:pPr>
        <w:pStyle w:val="875"/>
        <w:numPr>
          <w:ilvl w:val="1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input\vocabulaires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\educational-level</w:t>
      </w:r>
      <w:r>
        <w:rPr>
          <w:lang w:val="fr-FR"/>
        </w:rPr>
        <w:t xml:space="preserve"> : vocabulaire des niveau de compétence (premier cycle, etc.)</w:t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Chaque répertoire peut contenir 1 ou plusieurs fichiers RDF dans n’importe quelle sérialisation RDF (RDF/XML ou Turtle, etc.). Le contenu de chaque répertoire de vocabulaire contrôlé est fusionné et normalisé en un seul fichier RDF/XML avant la conversion.</w:t>
      </w:r>
      <w:r>
        <w:rPr>
          <w:lang w:val="fr-FR"/>
        </w:rPr>
      </w:r>
      <w:r/>
    </w:p>
    <w:p>
      <w:pPr>
        <w:pStyle w:val="855"/>
        <w:rPr>
          <w:lang w:val="fr-FR"/>
        </w:rPr>
      </w:pPr>
      <w:r/>
      <w:bookmarkStart w:id="20" w:name="_Toc8"/>
      <w:r>
        <w:rPr>
          <w:sz w:val="32"/>
          <w:szCs w:val="32"/>
          <w:lang w:val="fr-FR"/>
        </w:rPr>
        <w:t xml:space="preserve">Structure du répertoire « work »</w:t>
      </w:r>
      <w:r>
        <w:rPr>
          <w:lang w:val="fr-FR"/>
        </w:rPr>
      </w:r>
      <w:bookmarkEnd w:id="20"/>
      <w:r/>
      <w:r/>
    </w:p>
    <w:p>
      <w:pPr>
        <w:rPr>
          <w:lang w:val="fr-FR"/>
        </w:rPr>
      </w:pPr>
      <w:r>
        <w:rPr>
          <w:lang w:val="fr-FR"/>
        </w:rPr>
        <w:t xml:space="preserve">Lors du lancement du script </w:t>
      </w:r>
      <w:r>
        <w:rPr>
          <w:b/>
          <w:lang w:val="fr-FR"/>
        </w:rPr>
        <w:t xml:space="preserve">scorebot</w:t>
      </w:r>
      <w:r>
        <w:rPr>
          <w:b/>
          <w:lang w:val="fr-FR"/>
        </w:rPr>
        <w:t xml:space="preserve">_conversion.bat</w:t>
      </w:r>
      <w:r>
        <w:rPr>
          <w:lang w:val="fr-FR"/>
        </w:rPr>
        <w:t xml:space="preserve">, les dossier</w:t>
      </w:r>
      <w:r>
        <w:rPr>
          <w:lang w:val="fr-FR"/>
        </w:rPr>
        <w:t xml:space="preserve">s</w:t>
      </w:r>
      <w:r>
        <w:rPr>
          <w:lang w:val="fr-FR"/>
        </w:rPr>
        <w:t xml:space="preserve"> suivants sont créés :</w:t>
      </w:r>
      <w:r/>
    </w:p>
    <w:p>
      <w:pPr>
        <w:rPr>
          <w:lang w:val="fr-FR"/>
        </w:rPr>
      </w:pPr>
      <w:r>
        <w:rPr>
          <w:lang w:val="fr-FR"/>
        </w:rPr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work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\logs</w:t>
      </w:r>
      <w:r>
        <w:rPr>
          <w:lang w:val="fr-FR"/>
        </w:rPr>
        <w:t xml:space="preserve"> :</w:t>
      </w:r>
      <w:r>
        <w:rPr>
          <w:lang w:val="fr-FR"/>
        </w:rPr>
        <w:t xml:space="preserve"> </w:t>
      </w:r>
      <w:r>
        <w:rPr>
          <w:lang w:val="fr-FR"/>
        </w:rPr>
        <w:t xml:space="preserve">logs de la conversion </w:t>
      </w:r>
      <w:r>
        <w:rPr>
          <w:lang w:val="fr-FR"/>
        </w:rPr>
        <w:t xml:space="preserve">des fichiers. </w:t>
      </w:r>
      <w:r>
        <w:rPr>
          <w:lang w:val="fr-FR"/>
        </w:rPr>
      </w:r>
      <w:r/>
    </w:p>
    <w:p>
      <w:pPr>
        <w:pStyle w:val="875"/>
        <w:numPr>
          <w:ilvl w:val="0"/>
          <w:numId w:val="12"/>
        </w:numPr>
        <w:rPr>
          <w:lang w:val="fr-FR"/>
        </w:rPr>
      </w:pPr>
      <w:r>
        <w:rPr>
          <w:lang w:val="fr-FR"/>
        </w:rPr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work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\vocabulaires_rdf-xml</w:t>
      </w:r>
      <w:r>
        <w:rPr>
          <w:lang w:val="fr-FR"/>
        </w:rPr>
        <w:t xml:space="preserve"> : </w:t>
      </w:r>
      <w:r>
        <w:rPr>
          <w:lang w:val="fr-FR"/>
        </w:rPr>
        <w:t xml:space="preserve">répertoire temporaires contenant les versions normalisées de tous les vocabulaires contrôlés.</w:t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Le répertoire « work » peut être supprimé sans risque.</w:t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pStyle w:val="854"/>
        <w:rPr>
          <w:lang w:val="fr-FR"/>
        </w:rPr>
      </w:pPr>
      <w:r/>
      <w:bookmarkStart w:id="21" w:name="_Toc9"/>
      <w:r>
        <w:t xml:space="preserve">Principe de la conversion</w:t>
      </w:r>
      <w:bookmarkEnd w:id="21"/>
      <w:r/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Le principe général de conversion est le suivant :</w:t>
      </w:r>
      <w:r>
        <w:rPr>
          <w:lang w:val="fr-FR"/>
        </w:rPr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spacing w:line="240" w:lineRule="auto"/>
        <w:rPr>
          <w:highlight w:val="none"/>
          <w:lang w:val="fr-FR"/>
        </w:rPr>
      </w:pPr>
      <w:r>
        <w:rPr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085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76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1208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95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fr-FR"/>
        </w:rPr>
      </w:r>
      <w:r/>
      <w:r>
        <w:rPr>
          <w:lang w:val="fr-FR"/>
        </w:rPr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Style w:val="854"/>
        <w:rPr>
          <w:bCs/>
          <w:lang w:val="fr-FR"/>
        </w:rPr>
      </w:pPr>
      <w:r/>
      <w:bookmarkStart w:id="22" w:name="_Toc10"/>
      <w:r>
        <w:t xml:space="preserve">Convertir les vocabulaires contrôlés</w:t>
      </w:r>
      <w:bookmarkEnd w:id="22"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Cette étape est optionnelle.</w:t>
      </w:r>
      <w:r/>
    </w:p>
    <w:p>
      <w:pPr>
        <w:rPr>
          <w:highlight w:val="none"/>
        </w:rPr>
      </w:pPr>
      <w:r>
        <w:rPr>
          <w:highlight w:val="none"/>
        </w:rPr>
        <w:t xml:space="preserve">Si les vocabulaires contrôlés n’ont pas été modifiés, il n’est pas nécessaire de les convertir.</w:t>
      </w:r>
      <w:r>
        <w:rPr>
          <w:highlight w:val="none"/>
        </w:rPr>
      </w:r>
    </w:p>
    <w:p>
      <w:pPr>
        <w:rPr>
          <w:b/>
          <w:bCs/>
          <w:lang w:val="fr-FR"/>
        </w:rPr>
      </w:pPr>
      <w:r>
        <w:rPr>
          <w:b/>
          <w:bCs/>
          <w:lang w:val="fr-FR"/>
        </w:rPr>
      </w:r>
      <w:r>
        <w:rPr>
          <w:b/>
          <w:bCs/>
          <w:lang w:val="fr-FR"/>
        </w:rPr>
      </w:r>
    </w:p>
    <w:p>
      <w:pPr>
        <w:rPr>
          <w:highlight w:val="none"/>
        </w:rPr>
      </w:pPr>
      <w:r>
        <w:rPr>
          <w:highlight w:val="none"/>
        </w:rPr>
        <w:t xml:space="preserve">Pour convertir un vocabulaire contrôlé :</w:t>
      </w:r>
      <w:r>
        <w:rPr>
          <w:highlight w:val="none"/>
        </w:rPr>
      </w:r>
    </w:p>
    <w:p>
      <w:pPr>
        <w:pStyle w:val="875"/>
        <w:numPr>
          <w:ilvl w:val="0"/>
          <w:numId w:val="27"/>
        </w:numPr>
        <w:rPr>
          <w:b/>
          <w:bCs/>
          <w:lang w:val="fr-FR"/>
        </w:rPr>
      </w:pPr>
      <w:r>
        <w:rPr>
          <w:highlight w:val="none"/>
        </w:rPr>
        <w:t xml:space="preserve">Aller à l’adresse du convertisseur </w:t>
      </w:r>
      <w:r>
        <w:rPr>
          <w:highlight w:val="none"/>
        </w:rPr>
      </w:r>
      <w:hyperlink r:id="rId12" w:tooltip="https://skos-play.sparna.fr/play/convert" w:history="1">
        <w:r>
          <w:rPr>
            <w:rStyle w:val="882"/>
            <w:highlight w:val="none"/>
          </w:rPr>
          <w:t xml:space="preserve">https://skos-play.sparna.fr/play/convert</w:t>
        </w:r>
        <w:r>
          <w:rPr>
            <w:rStyle w:val="882"/>
            <w:highlight w:val="none"/>
          </w:rPr>
        </w:r>
        <w:r>
          <w:rPr>
            <w:rStyle w:val="882"/>
            <w:highlight w:val="none"/>
          </w:rPr>
        </w:r>
      </w:hyperlink>
      <w:r>
        <w:rPr>
          <w:highlight w:val="none"/>
        </w:rPr>
      </w:r>
    </w:p>
    <w:p>
      <w:pPr>
        <w:pStyle w:val="875"/>
        <w:numPr>
          <w:ilvl w:val="0"/>
          <w:numId w:val="27"/>
        </w:numPr>
        <w:rPr>
          <w:b/>
          <w:bCs/>
          <w:lang w:val="fr-FR"/>
        </w:rPr>
      </w:pPr>
      <w:r>
        <w:rPr>
          <w:highlight w:val="none"/>
        </w:rPr>
        <w:t xml:space="preserve">Charger un fichier Excel de vocabulaire dans le champ “dans un fichier sur mon ordinateur”</w:t>
      </w:r>
      <w:r>
        <w:rPr>
          <w:highlight w:val="none"/>
        </w:rPr>
      </w:r>
    </w:p>
    <w:p>
      <w:pPr>
        <w:pStyle w:val="875"/>
        <w:numPr>
          <w:ilvl w:val="0"/>
          <w:numId w:val="27"/>
        </w:numPr>
        <w:rPr>
          <w:b/>
          <w:bCs/>
          <w:lang w:val="fr-FR"/>
        </w:rPr>
      </w:pPr>
      <w:r>
        <w:rPr>
          <w:highlight w:val="none"/>
        </w:rPr>
        <w:t xml:space="preserve">Laisser toutes les autres options par défaut et cliquer sur le bouton “Convertir” en bas du formulaire</w:t>
      </w:r>
      <w:r>
        <w:rPr>
          <w:highlight w:val="none"/>
        </w:rPr>
      </w:r>
    </w:p>
    <w:p>
      <w:pPr>
        <w:pStyle w:val="875"/>
        <w:numPr>
          <w:ilvl w:val="0"/>
          <w:numId w:val="27"/>
        </w:numPr>
        <w:rPr>
          <w:b/>
          <w:bCs/>
          <w:lang w:val="fr-FR"/>
        </w:rPr>
      </w:pPr>
      <w:r>
        <w:rPr>
          <w:highlight w:val="none"/>
        </w:rPr>
        <w:t xml:space="preserve">Sauvegarder le fichier Turtle résultat de la conversion</w:t>
      </w:r>
      <w:r>
        <w:rPr>
          <w:highlight w:val="none"/>
        </w:rPr>
      </w:r>
    </w:p>
    <w:p>
      <w:pPr>
        <w:pStyle w:val="875"/>
        <w:numPr>
          <w:ilvl w:val="0"/>
          <w:numId w:val="27"/>
        </w:numPr>
        <w:rPr>
          <w:b/>
          <w:bCs/>
          <w:lang w:val="fr-FR"/>
        </w:rPr>
      </w:pPr>
      <w:r>
        <w:rPr>
          <w:highlight w:val="none"/>
        </w:rPr>
        <w:t xml:space="preserve">Répéter l’opération pour les autres fichiers.</w:t>
      </w:r>
      <w:r>
        <w:rPr>
          <w:highlight w:val="none"/>
        </w:rPr>
      </w:r>
    </w:p>
    <w:p>
      <w:pPr>
        <w:pStyle w:val="854"/>
        <w:rPr>
          <w:highlight w:val="none"/>
        </w:rPr>
      </w:pPr>
      <w:r/>
      <w:bookmarkStart w:id="23" w:name="_Toc11"/>
      <w:r>
        <w:rPr>
          <w:highlight w:val="none"/>
        </w:rPr>
        <w:t xml:space="preserve">Copier les fichiers</w:t>
      </w:r>
      <w:bookmarkEnd w:id="23"/>
      <w:r/>
      <w:r>
        <w:rPr>
          <w:highlight w:val="none"/>
        </w:rPr>
      </w:r>
    </w:p>
    <w:p>
      <w:r>
        <w:t xml:space="preserve">Copier les fichiers dans les répertoires d’input documentés ci-dessus. Chaque répertoire doit contenir (au moins) un fichier. Si certaines données n’ont pas été modifiées depuis la dernière conversion, il n’est pas utile de les mettre à jour.</w:t>
      </w:r>
      <w:r/>
    </w:p>
    <w:p>
      <w:pPr>
        <w:pStyle w:val="854"/>
        <w:rPr>
          <w:highlight w:val="none"/>
        </w:rPr>
      </w:pPr>
      <w:r/>
      <w:bookmarkStart w:id="24" w:name="_Toc12"/>
      <w:r>
        <w:t xml:space="preserve">Convertir les fichiers</w:t>
      </w:r>
      <w:bookmarkEnd w:id="24"/>
      <w:r/>
      <w:r/>
    </w:p>
    <w:p>
      <w:pPr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Ouvrir une fenêtre</w:t>
      </w:r>
      <w:r>
        <w:rPr>
          <w:lang w:val="fr-FR"/>
        </w:rPr>
        <w:t xml:space="preserve"> de “ligne de</w:t>
      </w:r>
      <w:r>
        <w:rPr>
          <w:lang w:val="fr-FR"/>
        </w:rPr>
        <w:t xml:space="preserve"> </w:t>
      </w:r>
      <w:r>
        <w:rPr>
          <w:lang w:val="fr-FR"/>
        </w:rPr>
        <w:t xml:space="preserve">commandes” dans le répertoire du convertisseur.</w:t>
      </w:r>
      <w:r/>
    </w:p>
    <w:p>
      <w:pPr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Lancer </w:t>
      </w:r>
      <w:r>
        <w:rPr>
          <w:b/>
          <w:lang w:val="fr-FR"/>
        </w:rPr>
        <w:t xml:space="preserve">“scorebot_conversion</w:t>
      </w:r>
      <w:r>
        <w:rPr>
          <w:b/>
          <w:lang w:val="fr-FR"/>
        </w:rPr>
        <w:t xml:space="preserve">.bat</w:t>
      </w:r>
      <w:r>
        <w:rPr>
          <w:b/>
          <w:lang w:val="fr-FR"/>
        </w:rPr>
        <w:t xml:space="preserve">”</w:t>
      </w:r>
      <w:r/>
    </w:p>
    <w:p>
      <w:pPr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Vérifier</w:t>
      </w:r>
      <w:r>
        <w:rPr>
          <w:lang w:val="fr-FR"/>
        </w:rPr>
        <w:t xml:space="preserve"> que le script a généré :</w:t>
      </w:r>
      <w:r/>
    </w:p>
    <w:p>
      <w:pPr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Des fichiers </w:t>
      </w:r>
      <w:r>
        <w:rPr>
          <w:lang w:val="fr-FR"/>
        </w:rPr>
        <w:t xml:space="preserve">RDF résultat de la conversion</w:t>
      </w:r>
      <w:r>
        <w:rPr>
          <w:lang w:val="fr-FR"/>
        </w:rPr>
        <w:t xml:space="preserve"> dans le répertoire 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output</w:t>
      </w:r>
      <w:r>
        <w:rPr>
          <w:lang w:val="fr-FR"/>
        </w:rPr>
        <w:t xml:space="preserve">.</w:t>
      </w:r>
      <w:r/>
    </w:p>
    <w:p>
      <w:pPr>
        <w:numPr>
          <w:ilvl w:val="1"/>
          <w:numId w:val="5"/>
        </w:numPr>
        <w:tabs>
          <w:tab w:val="clear" w:pos="0" w:leader="none"/>
        </w:tabs>
        <w:rPr>
          <w:rFonts w:ascii="DejaVu Sans Mono" w:hAnsi="DejaVu Sans Mono" w:cs="DejaVu Sans Mono"/>
          <w:lang w:val="fr-FR"/>
        </w:rPr>
      </w:pPr>
      <w:r>
        <w:rPr>
          <w:lang w:val="fr-FR"/>
        </w:rPr>
        <w:t xml:space="preserve">Des fichiers de log dans le répertoire 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work\logs</w:t>
      </w:r>
      <w:r>
        <w:rPr>
          <w:lang w:val="fr-FR"/>
        </w:rPr>
      </w:r>
      <w:r/>
    </w:p>
    <w:p>
      <w:pPr>
        <w:numPr>
          <w:ilvl w:val="0"/>
          <w:numId w:val="5"/>
        </w:numPr>
        <w:tabs>
          <w:tab w:val="clear" w:pos="0" w:leader="none"/>
        </w:tabs>
        <w:rPr>
          <w:lang w:val="fr-FR"/>
        </w:rPr>
      </w:pP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</w:r>
      <w:bookmarkStart w:id="12" w:name="_ri2ycdu2z6ry"/>
      <w:r/>
      <w:bookmarkEnd w:id="12"/>
      <w:r>
        <w:rPr>
          <w:lang w:val="fr-FR"/>
        </w:rPr>
        <w:t xml:space="preserve">Vérifier les </w:t>
      </w:r>
      <w:r>
        <w:rPr>
          <w:lang w:val="fr-FR"/>
        </w:rPr>
        <w:t xml:space="preserve">fichier</w:t>
      </w:r>
      <w:r>
        <w:rPr>
          <w:lang w:val="fr-FR"/>
        </w:rPr>
        <w:t xml:space="preserve">s</w:t>
      </w:r>
      <w:r>
        <w:rPr>
          <w:lang w:val="fr-FR"/>
        </w:rPr>
        <w:t xml:space="preserve"> logs dans le repertoir </w:t>
      </w:r>
      <w:r>
        <w:rPr>
          <w:rFonts w:ascii="DejaVu Sans Mono" w:hAnsi="DejaVu Sans Mono" w:cs="DejaVu Sans Mono"/>
          <w:shd w:val="clear" w:color="d9d9d9" w:themeColor="background1" w:themeShade="D9" w:fill="d9d9d9" w:themeFill="background1" w:themeFillShade="D9"/>
          <w:lang w:val="fr-FR"/>
        </w:rPr>
        <w:t xml:space="preserve">work\logs</w:t>
      </w:r>
      <w:r>
        <w:rPr>
          <w:lang w:val="fr-FR"/>
        </w:rPr>
        <w:t xml:space="preserve"> </w:t>
      </w:r>
      <w:r>
        <w:rPr>
          <w:lang w:val="fr-FR"/>
        </w:rPr>
        <w:t xml:space="preserve">pour vérifier </w:t>
      </w:r>
      <w:r>
        <w:rPr>
          <w:lang w:val="fr-FR"/>
        </w:rPr>
        <w:t xml:space="preserve">s’il y a des erreurs</w:t>
      </w:r>
      <w:r>
        <w:rPr>
          <w:lang w:val="fr-FR"/>
        </w:rPr>
        <w:t xml:space="preserve">.</w:t>
      </w:r>
      <w:r/>
    </w:p>
    <w:p>
      <w:pPr>
        <w:tabs>
          <w:tab w:val="clear" w:pos="0" w:leader="none"/>
        </w:tabs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pStyle w:val="854"/>
        <w:rPr>
          <w:lang w:val="fr-FR"/>
        </w:rPr>
      </w:pPr>
      <w:r/>
      <w:bookmarkStart w:id="25" w:name="_Toc13"/>
      <w:r>
        <w:rPr>
          <w:highlight w:val="none"/>
          <w:lang w:val="fr-FR"/>
        </w:rPr>
        <w:t xml:space="preserve">Valider les données</w:t>
      </w:r>
      <w:bookmarkEnd w:id="25"/>
      <w:r/>
      <w:r>
        <w:rPr>
          <w:highlight w:val="none"/>
          <w:lang w:val="fr-FR"/>
        </w:rPr>
      </w:r>
    </w:p>
    <w:p>
      <w:pPr>
        <w:numPr>
          <w:ilvl w:val="0"/>
          <w:numId w:val="28"/>
        </w:numPr>
      </w:pPr>
      <w:r>
        <w:rPr>
          <w:lang w:val="fr-FR"/>
        </w:rPr>
        <w:t xml:space="preserve">Ouvrir une fenêtre de “ligne de commandes” dans le répertoire du convertisseur.</w:t>
      </w:r>
      <w:r>
        <w:rPr>
          <w:lang w:val="fr-FR"/>
        </w:rPr>
      </w:r>
      <w:r/>
    </w:p>
    <w:p>
      <w:pPr>
        <w:numPr>
          <w:ilvl w:val="0"/>
          <w:numId w:val="28"/>
        </w:numPr>
      </w:pPr>
      <w:r>
        <w:rPr>
          <w:lang w:val="fr-FR"/>
        </w:rPr>
        <w:t xml:space="preserve">Lancer </w:t>
      </w:r>
      <w:r>
        <w:rPr>
          <w:b/>
          <w:lang w:val="fr-FR"/>
        </w:rPr>
        <w:t xml:space="preserve">“scorebot_validation.bat”</w:t>
      </w:r>
      <w:r>
        <w:rPr>
          <w:lang w:val="fr-FR"/>
        </w:rPr>
        <w:t xml:space="preserve"> </w:t>
      </w:r>
      <w:r>
        <w:rPr>
          <w:lang w:val="fr-FR"/>
        </w:rPr>
      </w:r>
      <w:r/>
    </w:p>
    <w:p>
      <w:pPr>
        <w:numPr>
          <w:ilvl w:val="0"/>
          <w:numId w:val="28"/>
        </w:numPr>
      </w:pPr>
      <w:r>
        <w:rPr>
          <w:lang w:val="fr-FR"/>
        </w:rPr>
        <w:t xml:space="preserve">Vérifier que le script a généré </w:t>
      </w:r>
      <w:r>
        <w:rPr>
          <w:lang w:val="fr-FR"/>
        </w:rPr>
        <w:t xml:space="preserve">le rapport de validation dans “</w:t>
      </w:r>
      <w:r>
        <w:rPr>
          <w:lang w:val="fr-FR"/>
        </w:rPr>
      </w:r>
      <w:r>
        <w:rPr>
          <w:lang w:val="fr-FR"/>
        </w:rPr>
        <w:t xml:space="preserve">output-validation</w:t>
      </w:r>
      <w:r>
        <w:rPr>
          <w:lang w:val="fr-FR"/>
        </w:rPr>
      </w:r>
      <w:r>
        <w:rPr>
          <w:lang w:val="fr-FR"/>
        </w:rPr>
        <w:t xml:space="preserve">\</w:t>
      </w:r>
      <w:r>
        <w:rPr>
          <w:lang w:val="fr-FR"/>
        </w:rPr>
      </w:r>
      <w:r>
        <w:rPr>
          <w:lang w:val="fr-FR"/>
        </w:rPr>
        <w:t xml:space="preserve">scorebot_validation-report</w:t>
      </w:r>
      <w:r>
        <w:rPr>
          <w:lang w:val="fr-FR"/>
        </w:rPr>
      </w:r>
      <w:r>
        <w:rPr>
          <w:lang w:val="fr-FR"/>
        </w:rPr>
        <w:t xml:space="preserve">.html”</w:t>
      </w:r>
      <w:r>
        <w:rPr>
          <w:lang w:val="fr-FR"/>
        </w:rPr>
      </w:r>
      <w:r>
        <w:rPr>
          <w:lang w:val="fr-FR"/>
        </w:rPr>
      </w:r>
    </w:p>
    <w:p>
      <w:pPr>
        <w:numPr>
          <w:ilvl w:val="0"/>
          <w:numId w:val="28"/>
        </w:numPr>
        <w:rPr>
          <w:lang w:val="fr-FR"/>
        </w:rPr>
      </w:pPr>
      <w:r>
        <w:rPr>
          <w:lang w:val="fr-FR"/>
        </w:rPr>
        <w:t xml:space="preserve">Ouvrir le fichier “</w:t>
      </w:r>
      <w:r>
        <w:rPr>
          <w:lang w:val="fr-FR"/>
        </w:rPr>
      </w:r>
      <w:r>
        <w:rPr>
          <w:lang w:val="fr-FR"/>
        </w:rPr>
        <w:t xml:space="preserve">output-validation</w:t>
      </w:r>
      <w:r>
        <w:rPr>
          <w:lang w:val="fr-FR"/>
        </w:rPr>
        <w:t xml:space="preserve">\</w:t>
      </w:r>
      <w:r>
        <w:rPr>
          <w:lang w:val="fr-FR"/>
        </w:rPr>
        <w:t xml:space="preserve">scorebot_validation-report</w:t>
      </w:r>
      <w:r>
        <w:rPr>
          <w:lang w:val="fr-FR"/>
        </w:rPr>
        <w:t xml:space="preserve">.html</w:t>
      </w:r>
      <w:r/>
      <w:r>
        <w:rPr>
          <w:lang w:val="fr-FR"/>
        </w:rPr>
      </w:r>
      <w:r>
        <w:rPr>
          <w:lang w:val="fr-FR"/>
        </w:rPr>
        <w:t xml:space="preserve">” pour consulter le rapport de validation</w:t>
      </w:r>
      <w:r>
        <w:rPr>
          <w:lang w:val="fr-FR"/>
        </w:rPr>
        <w:t xml:space="preserve">.</w:t>
      </w:r>
      <w:r>
        <w:rPr>
          <w:lang w:val="fr-FR"/>
        </w:rPr>
      </w:r>
      <w:r/>
    </w:p>
    <w:p>
      <w:pPr>
        <w:pStyle w:val="854"/>
        <w:rPr>
          <w:highlight w:val="none"/>
          <w:lang w:val="fr-FR"/>
        </w:rPr>
      </w:pPr>
      <w:r/>
      <w:bookmarkStart w:id="26" w:name="_Toc14"/>
      <w:r>
        <w:rPr>
          <w:highlight w:val="none"/>
          <w:lang w:val="fr-FR"/>
        </w:rPr>
        <w:t xml:space="preserve">Chargement des données dans GraphDB</w:t>
      </w:r>
      <w:r>
        <w:rPr>
          <w:highlight w:val="none"/>
          <w:lang w:val="fr-FR"/>
        </w:rPr>
      </w:r>
      <w:bookmarkEnd w:id="26"/>
      <w:r/>
      <w:r/>
    </w:p>
    <w:p>
      <w:pPr>
        <w:rPr>
          <w:lang w:val="fr-FR"/>
        </w:rPr>
      </w:pP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t xml:space="preserve">Vérifier le fichier de validation pour s'assurer qu’il n’existe pas des erreurs. Une fois a fini de valider le fichier on doit “</w:t>
      </w:r>
      <w:r>
        <w:rPr>
          <w:b/>
          <w:lang w:val="fr-FR"/>
        </w:rPr>
        <w:t xml:space="preserve">uploader</w:t>
      </w:r>
      <w:r>
        <w:rPr>
          <w:lang w:val="fr-FR"/>
        </w:rPr>
        <w:t xml:space="preserve">” les fichiers de données à GraphDB.</w:t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  <w:t xml:space="preserve">A COMPLETER AVEC URL de GRAPHDB, Login et Mot de passe, et procédure pour charger chaque fichier dans un graphe nommé différent</w:t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DejaVu Sans Mono">
    <w:panose1 w:val="020B0609030804020204"/>
  </w:font>
  <w:font w:name="Tahoma">
    <w:panose1 w:val="020B0606030504020204"/>
  </w:font>
  <w:font w:name="Courier New">
    <w:panose1 w:val="02070409020205020404"/>
  </w:font>
  <w:font w:name="OpenSymbol">
    <w:panose1 w:val="05010000000000000000"/>
  </w:font>
  <w:font w:name="Lohit Devanagari">
    <w:panose1 w:val="020B06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Times New Roman" w:hAnsi="Times New Roman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Times New Roman" w:hAnsi="Times New Roman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Times New Roman" w:hAnsi="Times New Roman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Times New Roman" w:hAnsi="Times New Roman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Times New Roman" w:hAnsi="Times New Roman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Times New Roman" w:hAnsi="Times New Roman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Times New Roman" w:hAnsi="Times New Roman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Times New Roman" w:hAnsi="Times New Roman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Times New Roman" w:hAnsi="Times New Roman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  <w:tabs>
          <w:tab w:val="num" w:pos="0" w:leader="none"/>
        </w:tabs>
      </w:pPr>
      <w:rPr>
        <w:rFonts w:hint="default" w:ascii="OpenSymbol" w:hAnsi="OpenSymbol" w:cs="Open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  <w:tabs>
          <w:tab w:val="num" w:pos="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  <w:tabs>
          <w:tab w:val="num" w:pos="0" w:leader="none"/>
        </w:tabs>
      </w:pPr>
      <w:rPr>
        <w:rFonts w:hint="default" w:ascii="OpenSymbol" w:hAnsi="OpenSymbol" w:cs="Open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  <w:tabs>
          <w:tab w:val="num" w:pos="0" w:leader="none"/>
        </w:tabs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  <w:tabs>
          <w:tab w:val="num" w:pos="0" w:leader="none"/>
        </w:tabs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  <w:tabs>
          <w:tab w:val="num" w:pos="0" w:leader="none"/>
        </w:tabs>
      </w:pPr>
      <w:rPr>
        <w:u w:val="none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2">
    <w:name w:val="Heading 1 Char"/>
    <w:basedOn w:val="860"/>
    <w:link w:val="854"/>
    <w:uiPriority w:val="9"/>
    <w:rPr>
      <w:rFonts w:ascii="Arial" w:hAnsi="Arial" w:eastAsia="Arial" w:cs="Arial"/>
      <w:sz w:val="40"/>
      <w:szCs w:val="40"/>
    </w:rPr>
  </w:style>
  <w:style w:type="character" w:styleId="693">
    <w:name w:val="Heading 2 Char"/>
    <w:basedOn w:val="860"/>
    <w:link w:val="855"/>
    <w:uiPriority w:val="9"/>
    <w:rPr>
      <w:rFonts w:ascii="Arial" w:hAnsi="Arial" w:eastAsia="Arial" w:cs="Arial"/>
      <w:sz w:val="34"/>
    </w:rPr>
  </w:style>
  <w:style w:type="character" w:styleId="694">
    <w:name w:val="Heading 3 Char"/>
    <w:basedOn w:val="860"/>
    <w:link w:val="856"/>
    <w:uiPriority w:val="9"/>
    <w:rPr>
      <w:rFonts w:ascii="Arial" w:hAnsi="Arial" w:eastAsia="Arial" w:cs="Arial"/>
      <w:sz w:val="30"/>
      <w:szCs w:val="30"/>
    </w:rPr>
  </w:style>
  <w:style w:type="character" w:styleId="695">
    <w:name w:val="Heading 4 Char"/>
    <w:basedOn w:val="860"/>
    <w:link w:val="857"/>
    <w:uiPriority w:val="9"/>
    <w:rPr>
      <w:rFonts w:ascii="Arial" w:hAnsi="Arial" w:eastAsia="Arial" w:cs="Arial"/>
      <w:b/>
      <w:bCs/>
      <w:sz w:val="26"/>
      <w:szCs w:val="26"/>
    </w:rPr>
  </w:style>
  <w:style w:type="character" w:styleId="696">
    <w:name w:val="Heading 5 Char"/>
    <w:basedOn w:val="860"/>
    <w:link w:val="858"/>
    <w:uiPriority w:val="9"/>
    <w:rPr>
      <w:rFonts w:ascii="Arial" w:hAnsi="Arial" w:eastAsia="Arial" w:cs="Arial"/>
      <w:b/>
      <w:bCs/>
      <w:sz w:val="24"/>
      <w:szCs w:val="24"/>
    </w:rPr>
  </w:style>
  <w:style w:type="character" w:styleId="697">
    <w:name w:val="Heading 6 Char"/>
    <w:basedOn w:val="860"/>
    <w:link w:val="859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53"/>
    <w:next w:val="853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0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53"/>
    <w:next w:val="853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0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53"/>
    <w:next w:val="853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0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No Spacing"/>
    <w:uiPriority w:val="1"/>
    <w:qFormat/>
    <w:pPr>
      <w:spacing w:before="0" w:after="0" w:line="240" w:lineRule="auto"/>
    </w:pPr>
  </w:style>
  <w:style w:type="character" w:styleId="705">
    <w:name w:val="Title Char"/>
    <w:basedOn w:val="860"/>
    <w:link w:val="865"/>
    <w:uiPriority w:val="10"/>
    <w:rPr>
      <w:sz w:val="48"/>
      <w:szCs w:val="48"/>
    </w:rPr>
  </w:style>
  <w:style w:type="character" w:styleId="706">
    <w:name w:val="Subtitle Char"/>
    <w:basedOn w:val="860"/>
    <w:link w:val="870"/>
    <w:uiPriority w:val="11"/>
    <w:rPr>
      <w:sz w:val="24"/>
      <w:szCs w:val="24"/>
    </w:rPr>
  </w:style>
  <w:style w:type="paragraph" w:styleId="707">
    <w:name w:val="Quote"/>
    <w:basedOn w:val="853"/>
    <w:next w:val="853"/>
    <w:link w:val="708"/>
    <w:uiPriority w:val="29"/>
    <w:qFormat/>
    <w:pPr>
      <w:ind w:left="720" w:right="720"/>
    </w:pPr>
    <w:rPr>
      <w:i/>
    </w:rPr>
  </w:style>
  <w:style w:type="character" w:styleId="708">
    <w:name w:val="Quote Char"/>
    <w:link w:val="707"/>
    <w:uiPriority w:val="29"/>
    <w:rPr>
      <w:i/>
    </w:rPr>
  </w:style>
  <w:style w:type="paragraph" w:styleId="709">
    <w:name w:val="Intense Quote"/>
    <w:basedOn w:val="853"/>
    <w:next w:val="853"/>
    <w:link w:val="71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0">
    <w:name w:val="Intense Quote Char"/>
    <w:link w:val="709"/>
    <w:uiPriority w:val="30"/>
    <w:rPr>
      <w:i/>
    </w:rPr>
  </w:style>
  <w:style w:type="character" w:styleId="711">
    <w:name w:val="Header Char"/>
    <w:basedOn w:val="860"/>
    <w:link w:val="877"/>
    <w:uiPriority w:val="99"/>
  </w:style>
  <w:style w:type="character" w:styleId="712">
    <w:name w:val="Footer Char"/>
    <w:basedOn w:val="860"/>
    <w:link w:val="878"/>
    <w:uiPriority w:val="99"/>
  </w:style>
  <w:style w:type="character" w:styleId="713">
    <w:name w:val="Caption Char"/>
    <w:basedOn w:val="868"/>
    <w:link w:val="878"/>
    <w:uiPriority w:val="99"/>
  </w:style>
  <w:style w:type="table" w:styleId="714">
    <w:name w:val="Table Grid"/>
    <w:basedOn w:val="86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4">
    <w:name w:val="List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5">
    <w:name w:val="List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6">
    <w:name w:val="List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7">
    <w:name w:val="List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8">
    <w:name w:val="List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9">
    <w:name w:val="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1">
    <w:name w:val="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2">
    <w:name w:val="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3">
    <w:name w:val="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4">
    <w:name w:val="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5">
    <w:name w:val="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6">
    <w:name w:val="Bordered &amp; 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8">
    <w:name w:val="Bordered &amp; 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9">
    <w:name w:val="Bordered &amp; 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0">
    <w:name w:val="Bordered &amp; 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1">
    <w:name w:val="Bordered &amp; 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2">
    <w:name w:val="Bordered &amp; 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3">
    <w:name w:val="Bordered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0">
    <w:name w:val="footnote text"/>
    <w:basedOn w:val="853"/>
    <w:link w:val="841"/>
    <w:uiPriority w:val="99"/>
    <w:semiHidden/>
    <w:unhideWhenUsed/>
    <w:pPr>
      <w:spacing w:after="40" w:line="240" w:lineRule="auto"/>
    </w:pPr>
    <w:rPr>
      <w:sz w:val="18"/>
    </w:rPr>
  </w:style>
  <w:style w:type="character" w:styleId="841">
    <w:name w:val="Footnote Text Char"/>
    <w:link w:val="840"/>
    <w:uiPriority w:val="99"/>
    <w:rPr>
      <w:sz w:val="18"/>
    </w:rPr>
  </w:style>
  <w:style w:type="character" w:styleId="842">
    <w:name w:val="footnote reference"/>
    <w:basedOn w:val="860"/>
    <w:uiPriority w:val="99"/>
    <w:unhideWhenUsed/>
    <w:rPr>
      <w:vertAlign w:val="superscript"/>
    </w:rPr>
  </w:style>
  <w:style w:type="paragraph" w:styleId="843">
    <w:name w:val="endnote text"/>
    <w:basedOn w:val="853"/>
    <w:link w:val="844"/>
    <w:uiPriority w:val="99"/>
    <w:semiHidden/>
    <w:unhideWhenUsed/>
    <w:pPr>
      <w:spacing w:after="0" w:line="240" w:lineRule="auto"/>
    </w:pPr>
    <w:rPr>
      <w:sz w:val="20"/>
    </w:rPr>
  </w:style>
  <w:style w:type="character" w:styleId="844">
    <w:name w:val="Endnote Text Char"/>
    <w:link w:val="843"/>
    <w:uiPriority w:val="99"/>
    <w:rPr>
      <w:sz w:val="20"/>
    </w:rPr>
  </w:style>
  <w:style w:type="character" w:styleId="845">
    <w:name w:val="endnote reference"/>
    <w:basedOn w:val="860"/>
    <w:uiPriority w:val="99"/>
    <w:semiHidden/>
    <w:unhideWhenUsed/>
    <w:rPr>
      <w:vertAlign w:val="superscript"/>
    </w:rPr>
  </w:style>
  <w:style w:type="paragraph" w:styleId="846">
    <w:name w:val="toc 4"/>
    <w:basedOn w:val="853"/>
    <w:next w:val="853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3"/>
    <w:next w:val="853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3"/>
    <w:next w:val="853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3"/>
    <w:next w:val="853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3"/>
    <w:next w:val="853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3"/>
    <w:next w:val="853"/>
    <w:uiPriority w:val="39"/>
    <w:unhideWhenUsed/>
    <w:pPr>
      <w:ind w:left="2268" w:right="0" w:firstLine="0"/>
      <w:spacing w:after="57"/>
    </w:pPr>
  </w:style>
  <w:style w:type="paragraph" w:styleId="852">
    <w:name w:val="table of figures"/>
    <w:basedOn w:val="853"/>
    <w:next w:val="853"/>
    <w:uiPriority w:val="99"/>
    <w:unhideWhenUsed/>
    <w:pPr>
      <w:spacing w:after="0" w:afterAutospacing="0"/>
    </w:pPr>
  </w:style>
  <w:style w:type="paragraph" w:styleId="853" w:default="1">
    <w:name w:val="Normal"/>
    <w:qFormat/>
    <w:pPr>
      <w:spacing w:line="276" w:lineRule="auto"/>
    </w:pPr>
  </w:style>
  <w:style w:type="paragraph" w:styleId="854">
    <w:name w:val="Heading 1"/>
    <w:basedOn w:val="853"/>
    <w:next w:val="853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55">
    <w:name w:val="Heading 2"/>
    <w:basedOn w:val="853"/>
    <w:next w:val="853"/>
    <w:uiPriority w:val="9"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56">
    <w:name w:val="Heading 3"/>
    <w:basedOn w:val="853"/>
    <w:next w:val="853"/>
    <w:uiPriority w:val="9"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57">
    <w:name w:val="Heading 4"/>
    <w:basedOn w:val="853"/>
    <w:next w:val="853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58">
    <w:name w:val="Heading 5"/>
    <w:basedOn w:val="853"/>
    <w:next w:val="853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59">
    <w:name w:val="Heading 6"/>
    <w:basedOn w:val="853"/>
    <w:next w:val="853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60" w:default="1">
    <w:name w:val="Default Paragraph Font"/>
    <w:uiPriority w:val="1"/>
    <w:semiHidden/>
    <w:unhideWhenUsed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2" w:default="1">
    <w:name w:val="No List"/>
    <w:uiPriority w:val="99"/>
    <w:semiHidden/>
    <w:unhideWhenUsed/>
  </w:style>
  <w:style w:type="character" w:styleId="863" w:customStyle="1">
    <w:name w:val="Lien Internet"/>
    <w:basedOn w:val="860"/>
    <w:uiPriority w:val="99"/>
    <w:unhideWhenUsed/>
    <w:rPr>
      <w:color w:val="0000ff" w:themeColor="hyperlink"/>
      <w:u w:val="single"/>
    </w:rPr>
  </w:style>
  <w:style w:type="character" w:styleId="864" w:customStyle="1">
    <w:name w:val="Saut d'index"/>
    <w:qFormat/>
  </w:style>
  <w:style w:type="paragraph" w:styleId="865">
    <w:name w:val="Title"/>
    <w:basedOn w:val="853"/>
    <w:next w:val="866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66">
    <w:name w:val="Body Text"/>
    <w:basedOn w:val="853"/>
    <w:pPr>
      <w:spacing w:after="140"/>
    </w:pPr>
  </w:style>
  <w:style w:type="paragraph" w:styleId="867">
    <w:name w:val="List"/>
    <w:basedOn w:val="866"/>
    <w:rPr>
      <w:rFonts w:cs="Lohit Devanagari"/>
    </w:rPr>
  </w:style>
  <w:style w:type="paragraph" w:styleId="868">
    <w:name w:val="Caption"/>
    <w:basedOn w:val="853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69" w:customStyle="1">
    <w:name w:val="Index"/>
    <w:basedOn w:val="853"/>
    <w:qFormat/>
    <w:pPr>
      <w:suppressLineNumbers/>
    </w:pPr>
    <w:rPr>
      <w:rFonts w:cs="Lohit Devanagari"/>
    </w:rPr>
  </w:style>
  <w:style w:type="paragraph" w:styleId="870">
    <w:name w:val="Subtitle"/>
    <w:basedOn w:val="853"/>
    <w:next w:val="853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paragraph" w:styleId="871">
    <w:name w:val="TOC Heading"/>
    <w:basedOn w:val="854"/>
    <w:next w:val="853"/>
    <w:uiPriority w:val="39"/>
    <w:unhideWhenUsed/>
    <w:qFormat/>
    <w:pPr>
      <w:spacing w:before="240" w:after="0" w:line="259" w:lineRule="auto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fr-FR"/>
    </w:rPr>
  </w:style>
  <w:style w:type="paragraph" w:styleId="872">
    <w:name w:val="toc 1"/>
    <w:basedOn w:val="853"/>
    <w:next w:val="853"/>
    <w:uiPriority w:val="39"/>
    <w:unhideWhenUsed/>
    <w:pPr>
      <w:spacing w:after="100"/>
    </w:pPr>
  </w:style>
  <w:style w:type="paragraph" w:styleId="873">
    <w:name w:val="toc 2"/>
    <w:basedOn w:val="853"/>
    <w:next w:val="853"/>
    <w:uiPriority w:val="39"/>
    <w:unhideWhenUsed/>
    <w:pPr>
      <w:ind w:left="220"/>
      <w:spacing w:after="100"/>
    </w:pPr>
  </w:style>
  <w:style w:type="paragraph" w:styleId="874">
    <w:name w:val="toc 3"/>
    <w:basedOn w:val="853"/>
    <w:next w:val="853"/>
    <w:uiPriority w:val="39"/>
    <w:unhideWhenUsed/>
    <w:pPr>
      <w:ind w:left="440"/>
      <w:spacing w:after="100"/>
    </w:pPr>
  </w:style>
  <w:style w:type="paragraph" w:styleId="875">
    <w:name w:val="List Paragraph"/>
    <w:basedOn w:val="853"/>
    <w:uiPriority w:val="34"/>
    <w:qFormat/>
    <w:pPr>
      <w:contextualSpacing/>
      <w:ind w:left="720"/>
    </w:pPr>
  </w:style>
  <w:style w:type="paragraph" w:styleId="876" w:customStyle="1">
    <w:name w:val="En-tête et pied de page"/>
    <w:basedOn w:val="853"/>
    <w:qFormat/>
  </w:style>
  <w:style w:type="paragraph" w:styleId="877">
    <w:name w:val="Header"/>
    <w:basedOn w:val="876"/>
  </w:style>
  <w:style w:type="paragraph" w:styleId="878">
    <w:name w:val="Footer"/>
    <w:basedOn w:val="876"/>
  </w:style>
  <w:style w:type="table" w:styleId="879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80">
    <w:name w:val="Balloon Text"/>
    <w:basedOn w:val="853"/>
    <w:link w:val="881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881" w:customStyle="1">
    <w:name w:val="Texte de bulles Car"/>
    <w:basedOn w:val="860"/>
    <w:link w:val="880"/>
    <w:uiPriority w:val="99"/>
    <w:semiHidden/>
    <w:rPr>
      <w:rFonts w:ascii="Tahoma" w:hAnsi="Tahoma" w:cs="Tahoma"/>
      <w:sz w:val="16"/>
      <w:szCs w:val="16"/>
    </w:rPr>
  </w:style>
  <w:style w:type="character" w:styleId="882">
    <w:name w:val="Hyperlink"/>
    <w:basedOn w:val="860"/>
    <w:uiPriority w:val="99"/>
    <w:unhideWhenUsed/>
    <w:rPr>
      <w:color w:val="0000ff" w:themeColor="hyperlink"/>
      <w:u w:val="single"/>
    </w:rPr>
  </w:style>
  <w:style w:type="paragraph" w:styleId="883">
    <w:name w:val="Normal (Web)"/>
    <w:basedOn w:val="853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/>
    </w:rPr>
  </w:style>
  <w:style w:type="character" w:styleId="884">
    <w:name w:val="FollowedHyperlink"/>
    <w:basedOn w:val="860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ww.java.com/fr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skos-play.sparna.fr/play/conver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E700D-F65D-4763-B696-8A44AA9F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53</cp:revision>
  <dcterms:created xsi:type="dcterms:W3CDTF">2021-08-02T08:54:00Z</dcterms:created>
  <dcterms:modified xsi:type="dcterms:W3CDTF">2022-12-05T21:28:56Z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