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92494B" w14:textId="1D3D5C24" w:rsidR="00DE408B" w:rsidRPr="00DE408B" w:rsidRDefault="00DE408B" w:rsidP="001A23A9">
      <w:pPr>
        <w:spacing w:after="0" w:line="240" w:lineRule="auto"/>
        <w:rPr>
          <w:rFonts w:ascii="Arial" w:hAnsi="Arial" w:cs="Arial"/>
          <w:color w:val="1D1D1B"/>
          <w:sz w:val="24"/>
          <w:szCs w:val="24"/>
        </w:rPr>
      </w:pPr>
      <w:r>
        <w:rPr>
          <w:rFonts w:ascii="Arial" w:hAnsi="Arial" w:cs="Arial"/>
          <w:color w:val="1D1D1B"/>
          <w:sz w:val="24"/>
          <w:szCs w:val="24"/>
        </w:rPr>
        <w:t>Le parlement de Toulouse a été</w:t>
      </w:r>
      <w:r w:rsidRPr="00DE408B">
        <w:rPr>
          <w:rFonts w:ascii="Arial" w:hAnsi="Arial" w:cs="Arial"/>
          <w:color w:val="1D1D1B"/>
          <w:sz w:val="24"/>
          <w:szCs w:val="24"/>
        </w:rPr>
        <w:t xml:space="preserve"> une des institutions les plus importantes du Moyen Âge à la Révolution. Cour de justice souveraine, second parlement de France après celui de Paris, son rôle, tant administratif que judiciaire, l’a amené à intervenir dans tous les domaines de la vie et à tous les niveaux de la société d’Ancien Régime. Créé en 1444 et supprimé en 1790, son ressort s’étendait sur le territoire de l’actuelle région Occitanie auquel il faudrait ajouter l’Ardèche et la Haute-Loire.</w:t>
      </w:r>
    </w:p>
    <w:p w14:paraId="2FC58834" w14:textId="77777777" w:rsidR="00DE408B" w:rsidRPr="00DE408B" w:rsidRDefault="00DE408B" w:rsidP="001A23A9">
      <w:pPr>
        <w:spacing w:after="0" w:line="240" w:lineRule="auto"/>
        <w:rPr>
          <w:rFonts w:ascii="Arial" w:hAnsi="Arial" w:cs="Arial"/>
          <w:color w:val="1D1D1B"/>
          <w:sz w:val="24"/>
          <w:szCs w:val="24"/>
        </w:rPr>
      </w:pPr>
    </w:p>
    <w:p w14:paraId="6888BD8F" w14:textId="4FACCA44" w:rsidR="001A23A9" w:rsidRPr="00DE408B" w:rsidRDefault="001A23A9" w:rsidP="001A23A9">
      <w:pPr>
        <w:spacing w:after="0" w:line="240" w:lineRule="auto"/>
        <w:rPr>
          <w:rFonts w:ascii="Arial" w:hAnsi="Arial" w:cs="Arial"/>
          <w:color w:val="1D1D1B"/>
          <w:sz w:val="24"/>
          <w:szCs w:val="24"/>
        </w:rPr>
      </w:pPr>
      <w:r w:rsidRPr="00DE408B">
        <w:rPr>
          <w:rFonts w:ascii="Arial" w:hAnsi="Arial" w:cs="Arial"/>
          <w:color w:val="1D1D1B"/>
          <w:sz w:val="24"/>
          <w:szCs w:val="24"/>
        </w:rPr>
        <w:t xml:space="preserve">Les « sacs à procès » du parlement de Toulouse correspondent aux dossiers de procédure conservés aux Archives départementales de la Haute-Garonne. </w:t>
      </w:r>
      <w:r w:rsidRPr="00DE408B">
        <w:rPr>
          <w:rFonts w:ascii="Arial" w:hAnsi="Arial" w:cs="Arial"/>
          <w:color w:val="1D1D1B"/>
          <w:sz w:val="24"/>
          <w:szCs w:val="24"/>
        </w:rPr>
        <w:t>On estime leur nombre total à 100 000</w:t>
      </w:r>
      <w:r w:rsidR="00DE408B">
        <w:rPr>
          <w:rFonts w:ascii="Arial" w:hAnsi="Arial" w:cs="Arial"/>
          <w:color w:val="1D1D1B"/>
          <w:sz w:val="24"/>
          <w:szCs w:val="24"/>
        </w:rPr>
        <w:t>, et ils couvrent les</w:t>
      </w:r>
      <w:r w:rsidRPr="00DE408B">
        <w:rPr>
          <w:rFonts w:ascii="Arial" w:hAnsi="Arial" w:cs="Arial"/>
          <w:color w:val="1D1D1B"/>
          <w:sz w:val="24"/>
          <w:szCs w:val="24"/>
        </w:rPr>
        <w:t xml:space="preserve"> période</w:t>
      </w:r>
      <w:r w:rsidR="00DE408B">
        <w:rPr>
          <w:rFonts w:ascii="Arial" w:hAnsi="Arial" w:cs="Arial"/>
          <w:color w:val="1D1D1B"/>
          <w:sz w:val="24"/>
          <w:szCs w:val="24"/>
        </w:rPr>
        <w:t>s</w:t>
      </w:r>
      <w:r w:rsidRPr="00DE408B">
        <w:rPr>
          <w:rFonts w:ascii="Arial" w:hAnsi="Arial" w:cs="Arial"/>
          <w:color w:val="1D1D1B"/>
          <w:sz w:val="24"/>
          <w:szCs w:val="24"/>
        </w:rPr>
        <w:t xml:space="preserve"> des </w:t>
      </w:r>
      <w:r w:rsidRPr="001A23A9">
        <w:rPr>
          <w:rFonts w:ascii="Arial" w:eastAsia="Times New Roman" w:hAnsi="Arial" w:cs="Arial"/>
          <w:color w:val="1D1D1B"/>
          <w:sz w:val="24"/>
          <w:szCs w:val="24"/>
          <w:lang w:eastAsia="fr-FR"/>
        </w:rPr>
        <w:t xml:space="preserve">XVIIe et XVIIIe siècles. </w:t>
      </w:r>
      <w:r w:rsidRPr="00DE408B">
        <w:rPr>
          <w:rFonts w:ascii="Arial" w:eastAsia="Times New Roman" w:hAnsi="Arial" w:cs="Arial"/>
          <w:color w:val="1D1D1B"/>
          <w:sz w:val="24"/>
          <w:szCs w:val="24"/>
          <w:lang w:eastAsia="fr-FR"/>
        </w:rPr>
        <w:t>Il n’existe pas de dossiers</w:t>
      </w:r>
      <w:r w:rsidRPr="001A23A9">
        <w:rPr>
          <w:rFonts w:ascii="Arial" w:eastAsia="Times New Roman" w:hAnsi="Arial" w:cs="Arial"/>
          <w:color w:val="1D1D1B"/>
          <w:sz w:val="24"/>
          <w:szCs w:val="24"/>
          <w:lang w:eastAsia="fr-FR"/>
        </w:rPr>
        <w:t xml:space="preserve"> de procédures antérieures aux dernières années du XVIe siècle, ces documents ayant été incendiés lors des </w:t>
      </w:r>
      <w:r w:rsidRPr="001A23A9">
        <w:rPr>
          <w:rFonts w:ascii="Arial" w:eastAsia="Times New Roman" w:hAnsi="Arial" w:cs="Arial"/>
          <w:color w:val="1D1D1B"/>
          <w:sz w:val="24"/>
          <w:szCs w:val="24"/>
          <w:bdr w:val="none" w:sz="0" w:space="0" w:color="auto" w:frame="1"/>
          <w:lang w:eastAsia="fr-FR"/>
        </w:rPr>
        <w:t>troubles de février 1589</w:t>
      </w:r>
      <w:r w:rsidRPr="001A23A9">
        <w:rPr>
          <w:rFonts w:ascii="Arial" w:eastAsia="Times New Roman" w:hAnsi="Arial" w:cs="Arial"/>
          <w:color w:val="1D1D1B"/>
          <w:sz w:val="24"/>
          <w:szCs w:val="24"/>
          <w:lang w:eastAsia="fr-FR"/>
        </w:rPr>
        <w:t>.</w:t>
      </w:r>
    </w:p>
    <w:p w14:paraId="60DD09AA" w14:textId="5540688A" w:rsidR="001A23A9" w:rsidRPr="00DE408B" w:rsidRDefault="00AE5433" w:rsidP="001A23A9">
      <w:pPr>
        <w:pStyle w:val="NormalWeb"/>
        <w:shd w:val="clear" w:color="auto" w:fill="FFFFFF"/>
        <w:spacing w:before="0" w:beforeAutospacing="0" w:after="240" w:afterAutospacing="0"/>
        <w:rPr>
          <w:rFonts w:ascii="Arial" w:hAnsi="Arial" w:cs="Arial"/>
          <w:color w:val="1D1D1B"/>
        </w:rPr>
      </w:pPr>
      <w:r w:rsidRPr="00DE408B">
        <w:rPr>
          <w:rFonts w:ascii="Arial" w:hAnsi="Arial" w:cs="Arial"/>
          <w:color w:val="1D1D1B"/>
        </w:rPr>
        <w:t>P</w:t>
      </w:r>
      <w:r w:rsidR="001A23A9" w:rsidRPr="00DE408B">
        <w:rPr>
          <w:rFonts w:ascii="Arial" w:hAnsi="Arial" w:cs="Arial"/>
          <w:color w:val="1D1D1B"/>
        </w:rPr>
        <w:t xml:space="preserve">our l’instant 15 000 </w:t>
      </w:r>
      <w:r w:rsidRPr="00DE408B">
        <w:rPr>
          <w:rFonts w:ascii="Arial" w:hAnsi="Arial" w:cs="Arial"/>
          <w:color w:val="1D1D1B"/>
        </w:rPr>
        <w:t xml:space="preserve">sacs </w:t>
      </w:r>
      <w:r w:rsidR="001A23A9" w:rsidRPr="00DE408B">
        <w:rPr>
          <w:rFonts w:ascii="Arial" w:hAnsi="Arial" w:cs="Arial"/>
          <w:color w:val="1D1D1B"/>
        </w:rPr>
        <w:t xml:space="preserve">environ ont fait l’objet d’un dépouillement et d’une description. </w:t>
      </w:r>
      <w:r w:rsidR="001A23A9" w:rsidRPr="001A23A9">
        <w:rPr>
          <w:rFonts w:ascii="Arial" w:hAnsi="Arial" w:cs="Arial"/>
          <w:color w:val="1D1D1B"/>
        </w:rPr>
        <w:t>Le travail d'analyse des sacs s</w:t>
      </w:r>
      <w:r w:rsidRPr="00DE408B">
        <w:rPr>
          <w:rFonts w:ascii="Arial" w:hAnsi="Arial" w:cs="Arial"/>
          <w:color w:val="1D1D1B"/>
        </w:rPr>
        <w:t>e po</w:t>
      </w:r>
      <w:r w:rsidR="00DE408B" w:rsidRPr="00DE408B">
        <w:rPr>
          <w:rFonts w:ascii="Arial" w:hAnsi="Arial" w:cs="Arial"/>
          <w:color w:val="1D1D1B"/>
        </w:rPr>
        <w:t>ursuit</w:t>
      </w:r>
      <w:r w:rsidRPr="00DE408B">
        <w:rPr>
          <w:rFonts w:ascii="Arial" w:hAnsi="Arial" w:cs="Arial"/>
          <w:color w:val="1D1D1B"/>
        </w:rPr>
        <w:t xml:space="preserve"> et la</w:t>
      </w:r>
      <w:r w:rsidR="001A23A9" w:rsidRPr="001A23A9">
        <w:rPr>
          <w:rFonts w:ascii="Arial" w:hAnsi="Arial" w:cs="Arial"/>
          <w:color w:val="1D1D1B"/>
        </w:rPr>
        <w:t xml:space="preserve"> base de données sera mise à jour au fil de son avancement.</w:t>
      </w:r>
    </w:p>
    <w:p w14:paraId="6E8DF903" w14:textId="2FEA471C" w:rsidR="00DE408B" w:rsidRPr="00DE408B" w:rsidRDefault="00DE408B" w:rsidP="001A23A9">
      <w:pPr>
        <w:pStyle w:val="NormalWeb"/>
        <w:shd w:val="clear" w:color="auto" w:fill="FFFFFF"/>
        <w:spacing w:before="0" w:beforeAutospacing="0" w:after="240" w:afterAutospacing="0"/>
        <w:rPr>
          <w:rFonts w:ascii="Arial" w:hAnsi="Arial" w:cs="Arial"/>
          <w:color w:val="1D1D1B"/>
          <w:u w:val="single"/>
        </w:rPr>
      </w:pPr>
      <w:r w:rsidRPr="00DE408B">
        <w:rPr>
          <w:rFonts w:ascii="Arial" w:hAnsi="Arial" w:cs="Arial"/>
          <w:color w:val="1D1D1B"/>
          <w:u w:val="single"/>
        </w:rPr>
        <w:t>Ressort géographique</w:t>
      </w:r>
    </w:p>
    <w:p w14:paraId="1D1A112E" w14:textId="77777777" w:rsidR="001A23A9" w:rsidRPr="00DE408B" w:rsidRDefault="001A23A9" w:rsidP="001A23A9">
      <w:pPr>
        <w:spacing w:after="0" w:line="240" w:lineRule="auto"/>
        <w:rPr>
          <w:rFonts w:ascii="Arial" w:eastAsia="Times New Roman" w:hAnsi="Arial" w:cs="Arial"/>
          <w:color w:val="1D1D1B"/>
          <w:sz w:val="24"/>
          <w:szCs w:val="24"/>
          <w:lang w:eastAsia="fr-FR"/>
        </w:rPr>
      </w:pPr>
    </w:p>
    <w:p w14:paraId="0C11C2DE" w14:textId="77777777" w:rsidR="001A23A9" w:rsidRPr="00DE408B" w:rsidRDefault="001A23A9" w:rsidP="001A23A9">
      <w:pPr>
        <w:spacing w:after="0" w:line="240" w:lineRule="auto"/>
        <w:rPr>
          <w:rFonts w:ascii="Arial" w:eastAsia="Times New Roman" w:hAnsi="Arial" w:cs="Arial"/>
          <w:color w:val="1D1D1B"/>
          <w:sz w:val="24"/>
          <w:szCs w:val="24"/>
          <w:lang w:eastAsia="fr-FR"/>
        </w:rPr>
      </w:pPr>
      <w:r w:rsidRPr="001A23A9">
        <w:rPr>
          <w:rFonts w:ascii="Arial" w:eastAsia="Times New Roman" w:hAnsi="Arial" w:cs="Arial"/>
          <w:noProof/>
          <w:color w:val="1D1D1B"/>
          <w:sz w:val="24"/>
          <w:szCs w:val="24"/>
          <w:lang w:eastAsia="fr-FR"/>
        </w:rPr>
        <w:drawing>
          <wp:inline distT="0" distB="0" distL="0" distR="0" wp14:anchorId="0A36C59F" wp14:editId="65D472CE">
            <wp:extent cx="4579467" cy="3225198"/>
            <wp:effectExtent l="0" t="0" r="0" b="0"/>
            <wp:docPr id="1" name="Image 1" descr="Carte des sénéchaussées dans le ressort du parlement de Toulouse à la fin du XVIIIe siè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rte des sénéchaussées dans le ressort du parlement de Toulouse à la fin du XVIIIe siècl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84119" cy="3228475"/>
                    </a:xfrm>
                    <a:prstGeom prst="rect">
                      <a:avLst/>
                    </a:prstGeom>
                    <a:noFill/>
                    <a:ln>
                      <a:noFill/>
                    </a:ln>
                  </pic:spPr>
                </pic:pic>
              </a:graphicData>
            </a:graphic>
          </wp:inline>
        </w:drawing>
      </w:r>
    </w:p>
    <w:p w14:paraId="22A5FCF4" w14:textId="77777777" w:rsidR="001A23A9" w:rsidRPr="001A23A9" w:rsidRDefault="001A23A9" w:rsidP="001A23A9">
      <w:pPr>
        <w:spacing w:after="0" w:line="240" w:lineRule="auto"/>
        <w:rPr>
          <w:rFonts w:ascii="Arial" w:eastAsia="Times New Roman" w:hAnsi="Arial" w:cs="Arial"/>
          <w:color w:val="1D1D1B"/>
          <w:sz w:val="20"/>
          <w:szCs w:val="20"/>
          <w:lang w:eastAsia="fr-FR"/>
        </w:rPr>
      </w:pPr>
      <w:r w:rsidRPr="001A23A9">
        <w:rPr>
          <w:rFonts w:ascii="Arial" w:eastAsia="Times New Roman" w:hAnsi="Arial" w:cs="Arial"/>
          <w:color w:val="1D1D1B"/>
          <w:sz w:val="20"/>
          <w:szCs w:val="20"/>
          <w:lang w:eastAsia="fr-FR"/>
        </w:rPr>
        <w:t>La carte ci-dessus est tirée de l'Atlas historique de la province de Languedoc réalisé sous la direction d'Élie Pélaquier disponible sur le site des </w:t>
      </w:r>
      <w:hyperlink r:id="rId6" w:tgtFrame="_blank" w:tooltip="archives départementales de l'Hérault (Nouvelle fenêtre)" w:history="1">
        <w:r w:rsidRPr="001A23A9">
          <w:rPr>
            <w:rFonts w:ascii="Arial" w:eastAsia="Times New Roman" w:hAnsi="Arial" w:cs="Arial"/>
            <w:color w:val="1D1D1B"/>
            <w:sz w:val="20"/>
            <w:szCs w:val="20"/>
            <w:u w:val="single"/>
            <w:bdr w:val="none" w:sz="0" w:space="0" w:color="auto" w:frame="1"/>
            <w:lang w:eastAsia="fr-FR"/>
          </w:rPr>
          <w:t>archives départementales de l'Hérault</w:t>
        </w:r>
      </w:hyperlink>
    </w:p>
    <w:p w14:paraId="14330526" w14:textId="77777777" w:rsidR="001A23A9" w:rsidRPr="00DE408B" w:rsidRDefault="001A23A9" w:rsidP="001A23A9">
      <w:pPr>
        <w:spacing w:after="0" w:line="240" w:lineRule="auto"/>
        <w:rPr>
          <w:rFonts w:ascii="Arial" w:eastAsia="Times New Roman" w:hAnsi="Arial" w:cs="Arial"/>
          <w:color w:val="1D1D1B"/>
          <w:sz w:val="24"/>
          <w:szCs w:val="24"/>
          <w:lang w:eastAsia="fr-FR"/>
        </w:rPr>
      </w:pPr>
    </w:p>
    <w:p w14:paraId="6E0873E0" w14:textId="77777777" w:rsidR="001A23A9" w:rsidRPr="001A23A9" w:rsidRDefault="001A23A9" w:rsidP="001A23A9">
      <w:pPr>
        <w:spacing w:after="0" w:line="240" w:lineRule="auto"/>
        <w:outlineLvl w:val="2"/>
        <w:rPr>
          <w:rFonts w:ascii="Arial" w:eastAsia="Times New Roman" w:hAnsi="Arial" w:cs="Arial"/>
          <w:color w:val="1D1D1B"/>
          <w:sz w:val="24"/>
          <w:szCs w:val="24"/>
          <w:u w:val="single"/>
          <w:lang w:eastAsia="fr-FR"/>
        </w:rPr>
      </w:pPr>
      <w:r w:rsidRPr="001A23A9">
        <w:rPr>
          <w:rFonts w:ascii="Arial" w:eastAsia="Times New Roman" w:hAnsi="Arial" w:cs="Arial"/>
          <w:color w:val="1D1D1B"/>
          <w:sz w:val="24"/>
          <w:szCs w:val="24"/>
          <w:u w:val="single"/>
          <w:bdr w:val="none" w:sz="0" w:space="0" w:color="auto" w:frame="1"/>
          <w:lang w:eastAsia="fr-FR"/>
        </w:rPr>
        <w:t>Intérêt des sacs à procès</w:t>
      </w:r>
    </w:p>
    <w:p w14:paraId="4912ACA9" w14:textId="7DC037AD" w:rsidR="001A23A9" w:rsidRPr="00DE408B" w:rsidRDefault="001A23A9" w:rsidP="00DE408B">
      <w:pPr>
        <w:spacing w:after="0" w:line="240" w:lineRule="auto"/>
        <w:rPr>
          <w:rFonts w:ascii="Arial" w:eastAsia="Times New Roman" w:hAnsi="Arial" w:cs="Arial"/>
          <w:color w:val="1D1D1B"/>
          <w:sz w:val="24"/>
          <w:szCs w:val="24"/>
          <w:bdr w:val="none" w:sz="0" w:space="0" w:color="auto" w:frame="1"/>
          <w:lang w:eastAsia="fr-FR"/>
        </w:rPr>
      </w:pPr>
      <w:r w:rsidRPr="001A23A9">
        <w:rPr>
          <w:rFonts w:ascii="Arial" w:eastAsia="Times New Roman" w:hAnsi="Arial" w:cs="Arial"/>
          <w:color w:val="1D1D1B"/>
          <w:sz w:val="24"/>
          <w:szCs w:val="24"/>
          <w:bdr w:val="none" w:sz="0" w:space="0" w:color="auto" w:frame="1"/>
          <w:lang w:eastAsia="fr-FR"/>
        </w:rPr>
        <w:t>Les sacs à procès offrent au chercheur, tant universitaire qu'amateur, une mine d'informations de toutes sortes</w:t>
      </w:r>
      <w:r w:rsidRPr="001A23A9">
        <w:rPr>
          <w:rFonts w:ascii="Arial" w:eastAsia="Times New Roman" w:hAnsi="Arial" w:cs="Arial"/>
          <w:color w:val="1D1D1B"/>
          <w:sz w:val="24"/>
          <w:szCs w:val="24"/>
          <w:lang w:eastAsia="fr-FR"/>
        </w:rPr>
        <w:t>.</w:t>
      </w:r>
      <w:r w:rsidRPr="001A23A9">
        <w:rPr>
          <w:rFonts w:ascii="Arial" w:eastAsia="Times New Roman" w:hAnsi="Arial" w:cs="Arial"/>
          <w:color w:val="1D1D1B"/>
          <w:sz w:val="24"/>
          <w:szCs w:val="24"/>
          <w:lang w:eastAsia="fr-FR"/>
        </w:rPr>
        <w:br/>
        <w:t>Bien sûr ils documentent avant tout sur un crime ou un contentieux : un vol, une dispute, un rapt, un charivari … Mais au-delà de l'aspect judiciaire des documents, tout un monde prend vie : les flots d'insultes lancées, les perruques arrachées lors d'une bagarre, les récits d'évasions ou de séduction, les accrocs de voisinages, les fatales disputes d'un couple, les objets que l'on vole, avec les</w:t>
      </w:r>
      <w:r w:rsidR="00DE408B">
        <w:rPr>
          <w:rFonts w:ascii="Arial" w:eastAsia="Times New Roman" w:hAnsi="Arial" w:cs="Arial"/>
          <w:color w:val="1D1D1B"/>
          <w:sz w:val="24"/>
          <w:szCs w:val="24"/>
          <w:lang w:eastAsia="fr-FR"/>
        </w:rPr>
        <w:t>quels on frappe, on tue, etc.</w:t>
      </w:r>
      <w:r w:rsidRPr="001A23A9">
        <w:rPr>
          <w:rFonts w:ascii="Arial" w:eastAsia="Times New Roman" w:hAnsi="Arial" w:cs="Arial"/>
          <w:color w:val="1D1D1B"/>
          <w:sz w:val="24"/>
          <w:szCs w:val="24"/>
          <w:lang w:eastAsia="fr-FR"/>
        </w:rPr>
        <w:br/>
        <w:t xml:space="preserve">Si on voit apparaître tout un monde interlope de faux-sauniers, de prostituées, de </w:t>
      </w:r>
      <w:r w:rsidRPr="001A23A9">
        <w:rPr>
          <w:rFonts w:ascii="Arial" w:eastAsia="Times New Roman" w:hAnsi="Arial" w:cs="Arial"/>
          <w:color w:val="1D1D1B"/>
          <w:sz w:val="24"/>
          <w:szCs w:val="24"/>
          <w:lang w:eastAsia="fr-FR"/>
        </w:rPr>
        <w:lastRenderedPageBreak/>
        <w:t>voleurs, il se dessine également ici, par les témoignages</w:t>
      </w:r>
      <w:r w:rsidR="00FF6721">
        <w:rPr>
          <w:rFonts w:ascii="Arial" w:eastAsia="Times New Roman" w:hAnsi="Arial" w:cs="Arial"/>
          <w:color w:val="1D1D1B"/>
          <w:sz w:val="24"/>
          <w:szCs w:val="24"/>
          <w:lang w:eastAsia="fr-FR"/>
        </w:rPr>
        <w:t xml:space="preserve"> déposés, un univers</w:t>
      </w:r>
      <w:r w:rsidRPr="001A23A9">
        <w:rPr>
          <w:rFonts w:ascii="Arial" w:eastAsia="Times New Roman" w:hAnsi="Arial" w:cs="Arial"/>
          <w:color w:val="1D1D1B"/>
          <w:sz w:val="24"/>
          <w:szCs w:val="24"/>
          <w:lang w:eastAsia="fr-FR"/>
        </w:rPr>
        <w:t xml:space="preserve"> très quotidien mettant en scène des moments tant de la vie collective que de la vie intime</w:t>
      </w:r>
      <w:r w:rsidR="00FF570D">
        <w:rPr>
          <w:rFonts w:ascii="Arial" w:eastAsia="Times New Roman" w:hAnsi="Arial" w:cs="Arial"/>
          <w:color w:val="1D1D1B"/>
          <w:sz w:val="24"/>
          <w:szCs w:val="24"/>
          <w:lang w:eastAsia="fr-FR"/>
        </w:rPr>
        <w:t xml:space="preserve"> et quotidienne</w:t>
      </w:r>
      <w:r w:rsidRPr="001A23A9">
        <w:rPr>
          <w:rFonts w:ascii="Arial" w:eastAsia="Times New Roman" w:hAnsi="Arial" w:cs="Arial"/>
          <w:color w:val="1D1D1B"/>
          <w:sz w:val="24"/>
          <w:szCs w:val="24"/>
          <w:lang w:eastAsia="fr-FR"/>
        </w:rPr>
        <w:t>.</w:t>
      </w:r>
      <w:r w:rsidRPr="001A23A9">
        <w:rPr>
          <w:rFonts w:ascii="Arial" w:eastAsia="Times New Roman" w:hAnsi="Arial" w:cs="Arial"/>
          <w:color w:val="1D1D1B"/>
          <w:sz w:val="24"/>
          <w:szCs w:val="24"/>
          <w:lang w:eastAsia="fr-FR"/>
        </w:rPr>
        <w:br/>
      </w:r>
      <w:r w:rsidRPr="001A23A9">
        <w:rPr>
          <w:rFonts w:ascii="Arial" w:eastAsia="Times New Roman" w:hAnsi="Arial" w:cs="Arial"/>
          <w:color w:val="1D1D1B"/>
          <w:sz w:val="24"/>
          <w:szCs w:val="24"/>
          <w:lang w:eastAsia="fr-FR"/>
        </w:rPr>
        <w:br/>
      </w:r>
      <w:r w:rsidR="00DE408B" w:rsidRPr="00DE408B">
        <w:rPr>
          <w:rFonts w:ascii="Arial" w:eastAsia="Times New Roman" w:hAnsi="Arial" w:cs="Arial"/>
          <w:color w:val="1D1D1B"/>
          <w:sz w:val="24"/>
          <w:szCs w:val="24"/>
          <w:lang w:eastAsia="fr-FR"/>
        </w:rPr>
        <w:t>C</w:t>
      </w:r>
      <w:r w:rsidRPr="001A23A9">
        <w:rPr>
          <w:rFonts w:ascii="Arial" w:eastAsia="Times New Roman" w:hAnsi="Arial" w:cs="Arial"/>
          <w:color w:val="1D1D1B"/>
          <w:sz w:val="24"/>
          <w:szCs w:val="24"/>
          <w:lang w:eastAsia="fr-FR"/>
        </w:rPr>
        <w:t>es riches archives peuvent être mises à profit dans un large champ d'étude, allant </w:t>
      </w:r>
      <w:r w:rsidRPr="001A23A9">
        <w:rPr>
          <w:rFonts w:ascii="Arial" w:eastAsia="Times New Roman" w:hAnsi="Arial" w:cs="Arial"/>
          <w:color w:val="1D1D1B"/>
          <w:sz w:val="24"/>
          <w:szCs w:val="24"/>
          <w:bdr w:val="none" w:sz="0" w:space="0" w:color="auto" w:frame="1"/>
          <w:lang w:eastAsia="fr-FR"/>
        </w:rPr>
        <w:t>de l'histoire du droit à l'histoire des mentalités, l'histoire sociale, celle des objets ou de la sexualité</w:t>
      </w:r>
      <w:r w:rsidRPr="001A23A9">
        <w:rPr>
          <w:rFonts w:ascii="Arial" w:eastAsia="Times New Roman" w:hAnsi="Arial" w:cs="Arial"/>
          <w:color w:val="1D1D1B"/>
          <w:sz w:val="24"/>
          <w:szCs w:val="24"/>
          <w:lang w:eastAsia="fr-FR"/>
        </w:rPr>
        <w:t>, un champ qui ne sera limité que par l'imagination de l'historien.</w:t>
      </w:r>
      <w:r w:rsidR="00FF570D">
        <w:rPr>
          <w:rFonts w:ascii="Arial" w:eastAsia="Times New Roman" w:hAnsi="Arial" w:cs="Arial"/>
          <w:color w:val="1D1D1B"/>
          <w:sz w:val="24"/>
          <w:szCs w:val="24"/>
          <w:lang w:eastAsia="fr-FR"/>
        </w:rPr>
        <w:t xml:space="preserve"> </w:t>
      </w:r>
      <w:bookmarkStart w:id="0" w:name="_GoBack"/>
      <w:bookmarkEnd w:id="0"/>
      <w:r w:rsidRPr="001A23A9">
        <w:rPr>
          <w:rFonts w:ascii="Arial" w:eastAsia="Times New Roman" w:hAnsi="Arial" w:cs="Arial"/>
          <w:color w:val="1D1D1B"/>
          <w:sz w:val="24"/>
          <w:szCs w:val="24"/>
          <w:bdr w:val="none" w:sz="0" w:space="0" w:color="auto" w:frame="1"/>
          <w:lang w:eastAsia="fr-FR"/>
        </w:rPr>
        <w:t>L'histoire locale et la généalogie</w:t>
      </w:r>
      <w:r w:rsidRPr="001A23A9">
        <w:rPr>
          <w:rFonts w:ascii="Arial" w:eastAsia="Times New Roman" w:hAnsi="Arial" w:cs="Arial"/>
          <w:color w:val="1D1D1B"/>
          <w:sz w:val="24"/>
          <w:szCs w:val="24"/>
          <w:lang w:eastAsia="fr-FR"/>
        </w:rPr>
        <w:t> y t</w:t>
      </w:r>
      <w:r w:rsidR="00FF570D">
        <w:rPr>
          <w:rFonts w:ascii="Arial" w:eastAsia="Times New Roman" w:hAnsi="Arial" w:cs="Arial"/>
          <w:color w:val="1D1D1B"/>
          <w:sz w:val="24"/>
          <w:szCs w:val="24"/>
          <w:lang w:eastAsia="fr-FR"/>
        </w:rPr>
        <w:t>rouveront également leur compte</w:t>
      </w:r>
      <w:r w:rsidRPr="001A23A9">
        <w:rPr>
          <w:rFonts w:ascii="Arial" w:eastAsia="Times New Roman" w:hAnsi="Arial" w:cs="Arial"/>
          <w:color w:val="1D1D1B"/>
          <w:sz w:val="24"/>
          <w:szCs w:val="24"/>
          <w:lang w:eastAsia="fr-FR"/>
        </w:rPr>
        <w:t>.</w:t>
      </w:r>
      <w:r w:rsidRPr="001A23A9">
        <w:rPr>
          <w:rFonts w:ascii="Arial" w:eastAsia="Times New Roman" w:hAnsi="Arial" w:cs="Arial"/>
          <w:color w:val="1D1D1B"/>
          <w:sz w:val="24"/>
          <w:szCs w:val="24"/>
          <w:lang w:eastAsia="fr-FR"/>
        </w:rPr>
        <w:br/>
      </w:r>
    </w:p>
    <w:p w14:paraId="6C76A303" w14:textId="77777777" w:rsidR="001A23A9" w:rsidRPr="001A23A9" w:rsidRDefault="001A23A9" w:rsidP="001A23A9">
      <w:pPr>
        <w:spacing w:after="0" w:line="240" w:lineRule="auto"/>
        <w:outlineLvl w:val="2"/>
        <w:rPr>
          <w:rFonts w:ascii="Arial" w:eastAsia="Times New Roman" w:hAnsi="Arial" w:cs="Arial"/>
          <w:color w:val="1D1D1B"/>
          <w:sz w:val="24"/>
          <w:szCs w:val="24"/>
          <w:u w:val="single"/>
          <w:lang w:eastAsia="fr-FR"/>
        </w:rPr>
      </w:pPr>
      <w:r w:rsidRPr="001A23A9">
        <w:rPr>
          <w:rFonts w:ascii="Arial" w:eastAsia="Times New Roman" w:hAnsi="Arial" w:cs="Arial"/>
          <w:color w:val="1D1D1B"/>
          <w:sz w:val="24"/>
          <w:szCs w:val="24"/>
          <w:u w:val="single"/>
          <w:bdr w:val="none" w:sz="0" w:space="0" w:color="auto" w:frame="1"/>
          <w:lang w:eastAsia="fr-FR"/>
        </w:rPr>
        <w:t>Compétences judiciaires</w:t>
      </w:r>
    </w:p>
    <w:p w14:paraId="1E589F35" w14:textId="0BD9AA78" w:rsidR="001A23A9" w:rsidRPr="001A23A9" w:rsidRDefault="00DE408B" w:rsidP="001A23A9">
      <w:pPr>
        <w:spacing w:after="0" w:line="240" w:lineRule="auto"/>
        <w:rPr>
          <w:rFonts w:ascii="Arial" w:eastAsia="Times New Roman" w:hAnsi="Arial" w:cs="Arial"/>
          <w:color w:val="1D1D1B"/>
          <w:sz w:val="24"/>
          <w:szCs w:val="24"/>
          <w:lang w:eastAsia="fr-FR"/>
        </w:rPr>
      </w:pPr>
      <w:r>
        <w:rPr>
          <w:rFonts w:ascii="Arial" w:eastAsia="Times New Roman" w:hAnsi="Arial" w:cs="Arial"/>
          <w:color w:val="1D1D1B"/>
          <w:sz w:val="24"/>
          <w:szCs w:val="24"/>
          <w:lang w:eastAsia="fr-FR"/>
        </w:rPr>
        <w:t>Installé sur un</w:t>
      </w:r>
      <w:r w:rsidR="001A23A9" w:rsidRPr="001A23A9">
        <w:rPr>
          <w:rFonts w:ascii="Arial" w:eastAsia="Times New Roman" w:hAnsi="Arial" w:cs="Arial"/>
          <w:color w:val="1D1D1B"/>
          <w:sz w:val="24"/>
          <w:szCs w:val="24"/>
          <w:lang w:eastAsia="fr-FR"/>
        </w:rPr>
        <w:t xml:space="preserve"> très vaste ressort en 1444 et fonctionnant jusqu'à l'automne 1790, le parlement de Toulouse y exerce un </w:t>
      </w:r>
      <w:r w:rsidR="001A23A9" w:rsidRPr="001A23A9">
        <w:rPr>
          <w:rFonts w:ascii="Arial" w:eastAsia="Times New Roman" w:hAnsi="Arial" w:cs="Arial"/>
          <w:color w:val="1D1D1B"/>
          <w:sz w:val="24"/>
          <w:szCs w:val="24"/>
          <w:bdr w:val="none" w:sz="0" w:space="0" w:color="auto" w:frame="1"/>
          <w:lang w:eastAsia="fr-FR"/>
        </w:rPr>
        <w:t>pouvoir souverain en matière judiciaire</w:t>
      </w:r>
      <w:r w:rsidR="001A23A9" w:rsidRPr="001A23A9">
        <w:rPr>
          <w:rFonts w:ascii="Arial" w:eastAsia="Times New Roman" w:hAnsi="Arial" w:cs="Arial"/>
          <w:color w:val="1D1D1B"/>
          <w:sz w:val="24"/>
          <w:szCs w:val="24"/>
          <w:lang w:eastAsia="fr-FR"/>
        </w:rPr>
        <w:t>.</w:t>
      </w:r>
    </w:p>
    <w:p w14:paraId="48E06422" w14:textId="77777777" w:rsidR="001A23A9" w:rsidRPr="001A23A9" w:rsidRDefault="001A23A9" w:rsidP="001A23A9">
      <w:pPr>
        <w:spacing w:after="0" w:line="240" w:lineRule="auto"/>
        <w:rPr>
          <w:rFonts w:ascii="Arial" w:eastAsia="Times New Roman" w:hAnsi="Arial" w:cs="Arial"/>
          <w:color w:val="1D1D1B"/>
          <w:sz w:val="24"/>
          <w:szCs w:val="24"/>
          <w:lang w:eastAsia="fr-FR"/>
        </w:rPr>
      </w:pPr>
      <w:r w:rsidRPr="001A23A9">
        <w:rPr>
          <w:rFonts w:ascii="Arial" w:eastAsia="Times New Roman" w:hAnsi="Arial" w:cs="Arial"/>
          <w:color w:val="1D1D1B"/>
          <w:sz w:val="24"/>
          <w:szCs w:val="24"/>
          <w:lang w:eastAsia="fr-FR"/>
        </w:rPr>
        <w:t>C'est vers lui que remontent les </w:t>
      </w:r>
      <w:r w:rsidRPr="001A23A9">
        <w:rPr>
          <w:rFonts w:ascii="Arial" w:eastAsia="Times New Roman" w:hAnsi="Arial" w:cs="Arial"/>
          <w:color w:val="1D1D1B"/>
          <w:sz w:val="24"/>
          <w:szCs w:val="24"/>
          <w:bdr w:val="none" w:sz="0" w:space="0" w:color="auto" w:frame="1"/>
          <w:lang w:eastAsia="fr-FR"/>
        </w:rPr>
        <w:t>appels des décisions des juridictions civiles et criminelles de son ressort</w:t>
      </w:r>
      <w:r w:rsidRPr="001A23A9">
        <w:rPr>
          <w:rFonts w:ascii="Arial" w:eastAsia="Times New Roman" w:hAnsi="Arial" w:cs="Arial"/>
          <w:color w:val="1D1D1B"/>
          <w:sz w:val="24"/>
          <w:szCs w:val="24"/>
          <w:lang w:eastAsia="fr-FR"/>
        </w:rPr>
        <w:t> : tant ceux de la plus petite justice seigneuriale du Gévaudan que ceux du sénéchal de Toulouse ou de Carcassonne.</w:t>
      </w:r>
    </w:p>
    <w:p w14:paraId="636E48D0" w14:textId="77777777" w:rsidR="001A23A9" w:rsidRPr="001A23A9" w:rsidRDefault="001A23A9" w:rsidP="001A23A9">
      <w:pPr>
        <w:spacing w:after="240" w:line="240" w:lineRule="auto"/>
        <w:rPr>
          <w:rFonts w:ascii="Arial" w:eastAsia="Times New Roman" w:hAnsi="Arial" w:cs="Arial"/>
          <w:color w:val="1D1D1B"/>
          <w:sz w:val="24"/>
          <w:szCs w:val="24"/>
          <w:lang w:eastAsia="fr-FR"/>
        </w:rPr>
      </w:pPr>
      <w:r w:rsidRPr="001A23A9">
        <w:rPr>
          <w:rFonts w:ascii="Arial" w:eastAsia="Times New Roman" w:hAnsi="Arial" w:cs="Arial"/>
          <w:color w:val="1D1D1B"/>
          <w:sz w:val="24"/>
          <w:szCs w:val="24"/>
          <w:lang w:eastAsia="fr-FR"/>
        </w:rPr>
        <w:t>Lui font concurrence certaines instances juridictionnelles comme les cours des comptes, aides et finances de Montauban et Montpellier, les intendants ainsi que les cours des monnaies de Montpellier et Toulouse ou les cours présidiales dans leurs jugements souverains.</w:t>
      </w:r>
    </w:p>
    <w:p w14:paraId="18EC32F3" w14:textId="77777777" w:rsidR="001A23A9" w:rsidRPr="001A23A9" w:rsidRDefault="001A23A9" w:rsidP="001A23A9">
      <w:pPr>
        <w:spacing w:after="0" w:line="240" w:lineRule="auto"/>
        <w:outlineLvl w:val="2"/>
        <w:rPr>
          <w:rFonts w:ascii="Arial" w:eastAsia="Times New Roman" w:hAnsi="Arial" w:cs="Arial"/>
          <w:color w:val="1D1D1B"/>
          <w:sz w:val="24"/>
          <w:szCs w:val="24"/>
          <w:u w:val="single"/>
          <w:lang w:eastAsia="fr-FR"/>
        </w:rPr>
      </w:pPr>
      <w:r w:rsidRPr="001A23A9">
        <w:rPr>
          <w:rFonts w:ascii="Arial" w:eastAsia="Times New Roman" w:hAnsi="Arial" w:cs="Arial"/>
          <w:color w:val="1D1D1B"/>
          <w:sz w:val="24"/>
          <w:szCs w:val="24"/>
          <w:u w:val="single"/>
          <w:bdr w:val="none" w:sz="0" w:space="0" w:color="auto" w:frame="1"/>
          <w:lang w:eastAsia="fr-FR"/>
        </w:rPr>
        <w:t>Types de sacs</w:t>
      </w:r>
    </w:p>
    <w:p w14:paraId="0C529349" w14:textId="77777777" w:rsidR="00DE408B" w:rsidRDefault="001A23A9" w:rsidP="001A23A9">
      <w:pPr>
        <w:spacing w:line="240" w:lineRule="auto"/>
        <w:rPr>
          <w:rFonts w:ascii="Arial" w:eastAsia="Times New Roman" w:hAnsi="Arial" w:cs="Arial"/>
          <w:color w:val="1D1D1B"/>
          <w:sz w:val="24"/>
          <w:szCs w:val="24"/>
          <w:lang w:eastAsia="fr-FR"/>
        </w:rPr>
      </w:pPr>
      <w:r w:rsidRPr="001A23A9">
        <w:rPr>
          <w:rFonts w:ascii="Arial" w:eastAsia="Times New Roman" w:hAnsi="Arial" w:cs="Arial"/>
          <w:color w:val="1D1D1B"/>
          <w:sz w:val="24"/>
          <w:szCs w:val="24"/>
          <w:lang w:eastAsia="fr-FR"/>
        </w:rPr>
        <w:t>D'une manière générale nous pouvons distinguer </w:t>
      </w:r>
      <w:r w:rsidRPr="001A23A9">
        <w:rPr>
          <w:rFonts w:ascii="Arial" w:eastAsia="Times New Roman" w:hAnsi="Arial" w:cs="Arial"/>
          <w:color w:val="1D1D1B"/>
          <w:sz w:val="24"/>
          <w:szCs w:val="24"/>
          <w:bdr w:val="none" w:sz="0" w:space="0" w:color="auto" w:frame="1"/>
          <w:lang w:eastAsia="fr-FR"/>
        </w:rPr>
        <w:t>deux types de sacs</w:t>
      </w:r>
      <w:r w:rsidRPr="001A23A9">
        <w:rPr>
          <w:rFonts w:ascii="Arial" w:eastAsia="Times New Roman" w:hAnsi="Arial" w:cs="Arial"/>
          <w:color w:val="1D1D1B"/>
          <w:sz w:val="24"/>
          <w:szCs w:val="24"/>
          <w:lang w:eastAsia="fr-FR"/>
        </w:rPr>
        <w:t> : ceux contenant les procédures en provenance des sénéchaussées, des juridictions royales de premier niveau, et des justices seigneuriales et municipales, suite à des appels ; et ceux contenant les procédures produites par le parlement directement.</w:t>
      </w:r>
      <w:r w:rsidRPr="001A23A9">
        <w:rPr>
          <w:rFonts w:ascii="Arial" w:eastAsia="Times New Roman" w:hAnsi="Arial" w:cs="Arial"/>
          <w:color w:val="1D1D1B"/>
          <w:sz w:val="24"/>
          <w:szCs w:val="24"/>
          <w:lang w:eastAsia="fr-FR"/>
        </w:rPr>
        <w:br/>
      </w:r>
      <w:r w:rsidRPr="001A23A9">
        <w:rPr>
          <w:rFonts w:ascii="Arial" w:eastAsia="Times New Roman" w:hAnsi="Arial" w:cs="Arial"/>
          <w:color w:val="1D1D1B"/>
          <w:sz w:val="24"/>
          <w:szCs w:val="24"/>
          <w:lang w:eastAsia="fr-FR"/>
        </w:rPr>
        <w:br/>
        <w:t>On trouve dans les premiers la procédure telle qu'elle a été instruite par le juge saisi en première instance.</w:t>
      </w:r>
      <w:r w:rsidRPr="001A23A9">
        <w:rPr>
          <w:rFonts w:ascii="Arial" w:eastAsia="Times New Roman" w:hAnsi="Arial" w:cs="Arial"/>
          <w:color w:val="1D1D1B"/>
          <w:sz w:val="24"/>
          <w:szCs w:val="24"/>
          <w:lang w:eastAsia="fr-FR"/>
        </w:rPr>
        <w:br/>
        <w:t>Pour ce qui concerne les </w:t>
      </w:r>
      <w:r w:rsidRPr="001A23A9">
        <w:rPr>
          <w:rFonts w:ascii="Arial" w:eastAsia="Times New Roman" w:hAnsi="Arial" w:cs="Arial"/>
          <w:color w:val="1D1D1B"/>
          <w:sz w:val="24"/>
          <w:szCs w:val="24"/>
          <w:bdr w:val="none" w:sz="0" w:space="0" w:color="auto" w:frame="1"/>
          <w:lang w:eastAsia="fr-FR"/>
        </w:rPr>
        <w:t>affaires criminelles</w:t>
      </w:r>
      <w:r w:rsidR="00DE408B">
        <w:rPr>
          <w:rFonts w:ascii="Arial" w:eastAsia="Times New Roman" w:hAnsi="Arial" w:cs="Arial"/>
          <w:color w:val="1D1D1B"/>
          <w:sz w:val="24"/>
          <w:szCs w:val="24"/>
          <w:lang w:eastAsia="fr-FR"/>
        </w:rPr>
        <w:t>,</w:t>
      </w:r>
      <w:r w:rsidRPr="001A23A9">
        <w:rPr>
          <w:rFonts w:ascii="Arial" w:eastAsia="Times New Roman" w:hAnsi="Arial" w:cs="Arial"/>
          <w:color w:val="1D1D1B"/>
          <w:sz w:val="24"/>
          <w:szCs w:val="24"/>
          <w:lang w:eastAsia="fr-FR"/>
        </w:rPr>
        <w:t xml:space="preserve"> le dossier se constitue d'un inventaire de procédure, d'une requête en plainte, de cahiers d'information (auditions des témoins), des interrogatoires des accusés, d'une sentence définitive.</w:t>
      </w:r>
      <w:r w:rsidRPr="001A23A9">
        <w:rPr>
          <w:rFonts w:ascii="Arial" w:eastAsia="Times New Roman" w:hAnsi="Arial" w:cs="Arial"/>
          <w:color w:val="1D1D1B"/>
          <w:sz w:val="24"/>
          <w:szCs w:val="24"/>
          <w:lang w:eastAsia="fr-FR"/>
        </w:rPr>
        <w:br/>
        <w:t xml:space="preserve">Bien évidemment de nombreux autres types de documents peuvent se trouver dans ces sacs : </w:t>
      </w:r>
      <w:r w:rsidR="00DE408B" w:rsidRPr="001A23A9">
        <w:rPr>
          <w:rFonts w:ascii="Arial" w:eastAsia="Times New Roman" w:hAnsi="Arial" w:cs="Arial"/>
          <w:color w:val="1D1D1B"/>
          <w:sz w:val="24"/>
          <w:szCs w:val="24"/>
          <w:lang w:eastAsia="fr-FR"/>
        </w:rPr>
        <w:t>procès-verbaux</w:t>
      </w:r>
      <w:r w:rsidRPr="001A23A9">
        <w:rPr>
          <w:rFonts w:ascii="Arial" w:eastAsia="Times New Roman" w:hAnsi="Arial" w:cs="Arial"/>
          <w:color w:val="1D1D1B"/>
          <w:sz w:val="24"/>
          <w:szCs w:val="24"/>
          <w:lang w:eastAsia="fr-FR"/>
        </w:rPr>
        <w:t xml:space="preserve"> de chirurgien, d'évasion, de levée de cadavre, monitoires, déclarations de grossesse, lettres d'amour … On pourrait continuer la liste longtemps.</w:t>
      </w:r>
      <w:r w:rsidRPr="001A23A9">
        <w:rPr>
          <w:rFonts w:ascii="Arial" w:eastAsia="Times New Roman" w:hAnsi="Arial" w:cs="Arial"/>
          <w:color w:val="1D1D1B"/>
          <w:sz w:val="24"/>
          <w:szCs w:val="24"/>
          <w:lang w:eastAsia="fr-FR"/>
        </w:rPr>
        <w:br/>
      </w:r>
      <w:r w:rsidRPr="001A23A9">
        <w:rPr>
          <w:rFonts w:ascii="Arial" w:eastAsia="Times New Roman" w:hAnsi="Arial" w:cs="Arial"/>
          <w:color w:val="1D1D1B"/>
          <w:sz w:val="24"/>
          <w:szCs w:val="24"/>
          <w:bdr w:val="none" w:sz="0" w:space="0" w:color="auto" w:frame="1"/>
          <w:lang w:eastAsia="fr-FR"/>
        </w:rPr>
        <w:t>En matière civile</w:t>
      </w:r>
      <w:r w:rsidRPr="001A23A9">
        <w:rPr>
          <w:rFonts w:ascii="Arial" w:eastAsia="Times New Roman" w:hAnsi="Arial" w:cs="Arial"/>
          <w:color w:val="1D1D1B"/>
          <w:sz w:val="24"/>
          <w:szCs w:val="24"/>
          <w:lang w:eastAsia="fr-FR"/>
        </w:rPr>
        <w:t> la procédure est plus complexe et nous nous contenterons de signaler qu'il est possible d'y trouver nombre d'actes notariés tels des testaments, contrats de mariage, inventaires de biens, divers titres de propriété, tous déposés lors des procès.</w:t>
      </w:r>
      <w:r w:rsidRPr="001A23A9">
        <w:rPr>
          <w:rFonts w:ascii="Arial" w:eastAsia="Times New Roman" w:hAnsi="Arial" w:cs="Arial"/>
          <w:color w:val="1D1D1B"/>
          <w:sz w:val="24"/>
          <w:szCs w:val="24"/>
          <w:lang w:eastAsia="fr-FR"/>
        </w:rPr>
        <w:br/>
      </w:r>
    </w:p>
    <w:p w14:paraId="07FCD9A8" w14:textId="144F5139" w:rsidR="00612D22" w:rsidRPr="00DE408B" w:rsidRDefault="001A23A9" w:rsidP="00DE408B">
      <w:pPr>
        <w:spacing w:line="240" w:lineRule="auto"/>
        <w:rPr>
          <w:sz w:val="24"/>
          <w:szCs w:val="24"/>
        </w:rPr>
      </w:pPr>
      <w:r w:rsidRPr="001A23A9">
        <w:rPr>
          <w:rFonts w:ascii="Arial" w:eastAsia="Times New Roman" w:hAnsi="Arial" w:cs="Arial"/>
          <w:color w:val="1D1D1B"/>
          <w:sz w:val="24"/>
          <w:szCs w:val="24"/>
          <w:lang w:eastAsia="fr-FR"/>
        </w:rPr>
        <w:t>Il y a d'une part les procédures instruites en première instance par la chambre des requêtes pour les personnes jouissant d'un privilège de </w:t>
      </w:r>
      <w:r w:rsidRPr="001A23A9">
        <w:rPr>
          <w:rFonts w:ascii="Arial" w:eastAsia="Times New Roman" w:hAnsi="Arial" w:cs="Arial"/>
          <w:color w:val="1D1D1B"/>
          <w:sz w:val="24"/>
          <w:szCs w:val="24"/>
          <w:bdr w:val="none" w:sz="0" w:space="0" w:color="auto" w:frame="1"/>
          <w:lang w:eastAsia="fr-FR"/>
        </w:rPr>
        <w:t>committimus</w:t>
      </w:r>
      <w:r w:rsidRPr="001A23A9">
        <w:rPr>
          <w:rFonts w:ascii="Arial" w:eastAsia="Times New Roman" w:hAnsi="Arial" w:cs="Arial"/>
          <w:color w:val="1D1D1B"/>
          <w:sz w:val="24"/>
          <w:szCs w:val="24"/>
          <w:lang w:eastAsia="fr-FR"/>
        </w:rPr>
        <w:t>.</w:t>
      </w:r>
      <w:r w:rsidRPr="001A23A9">
        <w:rPr>
          <w:rFonts w:ascii="Arial" w:eastAsia="Times New Roman" w:hAnsi="Arial" w:cs="Arial"/>
          <w:color w:val="1D1D1B"/>
          <w:sz w:val="24"/>
          <w:szCs w:val="24"/>
          <w:lang w:eastAsia="fr-FR"/>
        </w:rPr>
        <w:br/>
        <w:t>D'autre part il y a toutes les procédures « annexes » aux affaires jugées en appel : des demandes d'élargissement des prisons, des libérations sous caution, des informations (collecte de témoignages) « secrètes » lorsqu'elles sont diligentées par le parlement sur les lieux des faits afin de compléter un dossier, ou « à décréter » lorsqu'un délit vient s'ajouter à une affaire déjà en cours de jugement.</w:t>
      </w:r>
      <w:r w:rsidRPr="001A23A9">
        <w:rPr>
          <w:rFonts w:ascii="Arial" w:eastAsia="Times New Roman" w:hAnsi="Arial" w:cs="Arial"/>
          <w:color w:val="1D1D1B"/>
          <w:sz w:val="24"/>
          <w:szCs w:val="24"/>
          <w:lang w:eastAsia="fr-FR"/>
        </w:rPr>
        <w:br/>
        <w:t>On trouve également de très nombreux sacs dits d'« appel de taxe » qui contiennent des contestations des frais de justice réclamés.</w:t>
      </w:r>
      <w:r w:rsidRPr="001A23A9">
        <w:rPr>
          <w:rFonts w:ascii="Arial" w:eastAsia="Times New Roman" w:hAnsi="Arial" w:cs="Arial"/>
          <w:color w:val="1D1D1B"/>
          <w:sz w:val="24"/>
          <w:szCs w:val="24"/>
          <w:lang w:eastAsia="fr-FR"/>
        </w:rPr>
        <w:br/>
      </w:r>
      <w:r w:rsidRPr="001A23A9">
        <w:rPr>
          <w:rFonts w:ascii="Arial" w:eastAsia="Times New Roman" w:hAnsi="Arial" w:cs="Arial"/>
          <w:color w:val="1D1D1B"/>
          <w:sz w:val="24"/>
          <w:szCs w:val="24"/>
          <w:lang w:eastAsia="fr-FR"/>
        </w:rPr>
        <w:br/>
      </w:r>
      <w:r w:rsidR="00DE408B">
        <w:rPr>
          <w:rFonts w:ascii="Arial" w:eastAsia="Times New Roman" w:hAnsi="Arial" w:cs="Arial"/>
          <w:color w:val="1D1D1B"/>
          <w:sz w:val="24"/>
          <w:szCs w:val="24"/>
          <w:lang w:eastAsia="fr-FR"/>
        </w:rPr>
        <w:lastRenderedPageBreak/>
        <w:t>Le contenu est très hétérogène : s</w:t>
      </w:r>
      <w:r w:rsidRPr="001A23A9">
        <w:rPr>
          <w:rFonts w:ascii="Arial" w:eastAsia="Times New Roman" w:hAnsi="Arial" w:cs="Arial"/>
          <w:color w:val="1D1D1B"/>
          <w:sz w:val="24"/>
          <w:szCs w:val="24"/>
          <w:lang w:eastAsia="fr-FR"/>
        </w:rPr>
        <w:t>i les premiers « racontent » une affaire d'un bout à l'autre de la plainte au jugement, les seconds ne traitent en général que de points périphériques au procès initial.</w:t>
      </w:r>
      <w:r w:rsidRPr="001A23A9">
        <w:rPr>
          <w:rFonts w:ascii="Arial" w:eastAsia="Times New Roman" w:hAnsi="Arial" w:cs="Arial"/>
          <w:color w:val="1D1D1B"/>
          <w:sz w:val="24"/>
          <w:szCs w:val="24"/>
          <w:lang w:eastAsia="fr-FR"/>
        </w:rPr>
        <w:br/>
      </w:r>
    </w:p>
    <w:sectPr w:rsidR="00612D22" w:rsidRPr="00DE408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D24445"/>
    <w:multiLevelType w:val="multilevel"/>
    <w:tmpl w:val="9048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7D4D7E"/>
    <w:multiLevelType w:val="multilevel"/>
    <w:tmpl w:val="5B22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0B7F48"/>
    <w:multiLevelType w:val="multilevel"/>
    <w:tmpl w:val="85AE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66BF"/>
    <w:rsid w:val="001A23A9"/>
    <w:rsid w:val="00612D22"/>
    <w:rsid w:val="00AE5433"/>
    <w:rsid w:val="00C866BF"/>
    <w:rsid w:val="00DE408B"/>
    <w:rsid w:val="00FF570D"/>
    <w:rsid w:val="00FF672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44E3A"/>
  <w15:chartTrackingRefBased/>
  <w15:docId w15:val="{AAC3DD6D-7C03-4CBE-9E30-E600E853A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1A23A9"/>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3297136">
      <w:bodyDiv w:val="1"/>
      <w:marLeft w:val="0"/>
      <w:marRight w:val="0"/>
      <w:marTop w:val="0"/>
      <w:marBottom w:val="0"/>
      <w:divBdr>
        <w:top w:val="none" w:sz="0" w:space="0" w:color="auto"/>
        <w:left w:val="none" w:sz="0" w:space="0" w:color="auto"/>
        <w:bottom w:val="none" w:sz="0" w:space="0" w:color="auto"/>
        <w:right w:val="none" w:sz="0" w:space="0" w:color="auto"/>
      </w:divBdr>
      <w:divsChild>
        <w:div w:id="1259214358">
          <w:marLeft w:val="0"/>
          <w:marRight w:val="0"/>
          <w:marTop w:val="0"/>
          <w:marBottom w:val="0"/>
          <w:divBdr>
            <w:top w:val="none" w:sz="0" w:space="0" w:color="auto"/>
            <w:left w:val="none" w:sz="0" w:space="0" w:color="auto"/>
            <w:bottom w:val="none" w:sz="0" w:space="0" w:color="auto"/>
            <w:right w:val="none" w:sz="0" w:space="0" w:color="auto"/>
          </w:divBdr>
          <w:divsChild>
            <w:div w:id="859245474">
              <w:marLeft w:val="0"/>
              <w:marRight w:val="0"/>
              <w:marTop w:val="0"/>
              <w:marBottom w:val="0"/>
              <w:divBdr>
                <w:top w:val="none" w:sz="0" w:space="0" w:color="auto"/>
                <w:left w:val="none" w:sz="0" w:space="0" w:color="auto"/>
                <w:bottom w:val="none" w:sz="0" w:space="0" w:color="auto"/>
                <w:right w:val="none" w:sz="0" w:space="0" w:color="auto"/>
              </w:divBdr>
              <w:divsChild>
                <w:div w:id="1495337042">
                  <w:marLeft w:val="0"/>
                  <w:marRight w:val="0"/>
                  <w:marTop w:val="0"/>
                  <w:marBottom w:val="0"/>
                  <w:divBdr>
                    <w:top w:val="none" w:sz="0" w:space="0" w:color="auto"/>
                    <w:left w:val="none" w:sz="0" w:space="0" w:color="auto"/>
                    <w:bottom w:val="none" w:sz="0" w:space="0" w:color="auto"/>
                    <w:right w:val="none" w:sz="0" w:space="0" w:color="auto"/>
                  </w:divBdr>
                  <w:divsChild>
                    <w:div w:id="1014066917">
                      <w:marLeft w:val="0"/>
                      <w:marRight w:val="0"/>
                      <w:marTop w:val="0"/>
                      <w:marBottom w:val="300"/>
                      <w:divBdr>
                        <w:top w:val="none" w:sz="0" w:space="0" w:color="auto"/>
                        <w:left w:val="none" w:sz="0" w:space="0" w:color="auto"/>
                        <w:bottom w:val="none" w:sz="0" w:space="0" w:color="auto"/>
                        <w:right w:val="none" w:sz="0" w:space="0" w:color="auto"/>
                      </w:divBdr>
                      <w:divsChild>
                        <w:div w:id="1720126022">
                          <w:marLeft w:val="0"/>
                          <w:marRight w:val="0"/>
                          <w:marTop w:val="0"/>
                          <w:marBottom w:val="0"/>
                          <w:divBdr>
                            <w:top w:val="none" w:sz="0" w:space="0" w:color="auto"/>
                            <w:left w:val="none" w:sz="0" w:space="0" w:color="auto"/>
                            <w:bottom w:val="none" w:sz="0" w:space="0" w:color="auto"/>
                            <w:right w:val="none" w:sz="0" w:space="0" w:color="auto"/>
                          </w:divBdr>
                          <w:divsChild>
                            <w:div w:id="1405450288">
                              <w:marLeft w:val="0"/>
                              <w:marRight w:val="0"/>
                              <w:marTop w:val="0"/>
                              <w:marBottom w:val="0"/>
                              <w:divBdr>
                                <w:top w:val="none" w:sz="0" w:space="0" w:color="auto"/>
                                <w:left w:val="none" w:sz="0" w:space="0" w:color="auto"/>
                                <w:bottom w:val="none" w:sz="0" w:space="0" w:color="auto"/>
                                <w:right w:val="none" w:sz="0" w:space="0" w:color="auto"/>
                              </w:divBdr>
                              <w:divsChild>
                                <w:div w:id="774710815">
                                  <w:marLeft w:val="0"/>
                                  <w:marRight w:val="0"/>
                                  <w:marTop w:val="0"/>
                                  <w:marBottom w:val="0"/>
                                  <w:divBdr>
                                    <w:top w:val="none" w:sz="0" w:space="0" w:color="auto"/>
                                    <w:left w:val="none" w:sz="0" w:space="0" w:color="auto"/>
                                    <w:bottom w:val="none" w:sz="0" w:space="0" w:color="auto"/>
                                    <w:right w:val="none" w:sz="0" w:space="0" w:color="auto"/>
                                  </w:divBdr>
                                  <w:divsChild>
                                    <w:div w:id="71703508">
                                      <w:marLeft w:val="0"/>
                                      <w:marRight w:val="0"/>
                                      <w:marTop w:val="0"/>
                                      <w:marBottom w:val="0"/>
                                      <w:divBdr>
                                        <w:top w:val="none" w:sz="0" w:space="0" w:color="auto"/>
                                        <w:left w:val="none" w:sz="0" w:space="0" w:color="auto"/>
                                        <w:bottom w:val="none" w:sz="0" w:space="0" w:color="auto"/>
                                        <w:right w:val="none" w:sz="0" w:space="0" w:color="auto"/>
                                      </w:divBdr>
                                    </w:div>
                                  </w:divsChild>
                                </w:div>
                                <w:div w:id="1895384777">
                                  <w:marLeft w:val="0"/>
                                  <w:marRight w:val="0"/>
                                  <w:marTop w:val="0"/>
                                  <w:marBottom w:val="0"/>
                                  <w:divBdr>
                                    <w:top w:val="none" w:sz="0" w:space="0" w:color="auto"/>
                                    <w:left w:val="none" w:sz="0" w:space="0" w:color="auto"/>
                                    <w:bottom w:val="none" w:sz="0" w:space="0" w:color="auto"/>
                                    <w:right w:val="none" w:sz="0" w:space="0" w:color="auto"/>
                                  </w:divBdr>
                                  <w:divsChild>
                                    <w:div w:id="2141412478">
                                      <w:marLeft w:val="0"/>
                                      <w:marRight w:val="0"/>
                                      <w:marTop w:val="0"/>
                                      <w:marBottom w:val="0"/>
                                      <w:divBdr>
                                        <w:top w:val="none" w:sz="0" w:space="0" w:color="auto"/>
                                        <w:left w:val="none" w:sz="0" w:space="0" w:color="auto"/>
                                        <w:bottom w:val="none" w:sz="0" w:space="0" w:color="auto"/>
                                        <w:right w:val="none" w:sz="0" w:space="0" w:color="auto"/>
                                      </w:divBdr>
                                    </w:div>
                                  </w:divsChild>
                                </w:div>
                                <w:div w:id="1622615241">
                                  <w:marLeft w:val="0"/>
                                  <w:marRight w:val="0"/>
                                  <w:marTop w:val="0"/>
                                  <w:marBottom w:val="0"/>
                                  <w:divBdr>
                                    <w:top w:val="none" w:sz="0" w:space="0" w:color="auto"/>
                                    <w:left w:val="none" w:sz="0" w:space="0" w:color="auto"/>
                                    <w:bottom w:val="none" w:sz="0" w:space="0" w:color="auto"/>
                                    <w:right w:val="none" w:sz="0" w:space="0" w:color="auto"/>
                                  </w:divBdr>
                                  <w:divsChild>
                                    <w:div w:id="826433558">
                                      <w:marLeft w:val="0"/>
                                      <w:marRight w:val="0"/>
                                      <w:marTop w:val="0"/>
                                      <w:marBottom w:val="0"/>
                                      <w:divBdr>
                                        <w:top w:val="none" w:sz="0" w:space="0" w:color="auto"/>
                                        <w:left w:val="none" w:sz="0" w:space="0" w:color="auto"/>
                                        <w:bottom w:val="none" w:sz="0" w:space="0" w:color="auto"/>
                                        <w:right w:val="none" w:sz="0" w:space="0" w:color="auto"/>
                                      </w:divBdr>
                                    </w:div>
                                  </w:divsChild>
                                </w:div>
                                <w:div w:id="1193375310">
                                  <w:marLeft w:val="0"/>
                                  <w:marRight w:val="0"/>
                                  <w:marTop w:val="0"/>
                                  <w:marBottom w:val="0"/>
                                  <w:divBdr>
                                    <w:top w:val="none" w:sz="0" w:space="0" w:color="auto"/>
                                    <w:left w:val="none" w:sz="0" w:space="0" w:color="auto"/>
                                    <w:bottom w:val="none" w:sz="0" w:space="0" w:color="auto"/>
                                    <w:right w:val="none" w:sz="0" w:space="0" w:color="auto"/>
                                  </w:divBdr>
                                  <w:divsChild>
                                    <w:div w:id="1223372705">
                                      <w:marLeft w:val="0"/>
                                      <w:marRight w:val="0"/>
                                      <w:marTop w:val="0"/>
                                      <w:marBottom w:val="0"/>
                                      <w:divBdr>
                                        <w:top w:val="none" w:sz="0" w:space="0" w:color="auto"/>
                                        <w:left w:val="none" w:sz="0" w:space="0" w:color="auto"/>
                                        <w:bottom w:val="none" w:sz="0" w:space="0" w:color="auto"/>
                                        <w:right w:val="none" w:sz="0" w:space="0" w:color="auto"/>
                                      </w:divBdr>
                                    </w:div>
                                  </w:divsChild>
                                </w:div>
                                <w:div w:id="325674604">
                                  <w:marLeft w:val="0"/>
                                  <w:marRight w:val="0"/>
                                  <w:marTop w:val="0"/>
                                  <w:marBottom w:val="0"/>
                                  <w:divBdr>
                                    <w:top w:val="none" w:sz="0" w:space="0" w:color="auto"/>
                                    <w:left w:val="none" w:sz="0" w:space="0" w:color="auto"/>
                                    <w:bottom w:val="none" w:sz="0" w:space="0" w:color="auto"/>
                                    <w:right w:val="none" w:sz="0" w:space="0" w:color="auto"/>
                                  </w:divBdr>
                                  <w:divsChild>
                                    <w:div w:id="83225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12849">
                      <w:marLeft w:val="0"/>
                      <w:marRight w:val="0"/>
                      <w:marTop w:val="0"/>
                      <w:marBottom w:val="0"/>
                      <w:divBdr>
                        <w:top w:val="none" w:sz="0" w:space="0" w:color="auto"/>
                        <w:left w:val="none" w:sz="0" w:space="0" w:color="auto"/>
                        <w:bottom w:val="none" w:sz="0" w:space="0" w:color="auto"/>
                        <w:right w:val="none" w:sz="0" w:space="0" w:color="auto"/>
                      </w:divBdr>
                      <w:divsChild>
                        <w:div w:id="381246039">
                          <w:marLeft w:val="0"/>
                          <w:marRight w:val="0"/>
                          <w:marTop w:val="0"/>
                          <w:marBottom w:val="1200"/>
                          <w:divBdr>
                            <w:top w:val="none" w:sz="0" w:space="0" w:color="auto"/>
                            <w:left w:val="none" w:sz="0" w:space="0" w:color="auto"/>
                            <w:bottom w:val="none" w:sz="0" w:space="0" w:color="auto"/>
                            <w:right w:val="none" w:sz="0" w:space="0" w:color="auto"/>
                          </w:divBdr>
                          <w:divsChild>
                            <w:div w:id="1141462563">
                              <w:marLeft w:val="0"/>
                              <w:marRight w:val="0"/>
                              <w:marTop w:val="0"/>
                              <w:marBottom w:val="0"/>
                              <w:divBdr>
                                <w:top w:val="none" w:sz="0" w:space="0" w:color="auto"/>
                                <w:left w:val="none" w:sz="0" w:space="0" w:color="auto"/>
                                <w:bottom w:val="none" w:sz="0" w:space="0" w:color="auto"/>
                                <w:right w:val="none" w:sz="0" w:space="0" w:color="auto"/>
                              </w:divBdr>
                              <w:divsChild>
                                <w:div w:id="118655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496756">
                          <w:marLeft w:val="0"/>
                          <w:marRight w:val="0"/>
                          <w:marTop w:val="0"/>
                          <w:marBottom w:val="1200"/>
                          <w:divBdr>
                            <w:top w:val="none" w:sz="0" w:space="0" w:color="auto"/>
                            <w:left w:val="none" w:sz="0" w:space="0" w:color="auto"/>
                            <w:bottom w:val="none" w:sz="0" w:space="0" w:color="auto"/>
                            <w:right w:val="none" w:sz="0" w:space="0" w:color="auto"/>
                          </w:divBdr>
                          <w:divsChild>
                            <w:div w:id="692269055">
                              <w:marLeft w:val="0"/>
                              <w:marRight w:val="0"/>
                              <w:marTop w:val="0"/>
                              <w:marBottom w:val="0"/>
                              <w:divBdr>
                                <w:top w:val="none" w:sz="0" w:space="0" w:color="auto"/>
                                <w:left w:val="none" w:sz="0" w:space="0" w:color="auto"/>
                                <w:bottom w:val="none" w:sz="0" w:space="0" w:color="auto"/>
                                <w:right w:val="none" w:sz="0" w:space="0" w:color="auto"/>
                              </w:divBdr>
                              <w:divsChild>
                                <w:div w:id="45030556">
                                  <w:marLeft w:val="0"/>
                                  <w:marRight w:val="0"/>
                                  <w:marTop w:val="0"/>
                                  <w:marBottom w:val="1200"/>
                                  <w:divBdr>
                                    <w:top w:val="single" w:sz="18" w:space="12" w:color="F3F6F8"/>
                                    <w:left w:val="single" w:sz="18" w:space="24" w:color="F3F6F8"/>
                                    <w:bottom w:val="single" w:sz="18" w:space="24" w:color="F3F6F8"/>
                                    <w:right w:val="single" w:sz="18" w:space="24" w:color="F3F6F8"/>
                                  </w:divBdr>
                                  <w:divsChild>
                                    <w:div w:id="86286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9134671">
          <w:marLeft w:val="0"/>
          <w:marRight w:val="0"/>
          <w:marTop w:val="0"/>
          <w:marBottom w:val="0"/>
          <w:divBdr>
            <w:top w:val="none" w:sz="0" w:space="0" w:color="auto"/>
            <w:left w:val="none" w:sz="0" w:space="0" w:color="auto"/>
            <w:bottom w:val="none" w:sz="0" w:space="0" w:color="auto"/>
            <w:right w:val="none" w:sz="0" w:space="0" w:color="auto"/>
          </w:divBdr>
          <w:divsChild>
            <w:div w:id="1598563216">
              <w:marLeft w:val="0"/>
              <w:marRight w:val="0"/>
              <w:marTop w:val="0"/>
              <w:marBottom w:val="0"/>
              <w:divBdr>
                <w:top w:val="none" w:sz="0" w:space="0" w:color="auto"/>
                <w:left w:val="none" w:sz="0" w:space="0" w:color="auto"/>
                <w:bottom w:val="none" w:sz="0" w:space="0" w:color="auto"/>
                <w:right w:val="none" w:sz="0" w:space="0" w:color="auto"/>
              </w:divBdr>
              <w:divsChild>
                <w:div w:id="1772772528">
                  <w:marLeft w:val="0"/>
                  <w:marRight w:val="0"/>
                  <w:marTop w:val="0"/>
                  <w:marBottom w:val="0"/>
                  <w:divBdr>
                    <w:top w:val="none" w:sz="0" w:space="0" w:color="auto"/>
                    <w:left w:val="none" w:sz="0" w:space="0" w:color="auto"/>
                    <w:bottom w:val="none" w:sz="0" w:space="0" w:color="auto"/>
                    <w:right w:val="none" w:sz="0" w:space="0" w:color="auto"/>
                  </w:divBdr>
                  <w:divsChild>
                    <w:div w:id="1394162987">
                      <w:marLeft w:val="0"/>
                      <w:marRight w:val="1325"/>
                      <w:marTop w:val="0"/>
                      <w:marBottom w:val="0"/>
                      <w:divBdr>
                        <w:top w:val="none" w:sz="0" w:space="0" w:color="auto"/>
                        <w:left w:val="none" w:sz="0" w:space="0" w:color="auto"/>
                        <w:bottom w:val="none" w:sz="0" w:space="0" w:color="auto"/>
                        <w:right w:val="none" w:sz="0" w:space="0" w:color="auto"/>
                      </w:divBdr>
                    </w:div>
                    <w:div w:id="1611887598">
                      <w:marLeft w:val="0"/>
                      <w:marRight w:val="1325"/>
                      <w:marTop w:val="0"/>
                      <w:marBottom w:val="0"/>
                      <w:divBdr>
                        <w:top w:val="none" w:sz="0" w:space="0" w:color="auto"/>
                        <w:left w:val="none" w:sz="0" w:space="0" w:color="auto"/>
                        <w:bottom w:val="none" w:sz="0" w:space="0" w:color="auto"/>
                        <w:right w:val="none" w:sz="0" w:space="0" w:color="auto"/>
                      </w:divBdr>
                      <w:divsChild>
                        <w:div w:id="825979870">
                          <w:marLeft w:val="0"/>
                          <w:marRight w:val="0"/>
                          <w:marTop w:val="0"/>
                          <w:marBottom w:val="0"/>
                          <w:divBdr>
                            <w:top w:val="none" w:sz="0" w:space="0" w:color="auto"/>
                            <w:left w:val="none" w:sz="0" w:space="0" w:color="auto"/>
                            <w:bottom w:val="none" w:sz="0" w:space="0" w:color="auto"/>
                            <w:right w:val="none" w:sz="0" w:space="0" w:color="auto"/>
                          </w:divBdr>
                        </w:div>
                        <w:div w:id="786196133">
                          <w:marLeft w:val="0"/>
                          <w:marRight w:val="0"/>
                          <w:marTop w:val="0"/>
                          <w:marBottom w:val="0"/>
                          <w:divBdr>
                            <w:top w:val="none" w:sz="0" w:space="0" w:color="auto"/>
                            <w:left w:val="none" w:sz="0" w:space="0" w:color="auto"/>
                            <w:bottom w:val="none" w:sz="0" w:space="0" w:color="auto"/>
                            <w:right w:val="none" w:sz="0" w:space="0" w:color="auto"/>
                          </w:divBdr>
                        </w:div>
                      </w:divsChild>
                    </w:div>
                    <w:div w:id="742265512">
                      <w:marLeft w:val="0"/>
                      <w:marRight w:val="1325"/>
                      <w:marTop w:val="0"/>
                      <w:marBottom w:val="0"/>
                      <w:divBdr>
                        <w:top w:val="none" w:sz="0" w:space="0" w:color="auto"/>
                        <w:left w:val="none" w:sz="0" w:space="0" w:color="auto"/>
                        <w:bottom w:val="none" w:sz="0" w:space="0" w:color="auto"/>
                        <w:right w:val="none" w:sz="0" w:space="0" w:color="auto"/>
                      </w:divBdr>
                      <w:divsChild>
                        <w:div w:id="768309119">
                          <w:marLeft w:val="0"/>
                          <w:marRight w:val="0"/>
                          <w:marTop w:val="0"/>
                          <w:marBottom w:val="240"/>
                          <w:divBdr>
                            <w:top w:val="none" w:sz="0" w:space="0" w:color="auto"/>
                            <w:left w:val="none" w:sz="0" w:space="0" w:color="auto"/>
                            <w:bottom w:val="dotted" w:sz="6" w:space="6" w:color="FFFFFF"/>
                            <w:right w:val="none" w:sz="0" w:space="0" w:color="auto"/>
                          </w:divBdr>
                        </w:div>
                        <w:div w:id="1703750977">
                          <w:marLeft w:val="0"/>
                          <w:marRight w:val="0"/>
                          <w:marTop w:val="0"/>
                          <w:marBottom w:val="0"/>
                          <w:divBdr>
                            <w:top w:val="none" w:sz="0" w:space="0" w:color="auto"/>
                            <w:left w:val="none" w:sz="0" w:space="0" w:color="auto"/>
                            <w:bottom w:val="none" w:sz="0" w:space="0" w:color="auto"/>
                            <w:right w:val="none" w:sz="0" w:space="0" w:color="auto"/>
                          </w:divBdr>
                        </w:div>
                      </w:divsChild>
                    </w:div>
                    <w:div w:id="1779063757">
                      <w:marLeft w:val="0"/>
                      <w:marRight w:val="0"/>
                      <w:marTop w:val="0"/>
                      <w:marBottom w:val="0"/>
                      <w:divBdr>
                        <w:top w:val="none" w:sz="0" w:space="0" w:color="auto"/>
                        <w:left w:val="none" w:sz="0" w:space="0" w:color="auto"/>
                        <w:bottom w:val="none" w:sz="0" w:space="0" w:color="auto"/>
                        <w:right w:val="none" w:sz="0" w:space="0" w:color="auto"/>
                      </w:divBdr>
                      <w:divsChild>
                        <w:div w:id="53053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8116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pierresvives.herault.fr/ressource/atlas-historique-de-la-province-de-languedoc-0"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834</Words>
  <Characters>4591</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Conseil Départemental 31</Company>
  <LinksUpToDate>false</LinksUpToDate>
  <CharactersWithSpaces>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Regagnon Nathalie</dc:creator>
  <cp:keywords/>
  <dc:description/>
  <cp:lastModifiedBy>Regagnon Nathalie</cp:lastModifiedBy>
  <cp:revision>4</cp:revision>
  <dcterms:created xsi:type="dcterms:W3CDTF">2026-02-12T13:46:00Z</dcterms:created>
  <dcterms:modified xsi:type="dcterms:W3CDTF">2026-02-12T14:08:00Z</dcterms:modified>
</cp:coreProperties>
</file>