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8B67C" w14:textId="77777777" w:rsidR="00595A29" w:rsidRPr="008C2D84" w:rsidRDefault="008C2D84">
      <w:pPr>
        <w:pStyle w:val="Title"/>
        <w:rPr>
          <w:sz w:val="56"/>
        </w:rPr>
      </w:pPr>
      <w:r>
        <w:rPr>
          <w:sz w:val="56"/>
        </w:rPr>
        <w:t xml:space="preserve">ENC </w:t>
      </w:r>
      <w:r w:rsidRPr="008C2D84">
        <w:rPr>
          <w:sz w:val="56"/>
        </w:rPr>
        <w:t>3246 correspondence</w:t>
      </w:r>
    </w:p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has company name and second table has memo information"/>
      </w:tblPr>
      <w:tblGrid>
        <w:gridCol w:w="8640"/>
      </w:tblGrid>
      <w:tr w:rsidR="00595A29" w14:paraId="422B9E5E" w14:textId="77777777" w:rsidTr="00751185">
        <w:trPr>
          <w:trHeight w:val="288"/>
        </w:trPr>
        <w:tc>
          <w:tcPr>
            <w:tcW w:w="8640" w:type="dxa"/>
          </w:tcPr>
          <w:p w14:paraId="3DAD7343" w14:textId="77777777" w:rsidR="00595A29" w:rsidRPr="00812C84" w:rsidRDefault="00595A29" w:rsidP="00812C84">
            <w:pPr>
              <w:pStyle w:val="Heading1"/>
            </w:pPr>
          </w:p>
        </w:tc>
      </w:tr>
    </w:tbl>
    <w:tbl>
      <w:tblPr>
        <w:tblStyle w:val="TableGrid"/>
        <w:tblW w:w="5000" w:type="pct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has company name and second table has memo information"/>
      </w:tblPr>
      <w:tblGrid>
        <w:gridCol w:w="1104"/>
        <w:gridCol w:w="7536"/>
      </w:tblGrid>
      <w:tr w:rsidR="00595A29" w14:paraId="49B3F0D3" w14:textId="77777777">
        <w:trPr>
          <w:trHeight w:val="32"/>
        </w:trPr>
        <w:sdt>
          <w:sdtPr>
            <w:id w:val="-1849470194"/>
            <w:placeholder>
              <w:docPart w:val="A76BEAAB51687E4A8BE94E1F5A83AE2E"/>
            </w:placeholder>
            <w:temporary/>
            <w:showingPlcHdr/>
            <w15:appearance w15:val="hidden"/>
          </w:sdtPr>
          <w:sdtContent>
            <w:tc>
              <w:tcPr>
                <w:tcW w:w="1104" w:type="dxa"/>
                <w:tcBorders>
                  <w:top w:val="nil"/>
                  <w:bottom w:val="nil"/>
                </w:tcBorders>
              </w:tcPr>
              <w:p w14:paraId="1E674B80" w14:textId="77777777" w:rsidR="00595A29" w:rsidRDefault="00D77C46">
                <w:pPr>
                  <w:spacing w:after="120" w:line="259" w:lineRule="auto"/>
                </w:pPr>
                <w:r>
                  <w:t>To:</w:t>
                </w:r>
              </w:p>
            </w:tc>
          </w:sdtContent>
        </w:sdt>
        <w:tc>
          <w:tcPr>
            <w:tcW w:w="7536" w:type="dxa"/>
            <w:tcBorders>
              <w:top w:val="nil"/>
              <w:bottom w:val="nil"/>
            </w:tcBorders>
          </w:tcPr>
          <w:p w14:paraId="7BC82EAF" w14:textId="21737304" w:rsidR="00595A29" w:rsidRDefault="00126669">
            <w:pPr>
              <w:spacing w:after="120" w:line="259" w:lineRule="auto"/>
            </w:pPr>
            <w:r>
              <w:t>Joshua McKinley</w:t>
            </w:r>
          </w:p>
        </w:tc>
      </w:tr>
      <w:tr w:rsidR="00595A29" w14:paraId="6B7C2F37" w14:textId="77777777">
        <w:trPr>
          <w:trHeight w:val="37"/>
        </w:trPr>
        <w:tc>
          <w:tcPr>
            <w:tcW w:w="1104" w:type="dxa"/>
            <w:tcBorders>
              <w:top w:val="nil"/>
              <w:bottom w:val="nil"/>
            </w:tcBorders>
          </w:tcPr>
          <w:p w14:paraId="172AB53B" w14:textId="77777777" w:rsidR="00595A29" w:rsidRDefault="00000000">
            <w:pPr>
              <w:spacing w:after="120" w:line="259" w:lineRule="auto"/>
            </w:pPr>
            <w:sdt>
              <w:sdtPr>
                <w:id w:val="1202138601"/>
                <w:placeholder>
                  <w:docPart w:val="27160E038A7E494AB537AB1C68B90D2E"/>
                </w:placeholder>
                <w:temporary/>
                <w:showingPlcHdr/>
                <w15:appearance w15:val="hidden"/>
              </w:sdtPr>
              <w:sdtContent>
                <w:r w:rsidR="00D77C46">
                  <w:t xml:space="preserve">From: 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nil"/>
            </w:tcBorders>
          </w:tcPr>
          <w:p w14:paraId="5C776575" w14:textId="34A34758" w:rsidR="00595A29" w:rsidRDefault="00126669">
            <w:pPr>
              <w:spacing w:after="120" w:line="259" w:lineRule="auto"/>
            </w:pPr>
            <w:r>
              <w:t>Sean Parrell</w:t>
            </w:r>
          </w:p>
        </w:tc>
      </w:tr>
      <w:tr w:rsidR="00595A29" w14:paraId="3B28A77D" w14:textId="77777777">
        <w:trPr>
          <w:trHeight w:val="37"/>
        </w:trPr>
        <w:tc>
          <w:tcPr>
            <w:tcW w:w="1104" w:type="dxa"/>
            <w:tcBorders>
              <w:top w:val="nil"/>
              <w:bottom w:val="nil"/>
            </w:tcBorders>
          </w:tcPr>
          <w:p w14:paraId="162C3889" w14:textId="77777777" w:rsidR="00595A29" w:rsidRDefault="00000000">
            <w:pPr>
              <w:spacing w:after="120" w:line="259" w:lineRule="auto"/>
            </w:pPr>
            <w:sdt>
              <w:sdtPr>
                <w:id w:val="378521910"/>
                <w:placeholder>
                  <w:docPart w:val="150900D67497B648BBF890EB37EA219D"/>
                </w:placeholder>
                <w:temporary/>
                <w:showingPlcHdr/>
                <w15:appearance w15:val="hidden"/>
              </w:sdtPr>
              <w:sdtContent>
                <w:r w:rsidR="00D77C46">
                  <w:t xml:space="preserve">CC: 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nil"/>
            </w:tcBorders>
          </w:tcPr>
          <w:p w14:paraId="39819472" w14:textId="77777777" w:rsidR="00595A29" w:rsidRDefault="00000000">
            <w:pPr>
              <w:spacing w:after="120" w:line="259" w:lineRule="auto"/>
            </w:pPr>
            <w:sdt>
              <w:sdtPr>
                <w:id w:val="633121153"/>
                <w:placeholder>
                  <w:docPart w:val="647762E5F03F044483C1D6735A04B3CB"/>
                </w:placeholder>
                <w:temporary/>
                <w:showingPlcHdr/>
                <w15:appearance w15:val="hidden"/>
                <w:text w:multiLine="1"/>
              </w:sdtPr>
              <w:sdtContent>
                <w:r w:rsidR="00D77C46">
                  <w:t>Recipient names</w:t>
                </w:r>
              </w:sdtContent>
            </w:sdt>
          </w:p>
        </w:tc>
      </w:tr>
      <w:tr w:rsidR="00595A29" w14:paraId="0EC9540A" w14:textId="77777777">
        <w:trPr>
          <w:trHeight w:val="37"/>
        </w:trPr>
        <w:tc>
          <w:tcPr>
            <w:tcW w:w="1104" w:type="dxa"/>
            <w:tcBorders>
              <w:top w:val="nil"/>
              <w:bottom w:val="nil"/>
            </w:tcBorders>
          </w:tcPr>
          <w:p w14:paraId="21AE4A97" w14:textId="77777777" w:rsidR="00595A29" w:rsidRDefault="00000000">
            <w:pPr>
              <w:spacing w:after="120" w:line="259" w:lineRule="auto"/>
            </w:pPr>
            <w:sdt>
              <w:sdtPr>
                <w:id w:val="656889604"/>
                <w:placeholder>
                  <w:docPart w:val="C6057E1BDD5CDA4A8366891DDF851825"/>
                </w:placeholder>
                <w:temporary/>
                <w:showingPlcHdr/>
                <w15:appearance w15:val="hidden"/>
              </w:sdtPr>
              <w:sdtContent>
                <w:r w:rsidR="00D77C46">
                  <w:t>Date: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nil"/>
            </w:tcBorders>
          </w:tcPr>
          <w:p w14:paraId="36705713" w14:textId="277BD4FC" w:rsidR="00595A29" w:rsidRDefault="00126669">
            <w:pPr>
              <w:spacing w:after="120" w:line="259" w:lineRule="auto"/>
            </w:pPr>
            <w:r>
              <w:t>9/20/2024</w:t>
            </w:r>
          </w:p>
        </w:tc>
      </w:tr>
      <w:tr w:rsidR="00595A29" w14:paraId="757C8157" w14:textId="77777777">
        <w:tc>
          <w:tcPr>
            <w:tcW w:w="1104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14:paraId="5CA9B8D5" w14:textId="77777777" w:rsidR="00595A29" w:rsidRDefault="00000000">
            <w:pPr>
              <w:spacing w:after="120" w:line="259" w:lineRule="auto"/>
            </w:pPr>
            <w:sdt>
              <w:sdtPr>
                <w:id w:val="-2000876693"/>
                <w:placeholder>
                  <w:docPart w:val="0476BFBBD9955449AE6ADAE68ED9DC3D"/>
                </w:placeholder>
                <w:temporary/>
                <w:showingPlcHdr/>
                <w15:appearance w15:val="hidden"/>
              </w:sdtPr>
              <w:sdtContent>
                <w:r w:rsidR="00D77C46">
                  <w:t>Re: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14:paraId="76249BDE" w14:textId="18720A39" w:rsidR="00595A29" w:rsidRDefault="00126669">
            <w:pPr>
              <w:spacing w:after="120" w:line="259" w:lineRule="auto"/>
            </w:pPr>
            <w:r>
              <w:t>Analyzing Everyday Failure</w:t>
            </w:r>
          </w:p>
        </w:tc>
      </w:tr>
      <w:tr w:rsidR="00595A29" w14:paraId="5B2DECA5" w14:textId="77777777">
        <w:trPr>
          <w:trHeight w:val="288"/>
        </w:trPr>
        <w:tc>
          <w:tcPr>
            <w:tcW w:w="1104" w:type="dxa"/>
            <w:tcBorders>
              <w:top w:val="single" w:sz="4" w:space="0" w:color="A6A6A6" w:themeColor="background1" w:themeShade="A6"/>
            </w:tcBorders>
            <w:tcMar>
              <w:top w:w="144" w:type="dxa"/>
            </w:tcMar>
          </w:tcPr>
          <w:sdt>
            <w:sdtPr>
              <w:id w:val="-973595482"/>
              <w:placeholder>
                <w:docPart w:val="BC6A6DF0F5FC6F42961908EF6F6858FC"/>
              </w:placeholder>
              <w:temporary/>
              <w:showingPlcHdr/>
              <w15:appearance w15:val="hidden"/>
            </w:sdtPr>
            <w:sdtContent>
              <w:p w14:paraId="447AE3D0" w14:textId="77777777" w:rsidR="00595A29" w:rsidRDefault="00D77C46">
                <w:pPr>
                  <w:spacing w:after="120" w:line="259" w:lineRule="auto"/>
                </w:pPr>
                <w:r>
                  <w:t>Comments:</w:t>
                </w:r>
              </w:p>
            </w:sdtContent>
          </w:sdt>
        </w:tc>
        <w:tc>
          <w:tcPr>
            <w:tcW w:w="7536" w:type="dxa"/>
            <w:tcBorders>
              <w:top w:val="single" w:sz="4" w:space="0" w:color="A6A6A6" w:themeColor="background1" w:themeShade="A6"/>
            </w:tcBorders>
            <w:tcMar>
              <w:top w:w="144" w:type="dxa"/>
            </w:tcMar>
          </w:tcPr>
          <w:p w14:paraId="3A4F2CD5" w14:textId="77777777" w:rsidR="00126669" w:rsidRDefault="00126669">
            <w:pPr>
              <w:spacing w:after="120" w:line="259" w:lineRule="auto"/>
            </w:pPr>
            <w:r w:rsidRPr="00126669">
              <w:t xml:space="preserve">I recently experienced the failure of the battery in my </w:t>
            </w:r>
            <w:proofErr w:type="spellStart"/>
            <w:r w:rsidRPr="00126669">
              <w:t>Gotrax</w:t>
            </w:r>
            <w:proofErr w:type="spellEnd"/>
            <w:r w:rsidRPr="00126669">
              <w:t xml:space="preserve"> G5 scooter. After only a few months of use, the battery’s charge-holding capacity significantly diminished, eventually rendering the scooter inoperable. This failure occurred despite following the manufacturer’s usage guidelines, indicating a potential defect in either the design or materials used in the battery.</w:t>
            </w:r>
          </w:p>
          <w:p w14:paraId="60CF5216" w14:textId="56EC34F2" w:rsidR="00595A29" w:rsidRDefault="00126669">
            <w:pPr>
              <w:spacing w:after="120" w:line="259" w:lineRule="auto"/>
            </w:pPr>
            <w:r w:rsidRPr="00126669">
              <w:cr/>
              <w:t xml:space="preserve">The failure can be traced to the premature degradation of the battery’s cells, which should have had a much longer lifespan. Upon researching applicable standards, I found that this failure might be associated with </w:t>
            </w:r>
            <w:r w:rsidR="003D4798" w:rsidRPr="003D4798">
              <w:t>ASTM F2641</w:t>
            </w:r>
            <w:r w:rsidR="000243CA">
              <w:t>-08</w:t>
            </w:r>
            <w:r w:rsidR="00DE6763">
              <w:t xml:space="preserve"> [1]</w:t>
            </w:r>
            <w:r w:rsidRPr="00126669">
              <w:t>, which sets safety and performance standards for recreational powered scooters. Additionally, IEEE 1625</w:t>
            </w:r>
            <w:r w:rsidR="000243CA">
              <w:t>-2008</w:t>
            </w:r>
            <w:r w:rsidR="00DE6763">
              <w:t xml:space="preserve"> [2]</w:t>
            </w:r>
            <w:r w:rsidRPr="00126669">
              <w:t xml:space="preserve">, a standard for rechargeable battery systems, is relevant in ensuring the reliability and durability of battery cells used in consumer products like the </w:t>
            </w:r>
            <w:proofErr w:type="spellStart"/>
            <w:r w:rsidRPr="00126669">
              <w:t>Gotrax</w:t>
            </w:r>
            <w:proofErr w:type="spellEnd"/>
            <w:r w:rsidRPr="00126669">
              <w:t xml:space="preserve"> scooter.</w:t>
            </w:r>
            <w:r w:rsidRPr="00126669">
              <w:cr/>
            </w:r>
            <w:r w:rsidRPr="00126669">
              <w:cr/>
              <w:t>In terms of ethical responsibility, the manufacturer is primarily at fault. The premature battery failure suggests inadequate testing or poor-quality materials. Given that batteries are critical to the functionality of electric scooters, manufacturers must ensure that their products meet industry standards for safety and longevity. The failure also reflects a design flaw, as the thermal management system may not have been adequate to prevent overheating and degradation of the battery cells over time. The end-user, in this case, bears no responsibility, as the product was used according to its intended purpose.</w:t>
            </w:r>
          </w:p>
          <w:p w14:paraId="118C3792" w14:textId="6FEFAEE1" w:rsidR="00126669" w:rsidRDefault="00126669">
            <w:pPr>
              <w:spacing w:after="120" w:line="259" w:lineRule="auto"/>
            </w:pPr>
            <w:r w:rsidRPr="00126669">
              <w:t xml:space="preserve">To address and prevent similar failures in the future, I recommend that </w:t>
            </w:r>
            <w:proofErr w:type="spellStart"/>
            <w:r w:rsidRPr="00126669">
              <w:t>Gotrax</w:t>
            </w:r>
            <w:proofErr w:type="spellEnd"/>
            <w:r w:rsidRPr="00126669">
              <w:t xml:space="preserve"> improve the quality and testing processes for their scooter batteries. First, they should conduct more rigorous stress testing under a variety of environmental conditions to ensure that the batteries can withstand real-world usage. This testing should include temperature fluctuations, which could contribute to the premature degradation of the battery cells. Additionally, </w:t>
            </w:r>
            <w:proofErr w:type="spellStart"/>
            <w:r w:rsidRPr="00126669">
              <w:t>Gotrax</w:t>
            </w:r>
            <w:proofErr w:type="spellEnd"/>
            <w:r w:rsidRPr="00126669">
              <w:t xml:space="preserve"> should consider incorporating higher-quality battery cells with better thermal management features to ensure a longer operational lifespan.</w:t>
            </w:r>
          </w:p>
          <w:p w14:paraId="10DD3FF1" w14:textId="533F88BD" w:rsidR="00126669" w:rsidRDefault="00126669">
            <w:pPr>
              <w:spacing w:after="120" w:line="259" w:lineRule="auto"/>
            </w:pPr>
            <w:r w:rsidRPr="00126669">
              <w:t xml:space="preserve">Another important recommendation is to extend the warranty coverage for battery-related issues. This would not only instill confidence in the product but also provide consumers with the necessary protection should a similar failure occur. By increasing the warranty period and offering more transparent customer support, </w:t>
            </w:r>
            <w:proofErr w:type="spellStart"/>
            <w:r w:rsidRPr="00126669">
              <w:t>Gotrax</w:t>
            </w:r>
            <w:proofErr w:type="spellEnd"/>
            <w:r w:rsidRPr="00126669">
              <w:t xml:space="preserve"> can improve its reputation and consumer satisfaction.</w:t>
            </w:r>
          </w:p>
          <w:p w14:paraId="39826A1F" w14:textId="07B04895" w:rsidR="00126669" w:rsidRDefault="00126669">
            <w:pPr>
              <w:spacing w:after="120" w:line="259" w:lineRule="auto"/>
            </w:pPr>
            <w:r w:rsidRPr="00126669">
              <w:t xml:space="preserve">By implementing these recommendations, </w:t>
            </w:r>
            <w:proofErr w:type="spellStart"/>
            <w:r w:rsidRPr="00126669">
              <w:t>Gotrax</w:t>
            </w:r>
            <w:proofErr w:type="spellEnd"/>
            <w:r w:rsidRPr="00126669">
              <w:t xml:space="preserve"> can enhance the overall reliability and performance of their scooters, ensuring that such failures become less frequent and extending the lifespan of their products.</w:t>
            </w:r>
          </w:p>
        </w:tc>
      </w:tr>
    </w:tbl>
    <w:p w14:paraId="56185B8E" w14:textId="0413109B" w:rsidR="00FB7FA3" w:rsidRDefault="00FB7FA3">
      <w:r>
        <w:tab/>
      </w:r>
      <w:r>
        <w:tab/>
      </w:r>
    </w:p>
    <w:p w14:paraId="0C2EE6AD" w14:textId="77777777" w:rsidR="00A66279" w:rsidRDefault="00A66279"/>
    <w:p w14:paraId="01BDD295" w14:textId="77777777" w:rsidR="00A66279" w:rsidRDefault="00A66279"/>
    <w:p w14:paraId="016FE23B" w14:textId="1C54E326" w:rsidR="00FB7FA3" w:rsidRDefault="00FB7FA3">
      <w:r>
        <w:lastRenderedPageBreak/>
        <w:tab/>
        <w:t xml:space="preserve">          References:</w:t>
      </w:r>
    </w:p>
    <w:p w14:paraId="60105D68" w14:textId="77777777" w:rsidR="000243CA" w:rsidRPr="000243CA" w:rsidRDefault="00FB7FA3" w:rsidP="000243CA">
      <w:r>
        <w:tab/>
        <w:t xml:space="preserve">         </w:t>
      </w:r>
      <w:r w:rsidR="000243CA">
        <w:t>[1</w:t>
      </w:r>
      <w:proofErr w:type="gramStart"/>
      <w:r w:rsidR="000243CA">
        <w:t xml:space="preserve">]  </w:t>
      </w:r>
      <w:r w:rsidR="000243CA" w:rsidRPr="000243CA">
        <w:t>“</w:t>
      </w:r>
      <w:proofErr w:type="gramEnd"/>
      <w:r w:rsidR="000243CA" w:rsidRPr="000243CA">
        <w:t xml:space="preserve">Standard Consumer Safety Specification for Recreational Powered Scooters and Pocket Bikes.” </w:t>
      </w:r>
      <w:r w:rsidR="000243CA" w:rsidRPr="000243CA">
        <w:rPr>
          <w:i/>
          <w:iCs/>
        </w:rPr>
        <w:t>F2641</w:t>
      </w:r>
      <w:r w:rsidR="000243CA" w:rsidRPr="000243CA">
        <w:t xml:space="preserve">, www.astm.org/f2641-08r15.html. Accessed 20 Sept. 2024. </w:t>
      </w:r>
    </w:p>
    <w:p w14:paraId="7B20BCB3" w14:textId="77777777" w:rsidR="000243CA" w:rsidRPr="000243CA" w:rsidRDefault="000243CA" w:rsidP="000243CA">
      <w:r>
        <w:t xml:space="preserve">                           [2] </w:t>
      </w:r>
      <w:r w:rsidRPr="000243CA">
        <w:t xml:space="preserve">“IEEE SA - IEEE Standard for Rechargeable Batteries for Multi-Cell Mobile Computing Devices.” </w:t>
      </w:r>
      <w:r w:rsidRPr="000243CA">
        <w:rPr>
          <w:i/>
          <w:iCs/>
        </w:rPr>
        <w:t>IEEE Standards Association</w:t>
      </w:r>
      <w:r w:rsidRPr="000243CA">
        <w:t>, standards.ieee.org/</w:t>
      </w:r>
      <w:proofErr w:type="spellStart"/>
      <w:r w:rsidRPr="000243CA">
        <w:t>ieee</w:t>
      </w:r>
      <w:proofErr w:type="spellEnd"/>
      <w:r w:rsidRPr="000243CA">
        <w:t xml:space="preserve">/1625/4382/. Accessed 20 Sept. 2024. </w:t>
      </w:r>
    </w:p>
    <w:p w14:paraId="7601054C" w14:textId="31F4168A" w:rsidR="00FB7FA3" w:rsidRDefault="00FB7FA3"/>
    <w:sectPr w:rsidR="00FB7FA3">
      <w:footerReference w:type="default" r:id="rId7"/>
      <w:pgSz w:w="12240" w:h="15840"/>
      <w:pgMar w:top="72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2C3485" w14:textId="77777777" w:rsidR="00D81C96" w:rsidRDefault="00D81C96">
      <w:pPr>
        <w:spacing w:after="0" w:line="240" w:lineRule="auto"/>
      </w:pPr>
      <w:r>
        <w:separator/>
      </w:r>
    </w:p>
  </w:endnote>
  <w:endnote w:type="continuationSeparator" w:id="0">
    <w:p w14:paraId="5DBC8624" w14:textId="77777777" w:rsidR="00D81C96" w:rsidRDefault="00D81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21299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3CA2C5" w14:textId="77777777" w:rsidR="00595A29" w:rsidRDefault="00D77C4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7B3AFD" w14:textId="77777777" w:rsidR="00D81C96" w:rsidRDefault="00D81C96">
      <w:pPr>
        <w:spacing w:after="0" w:line="240" w:lineRule="auto"/>
      </w:pPr>
      <w:r>
        <w:separator/>
      </w:r>
    </w:p>
  </w:footnote>
  <w:footnote w:type="continuationSeparator" w:id="0">
    <w:p w14:paraId="4FCB70A9" w14:textId="77777777" w:rsidR="00D81C96" w:rsidRDefault="00D81C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84"/>
    <w:rsid w:val="000243CA"/>
    <w:rsid w:val="00126669"/>
    <w:rsid w:val="00201891"/>
    <w:rsid w:val="002D0947"/>
    <w:rsid w:val="00306307"/>
    <w:rsid w:val="00390BCD"/>
    <w:rsid w:val="00394E0B"/>
    <w:rsid w:val="003D4798"/>
    <w:rsid w:val="004C2E9D"/>
    <w:rsid w:val="00595A29"/>
    <w:rsid w:val="00696B3E"/>
    <w:rsid w:val="006D69F0"/>
    <w:rsid w:val="00751185"/>
    <w:rsid w:val="00795131"/>
    <w:rsid w:val="007A4746"/>
    <w:rsid w:val="007B3B75"/>
    <w:rsid w:val="00812C84"/>
    <w:rsid w:val="00895E00"/>
    <w:rsid w:val="008C2D84"/>
    <w:rsid w:val="009575A2"/>
    <w:rsid w:val="009E49AD"/>
    <w:rsid w:val="009F4868"/>
    <w:rsid w:val="00A66279"/>
    <w:rsid w:val="00C81B29"/>
    <w:rsid w:val="00CE4F23"/>
    <w:rsid w:val="00D62910"/>
    <w:rsid w:val="00D77C46"/>
    <w:rsid w:val="00D81C96"/>
    <w:rsid w:val="00DE6763"/>
    <w:rsid w:val="00EB6229"/>
    <w:rsid w:val="00FB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18A0B"/>
  <w15:chartTrackingRefBased/>
  <w15:docId w15:val="{D40F2118-6845-5D4D-8D03-57882F42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9F0"/>
  </w:style>
  <w:style w:type="paragraph" w:styleId="Heading1">
    <w:name w:val="heading 1"/>
    <w:basedOn w:val="Normal"/>
    <w:next w:val="Normal"/>
    <w:link w:val="Heading1Char"/>
    <w:uiPriority w:val="2"/>
    <w:qFormat/>
    <w:pPr>
      <w:spacing w:after="200"/>
      <w:contextualSpacing/>
      <w:outlineLvl w:val="0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Pr>
      <w:b/>
      <w:color w:val="000000" w:themeColor="text1"/>
      <w:sz w:val="18"/>
      <w:szCs w:val="18"/>
      <w:lang w:eastAsia="en-US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text1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1"/>
    <w:unhideWhenUsed/>
    <w:qFormat/>
    <w:pPr>
      <w:spacing w:after="400" w:line="360" w:lineRule="auto"/>
      <w:ind w:left="-86"/>
      <w:contextualSpacing/>
    </w:pPr>
    <w:rPr>
      <w:rFonts w:cstheme="majorBidi"/>
      <w:color w:val="595959" w:themeColor="text1" w:themeTint="A6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cstheme="majorBidi"/>
      <w:color w:val="595959" w:themeColor="text1" w:themeTint="A6"/>
      <w:spacing w:val="-10"/>
      <w:kern w:val="28"/>
      <w:sz w:val="96"/>
      <w:szCs w:val="56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  <w:rPr>
      <w:color w:val="000000" w:themeColor="text1"/>
      <w:sz w:val="18"/>
      <w:szCs w:val="18"/>
      <w:lang w:eastAsia="en-US"/>
    </w:r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5131"/>
    <w:pPr>
      <w:keepNext/>
      <w:keepLines/>
      <w:outlineLvl w:val="9"/>
    </w:pPr>
    <w:rPr>
      <w:rFonts w:asciiTheme="majorHAnsi" w:eastAsiaTheme="majorEastAsia" w:hAnsiTheme="majorHAnsi" w:cstheme="majorBidi"/>
      <w:szCs w:val="3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D69F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D69F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D69F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D69F0"/>
    <w:rPr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0243C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7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76BEAAB51687E4A8BE94E1F5A83A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97835-CC12-7D41-80A2-302345E61078}"/>
      </w:docPartPr>
      <w:docPartBody>
        <w:p w:rsidR="00C858FB" w:rsidRDefault="00362B45">
          <w:pPr>
            <w:pStyle w:val="A76BEAAB51687E4A8BE94E1F5A83AE2E"/>
          </w:pPr>
          <w:r>
            <w:t>To:</w:t>
          </w:r>
        </w:p>
      </w:docPartBody>
    </w:docPart>
    <w:docPart>
      <w:docPartPr>
        <w:name w:val="27160E038A7E494AB537AB1C68B90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34BDD-9112-2B42-82E4-9F47AE119DD3}"/>
      </w:docPartPr>
      <w:docPartBody>
        <w:p w:rsidR="00C858FB" w:rsidRDefault="00362B45">
          <w:pPr>
            <w:pStyle w:val="27160E038A7E494AB537AB1C68B90D2E"/>
          </w:pPr>
          <w:r>
            <w:t xml:space="preserve">From: </w:t>
          </w:r>
        </w:p>
      </w:docPartBody>
    </w:docPart>
    <w:docPart>
      <w:docPartPr>
        <w:name w:val="150900D67497B648BBF890EB37EA2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FC025-0C74-9E42-9E31-538859A42363}"/>
      </w:docPartPr>
      <w:docPartBody>
        <w:p w:rsidR="00C858FB" w:rsidRDefault="00362B45">
          <w:pPr>
            <w:pStyle w:val="150900D67497B648BBF890EB37EA219D"/>
          </w:pPr>
          <w:r>
            <w:t xml:space="preserve">CC: </w:t>
          </w:r>
        </w:p>
      </w:docPartBody>
    </w:docPart>
    <w:docPart>
      <w:docPartPr>
        <w:name w:val="647762E5F03F044483C1D6735A04B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FA9D5-D39B-774B-BCB0-64742B7FB2B0}"/>
      </w:docPartPr>
      <w:docPartBody>
        <w:p w:rsidR="00C858FB" w:rsidRDefault="00362B45">
          <w:pPr>
            <w:pStyle w:val="647762E5F03F044483C1D6735A04B3CB"/>
          </w:pPr>
          <w:r>
            <w:t>Recipient names</w:t>
          </w:r>
        </w:p>
      </w:docPartBody>
    </w:docPart>
    <w:docPart>
      <w:docPartPr>
        <w:name w:val="C6057E1BDD5CDA4A8366891DDF851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432BA-D6FE-5242-AD9F-0A8BE48EB74E}"/>
      </w:docPartPr>
      <w:docPartBody>
        <w:p w:rsidR="00C858FB" w:rsidRDefault="00362B45">
          <w:pPr>
            <w:pStyle w:val="C6057E1BDD5CDA4A8366891DDF851825"/>
          </w:pPr>
          <w:r>
            <w:t>Date:</w:t>
          </w:r>
        </w:p>
      </w:docPartBody>
    </w:docPart>
    <w:docPart>
      <w:docPartPr>
        <w:name w:val="0476BFBBD9955449AE6ADAE68ED9D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EBECA-2FAA-C143-932F-18FBFEEC8E76}"/>
      </w:docPartPr>
      <w:docPartBody>
        <w:p w:rsidR="00C858FB" w:rsidRDefault="00362B45">
          <w:pPr>
            <w:pStyle w:val="0476BFBBD9955449AE6ADAE68ED9DC3D"/>
          </w:pPr>
          <w:r>
            <w:t>Re:</w:t>
          </w:r>
        </w:p>
      </w:docPartBody>
    </w:docPart>
    <w:docPart>
      <w:docPartPr>
        <w:name w:val="BC6A6DF0F5FC6F42961908EF6F685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ECC88-618B-E24B-B8AA-725A751DC064}"/>
      </w:docPartPr>
      <w:docPartBody>
        <w:p w:rsidR="00C858FB" w:rsidRDefault="00362B45">
          <w:pPr>
            <w:pStyle w:val="BC6A6DF0F5FC6F42961908EF6F6858FC"/>
          </w:pPr>
          <w:r>
            <w:t>Comments: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45"/>
    <w:rsid w:val="00362B45"/>
    <w:rsid w:val="009D2342"/>
    <w:rsid w:val="00C81B29"/>
    <w:rsid w:val="00C8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6BEAAB51687E4A8BE94E1F5A83AE2E">
    <w:name w:val="A76BEAAB51687E4A8BE94E1F5A83AE2E"/>
  </w:style>
  <w:style w:type="paragraph" w:customStyle="1" w:styleId="27160E038A7E494AB537AB1C68B90D2E">
    <w:name w:val="27160E038A7E494AB537AB1C68B90D2E"/>
  </w:style>
  <w:style w:type="paragraph" w:customStyle="1" w:styleId="55C7AB495A4C3A4C8B2CF8BE76764857">
    <w:name w:val="55C7AB495A4C3A4C8B2CF8BE76764857"/>
  </w:style>
  <w:style w:type="paragraph" w:customStyle="1" w:styleId="150900D67497B648BBF890EB37EA219D">
    <w:name w:val="150900D67497B648BBF890EB37EA219D"/>
  </w:style>
  <w:style w:type="paragraph" w:customStyle="1" w:styleId="647762E5F03F044483C1D6735A04B3CB">
    <w:name w:val="647762E5F03F044483C1D6735A04B3CB"/>
  </w:style>
  <w:style w:type="paragraph" w:customStyle="1" w:styleId="C6057E1BDD5CDA4A8366891DDF851825">
    <w:name w:val="C6057E1BDD5CDA4A8366891DDF851825"/>
  </w:style>
  <w:style w:type="paragraph" w:customStyle="1" w:styleId="B79E58E7E89C6A44A8D77C70FD746C9B">
    <w:name w:val="B79E58E7E89C6A44A8D77C70FD746C9B"/>
  </w:style>
  <w:style w:type="paragraph" w:customStyle="1" w:styleId="0476BFBBD9955449AE6ADAE68ED9DC3D">
    <w:name w:val="0476BFBBD9955449AE6ADAE68ED9DC3D"/>
  </w:style>
  <w:style w:type="paragraph" w:customStyle="1" w:styleId="C257FA52165FAD4A94E32E579A8CDAC1">
    <w:name w:val="C257FA52165FAD4A94E32E579A8CDAC1"/>
  </w:style>
  <w:style w:type="paragraph" w:customStyle="1" w:styleId="BC6A6DF0F5FC6F42961908EF6F6858FC">
    <w:name w:val="BC6A6DF0F5FC6F42961908EF6F6858FC"/>
  </w:style>
  <w:style w:type="paragraph" w:customStyle="1" w:styleId="0C17A8DD9D7FED4E961BF2A3282C3149">
    <w:name w:val="0C17A8DD9D7FED4E961BF2A3282C31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emo Simpl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F84A5-61E5-8141-BA93-4E7F25EA6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Sean Parrell</cp:lastModifiedBy>
  <cp:revision>15</cp:revision>
  <dcterms:created xsi:type="dcterms:W3CDTF">2021-08-30T14:25:00Z</dcterms:created>
  <dcterms:modified xsi:type="dcterms:W3CDTF">2024-09-21T03:46:00Z</dcterms:modified>
</cp:coreProperties>
</file>