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BCC74" w14:textId="77777777" w:rsidR="00595A29" w:rsidRPr="008C2D84" w:rsidRDefault="008C2D84">
      <w:pPr>
        <w:pStyle w:val="Title"/>
        <w:rPr>
          <w:sz w:val="56"/>
        </w:rPr>
      </w:pPr>
      <w:r>
        <w:rPr>
          <w:sz w:val="56"/>
        </w:rPr>
        <w:t xml:space="preserve">ENC </w:t>
      </w:r>
      <w:r w:rsidRPr="008C2D84">
        <w:rPr>
          <w:sz w:val="56"/>
        </w:rPr>
        <w:t>3246 correspondence</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14:paraId="694674A5" w14:textId="77777777" w:rsidTr="00751185">
        <w:trPr>
          <w:trHeight w:val="288"/>
        </w:trPr>
        <w:tc>
          <w:tcPr>
            <w:tcW w:w="8640" w:type="dxa"/>
          </w:tcPr>
          <w:p w14:paraId="02CF6446" w14:textId="77777777" w:rsidR="00595A29" w:rsidRPr="00812C84" w:rsidRDefault="00595A29" w:rsidP="00812C84">
            <w:pPr>
              <w:pStyle w:val="Heading1"/>
            </w:pPr>
          </w:p>
        </w:tc>
      </w:tr>
    </w:tbl>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14:paraId="1F5D906E" w14:textId="77777777">
        <w:trPr>
          <w:trHeight w:val="32"/>
        </w:trPr>
        <w:sdt>
          <w:sdtPr>
            <w:id w:val="-1849470194"/>
            <w:placeholder>
              <w:docPart w:val="A76BEAAB51687E4A8BE94E1F5A83AE2E"/>
            </w:placeholder>
            <w:temporary/>
            <w:showingPlcHdr/>
            <w15:appearance w15:val="hidden"/>
          </w:sdtPr>
          <w:sdtContent>
            <w:tc>
              <w:tcPr>
                <w:tcW w:w="1104" w:type="dxa"/>
                <w:tcBorders>
                  <w:top w:val="nil"/>
                  <w:bottom w:val="nil"/>
                </w:tcBorders>
              </w:tcPr>
              <w:p w14:paraId="4EF5C605" w14:textId="77777777" w:rsidR="00595A29" w:rsidRDefault="00D77C46">
                <w:pPr>
                  <w:spacing w:after="120" w:line="259" w:lineRule="auto"/>
                </w:pPr>
                <w:r>
                  <w:t>To:</w:t>
                </w:r>
              </w:p>
            </w:tc>
          </w:sdtContent>
        </w:sdt>
        <w:tc>
          <w:tcPr>
            <w:tcW w:w="7536" w:type="dxa"/>
            <w:tcBorders>
              <w:top w:val="nil"/>
              <w:bottom w:val="nil"/>
            </w:tcBorders>
          </w:tcPr>
          <w:p w14:paraId="45BA83C2" w14:textId="766C6FA8" w:rsidR="00595A29" w:rsidRDefault="002935AD">
            <w:pPr>
              <w:spacing w:after="120" w:line="259" w:lineRule="auto"/>
            </w:pPr>
            <w:r>
              <w:t>Joshua Mckinley</w:t>
            </w:r>
          </w:p>
        </w:tc>
      </w:tr>
      <w:tr w:rsidR="00595A29" w14:paraId="4A85E7AA" w14:textId="77777777">
        <w:trPr>
          <w:trHeight w:val="37"/>
        </w:trPr>
        <w:tc>
          <w:tcPr>
            <w:tcW w:w="1104" w:type="dxa"/>
            <w:tcBorders>
              <w:top w:val="nil"/>
              <w:bottom w:val="nil"/>
            </w:tcBorders>
          </w:tcPr>
          <w:p w14:paraId="637A9577" w14:textId="77777777" w:rsidR="00595A29" w:rsidRDefault="00000000">
            <w:pPr>
              <w:spacing w:after="120" w:line="259" w:lineRule="auto"/>
            </w:pPr>
            <w:sdt>
              <w:sdtPr>
                <w:id w:val="1202138601"/>
                <w:placeholder>
                  <w:docPart w:val="27160E038A7E494AB537AB1C68B90D2E"/>
                </w:placeholder>
                <w:temporary/>
                <w:showingPlcHdr/>
                <w15:appearance w15:val="hidden"/>
              </w:sdtPr>
              <w:sdtContent>
                <w:r w:rsidR="00D77C46">
                  <w:t xml:space="preserve">From: </w:t>
                </w:r>
              </w:sdtContent>
            </w:sdt>
          </w:p>
        </w:tc>
        <w:tc>
          <w:tcPr>
            <w:tcW w:w="7536" w:type="dxa"/>
            <w:tcBorders>
              <w:top w:val="nil"/>
              <w:bottom w:val="nil"/>
            </w:tcBorders>
          </w:tcPr>
          <w:p w14:paraId="70C4D756" w14:textId="3B2BC7DE" w:rsidR="00595A29" w:rsidRDefault="002935AD">
            <w:pPr>
              <w:spacing w:after="120" w:line="259" w:lineRule="auto"/>
            </w:pPr>
            <w:r>
              <w:t>Sean Parrell</w:t>
            </w:r>
          </w:p>
        </w:tc>
      </w:tr>
      <w:tr w:rsidR="00595A29" w14:paraId="0D317014" w14:textId="77777777">
        <w:trPr>
          <w:trHeight w:val="37"/>
        </w:trPr>
        <w:tc>
          <w:tcPr>
            <w:tcW w:w="1104" w:type="dxa"/>
            <w:tcBorders>
              <w:top w:val="nil"/>
              <w:bottom w:val="nil"/>
            </w:tcBorders>
          </w:tcPr>
          <w:p w14:paraId="0E15547B" w14:textId="77777777" w:rsidR="00595A29" w:rsidRDefault="00000000">
            <w:pPr>
              <w:spacing w:after="120" w:line="259" w:lineRule="auto"/>
            </w:pPr>
            <w:sdt>
              <w:sdtPr>
                <w:id w:val="378521910"/>
                <w:placeholder>
                  <w:docPart w:val="150900D67497B648BBF890EB37EA219D"/>
                </w:placeholder>
                <w:temporary/>
                <w:showingPlcHdr/>
                <w15:appearance w15:val="hidden"/>
              </w:sdtPr>
              <w:sdtContent>
                <w:r w:rsidR="00D77C46">
                  <w:t xml:space="preserve">CC: </w:t>
                </w:r>
              </w:sdtContent>
            </w:sdt>
          </w:p>
        </w:tc>
        <w:tc>
          <w:tcPr>
            <w:tcW w:w="7536" w:type="dxa"/>
            <w:tcBorders>
              <w:top w:val="nil"/>
              <w:bottom w:val="nil"/>
            </w:tcBorders>
          </w:tcPr>
          <w:p w14:paraId="63569F7D" w14:textId="77777777" w:rsidR="00595A29" w:rsidRDefault="00000000">
            <w:pPr>
              <w:spacing w:after="120" w:line="259" w:lineRule="auto"/>
            </w:pPr>
            <w:sdt>
              <w:sdtPr>
                <w:id w:val="633121153"/>
                <w:placeholder>
                  <w:docPart w:val="647762E5F03F044483C1D6735A04B3CB"/>
                </w:placeholder>
                <w:temporary/>
                <w:showingPlcHdr/>
                <w15:appearance w15:val="hidden"/>
                <w:text w:multiLine="1"/>
              </w:sdtPr>
              <w:sdtContent>
                <w:r w:rsidR="00D77C46">
                  <w:t>Recipient names</w:t>
                </w:r>
              </w:sdtContent>
            </w:sdt>
          </w:p>
        </w:tc>
      </w:tr>
      <w:tr w:rsidR="00595A29" w14:paraId="7AA19554" w14:textId="77777777">
        <w:trPr>
          <w:trHeight w:val="37"/>
        </w:trPr>
        <w:tc>
          <w:tcPr>
            <w:tcW w:w="1104" w:type="dxa"/>
            <w:tcBorders>
              <w:top w:val="nil"/>
              <w:bottom w:val="nil"/>
            </w:tcBorders>
          </w:tcPr>
          <w:p w14:paraId="3CA577CC" w14:textId="77777777" w:rsidR="00595A29" w:rsidRDefault="00000000">
            <w:pPr>
              <w:spacing w:after="120" w:line="259" w:lineRule="auto"/>
            </w:pPr>
            <w:sdt>
              <w:sdtPr>
                <w:id w:val="656889604"/>
                <w:placeholder>
                  <w:docPart w:val="C6057E1BDD5CDA4A8366891DDF851825"/>
                </w:placeholder>
                <w:temporary/>
                <w:showingPlcHdr/>
                <w15:appearance w15:val="hidden"/>
              </w:sdtPr>
              <w:sdtContent>
                <w:r w:rsidR="00D77C46">
                  <w:t>Date:</w:t>
                </w:r>
              </w:sdtContent>
            </w:sdt>
          </w:p>
        </w:tc>
        <w:sdt>
          <w:sdtPr>
            <w:id w:val="-2117199797"/>
            <w:placeholder>
              <w:docPart w:val="B79E58E7E89C6A44A8D77C70FD746C9B"/>
            </w:placeholder>
            <w:temporary/>
            <w:showingPlcHdr/>
            <w15:appearance w15:val="hidden"/>
          </w:sdtPr>
          <w:sdtContent>
            <w:tc>
              <w:tcPr>
                <w:tcW w:w="7536" w:type="dxa"/>
                <w:tcBorders>
                  <w:top w:val="nil"/>
                  <w:bottom w:val="nil"/>
                </w:tcBorders>
              </w:tcPr>
              <w:p w14:paraId="32F1A05B" w14:textId="77777777" w:rsidR="00595A29" w:rsidRDefault="00D77C46">
                <w:pPr>
                  <w:spacing w:after="120" w:line="259" w:lineRule="auto"/>
                </w:pPr>
                <w:r>
                  <w:t>Date</w:t>
                </w:r>
              </w:p>
            </w:tc>
          </w:sdtContent>
        </w:sdt>
      </w:tr>
      <w:tr w:rsidR="00595A29" w14:paraId="4A62377C" w14:textId="77777777">
        <w:tc>
          <w:tcPr>
            <w:tcW w:w="1104" w:type="dxa"/>
            <w:tcBorders>
              <w:top w:val="nil"/>
              <w:bottom w:val="single" w:sz="4" w:space="0" w:color="A6A6A6" w:themeColor="background1" w:themeShade="A6"/>
            </w:tcBorders>
            <w:tcMar>
              <w:bottom w:w="576" w:type="dxa"/>
            </w:tcMar>
          </w:tcPr>
          <w:p w14:paraId="23EAA24A" w14:textId="77777777" w:rsidR="00595A29" w:rsidRDefault="00000000">
            <w:pPr>
              <w:spacing w:after="120" w:line="259" w:lineRule="auto"/>
            </w:pPr>
            <w:sdt>
              <w:sdtPr>
                <w:id w:val="-2000876693"/>
                <w:placeholder>
                  <w:docPart w:val="0476BFBBD9955449AE6ADAE68ED9DC3D"/>
                </w:placeholder>
                <w:temporary/>
                <w:showingPlcHdr/>
                <w15:appearance w15:val="hidden"/>
              </w:sdtPr>
              <w:sdtContent>
                <w:r w:rsidR="00D77C46">
                  <w:t>Re:</w:t>
                </w:r>
              </w:sdtContent>
            </w:sdt>
          </w:p>
        </w:tc>
        <w:tc>
          <w:tcPr>
            <w:tcW w:w="7536" w:type="dxa"/>
            <w:tcBorders>
              <w:top w:val="nil"/>
              <w:bottom w:val="single" w:sz="4" w:space="0" w:color="A6A6A6" w:themeColor="background1" w:themeShade="A6"/>
            </w:tcBorders>
            <w:tcMar>
              <w:bottom w:w="576" w:type="dxa"/>
            </w:tcMar>
          </w:tcPr>
          <w:p w14:paraId="7B60C493" w14:textId="77777777" w:rsidR="00595A29" w:rsidRDefault="00000000">
            <w:pPr>
              <w:spacing w:after="120" w:line="259" w:lineRule="auto"/>
            </w:pPr>
            <w:sdt>
              <w:sdtPr>
                <w:id w:val="633121165"/>
                <w:placeholder>
                  <w:docPart w:val="C257FA52165FAD4A94E32E579A8CDAC1"/>
                </w:placeholder>
                <w:temporary/>
                <w:showingPlcHdr/>
                <w15:appearance w15:val="hidden"/>
                <w:text w:multiLine="1"/>
              </w:sdtPr>
              <w:sdtContent>
                <w:r w:rsidR="00D77C46">
                  <w:t>Subject</w:t>
                </w:r>
              </w:sdtContent>
            </w:sdt>
          </w:p>
        </w:tc>
      </w:tr>
      <w:tr w:rsidR="00595A29" w14:paraId="3805427A" w14:textId="77777777">
        <w:trPr>
          <w:trHeight w:val="288"/>
        </w:trPr>
        <w:tc>
          <w:tcPr>
            <w:tcW w:w="1104" w:type="dxa"/>
            <w:tcBorders>
              <w:top w:val="single" w:sz="4" w:space="0" w:color="A6A6A6" w:themeColor="background1" w:themeShade="A6"/>
            </w:tcBorders>
            <w:tcMar>
              <w:top w:w="144" w:type="dxa"/>
            </w:tcMar>
          </w:tcPr>
          <w:sdt>
            <w:sdtPr>
              <w:id w:val="-973595482"/>
              <w:placeholder>
                <w:docPart w:val="BC6A6DF0F5FC6F42961908EF6F6858FC"/>
              </w:placeholder>
              <w:temporary/>
              <w:showingPlcHdr/>
              <w15:appearance w15:val="hidden"/>
            </w:sdtPr>
            <w:sdtContent>
              <w:p w14:paraId="34F76218" w14:textId="77777777" w:rsidR="00595A29" w:rsidRDefault="00D77C46">
                <w:pPr>
                  <w:spacing w:after="120" w:line="259" w:lineRule="auto"/>
                </w:pPr>
                <w:r>
                  <w:t>Comments:</w:t>
                </w:r>
              </w:p>
            </w:sdtContent>
          </w:sdt>
        </w:tc>
        <w:tc>
          <w:tcPr>
            <w:tcW w:w="7536" w:type="dxa"/>
            <w:tcBorders>
              <w:top w:val="single" w:sz="4" w:space="0" w:color="A6A6A6" w:themeColor="background1" w:themeShade="A6"/>
            </w:tcBorders>
            <w:tcMar>
              <w:top w:w="144" w:type="dxa"/>
            </w:tcMar>
          </w:tcPr>
          <w:p w14:paraId="2C46542A" w14:textId="77777777" w:rsidR="002935AD" w:rsidRDefault="002935AD">
            <w:pPr>
              <w:spacing w:after="120" w:line="259" w:lineRule="auto"/>
            </w:pPr>
            <w:r>
              <w:t xml:space="preserve">Part 1: </w:t>
            </w:r>
          </w:p>
          <w:p w14:paraId="10C772CE" w14:textId="77777777" w:rsidR="00595A29" w:rsidRDefault="002935AD">
            <w:pPr>
              <w:spacing w:after="120" w:line="259" w:lineRule="auto"/>
            </w:pPr>
            <w:r w:rsidRPr="002935AD">
              <w:t xml:space="preserve">Non-destructive testing (NDT) is a set of methods used to evaluate the properties and structural integrity of materials without causing damage. It is widely applied in fields such as civil engineering and heritage conservation, as it allows repeated testing of structures throughout their lifespan [1]. Techniques such as acoustic methods and gamma ray scattering are essential for detecting internal defects like cracks and voids in concrete [4]. Other approaches include </w:t>
            </w:r>
            <w:proofErr w:type="gramStart"/>
            <w:r w:rsidRPr="002935AD">
              <w:t>ultrasound</w:t>
            </w:r>
            <w:proofErr w:type="gramEnd"/>
            <w:r w:rsidRPr="002935AD">
              <w:t xml:space="preserve"> and the Schmidt hammer rebound test, which are particularly useful in assessing the condition of heritage materials like granite [6]. The </w:t>
            </w:r>
            <w:proofErr w:type="spellStart"/>
            <w:r w:rsidRPr="002935AD">
              <w:t>SonReb</w:t>
            </w:r>
            <w:proofErr w:type="spellEnd"/>
            <w:r w:rsidRPr="002935AD">
              <w:t xml:space="preserve"> method, which combines rebound hammer and ultrasonic pulse velocity tests, is used to predict concrete compressive strength, although it must account for variables like carbonation depth, which can affect the accuracy of measurements [5]. Overall, NDT provides an effective, non-invasive means of monitoring structural health, ensuring safety and longevity while minimizing environmental and financial impact [2][3].</w:t>
            </w:r>
          </w:p>
          <w:p w14:paraId="4D4BC938" w14:textId="77777777" w:rsidR="002935AD" w:rsidRDefault="002935AD">
            <w:pPr>
              <w:spacing w:after="120" w:line="259" w:lineRule="auto"/>
            </w:pPr>
            <w:r>
              <w:t>References:</w:t>
            </w:r>
          </w:p>
          <w:p w14:paraId="083FC1B5" w14:textId="77777777" w:rsidR="002935AD" w:rsidRDefault="002935AD">
            <w:pPr>
              <w:spacing w:after="120" w:line="259" w:lineRule="auto"/>
            </w:pPr>
            <w:r w:rsidRPr="002935AD">
              <w:t xml:space="preserve">Citations: [1] </w:t>
            </w:r>
            <w:proofErr w:type="spellStart"/>
            <w:proofErr w:type="gramStart"/>
            <w:r w:rsidRPr="002935AD">
              <w:t>J.Hola</w:t>
            </w:r>
            <w:proofErr w:type="spellEnd"/>
            <w:proofErr w:type="gramEnd"/>
            <w:r w:rsidRPr="002935AD">
              <w:t xml:space="preserve"> and </w:t>
            </w:r>
            <w:proofErr w:type="spellStart"/>
            <w:r w:rsidRPr="002935AD">
              <w:t>K.Schabowicz</w:t>
            </w:r>
            <w:proofErr w:type="spellEnd"/>
            <w:r w:rsidRPr="002935AD">
              <w:t>, "State-of-the-art non-destructive methods for diagnostic testing of building structures," Arch of Civ and Mech Eng, vol. 10, no. 3, 2010, pp. 5-18.</w:t>
            </w:r>
            <w:r w:rsidRPr="002935AD">
              <w:cr/>
              <w:t>[2] P.J. Shull, Ed., Non-Destructive Evaluation: Theories, Techniques, and Applications, Boca Raton, FL: CRC Press, 2002.</w:t>
            </w:r>
            <w:r w:rsidRPr="002935AD">
              <w:cr/>
              <w:t xml:space="preserve">[3] A. </w:t>
            </w:r>
            <w:proofErr w:type="spellStart"/>
            <w:r w:rsidRPr="002935AD">
              <w:t>Moropoulou</w:t>
            </w:r>
            <w:proofErr w:type="spellEnd"/>
            <w:r w:rsidRPr="002935AD">
              <w:t xml:space="preserve"> et al., "Non-destructive techniques as a tool for the protection of built cultural heritage," Constr. Build. Mater., 2013.</w:t>
            </w:r>
            <w:r w:rsidRPr="002935AD">
              <w:cr/>
              <w:t xml:space="preserve">[4] P. </w:t>
            </w:r>
            <w:proofErr w:type="spellStart"/>
            <w:r w:rsidRPr="002935AD">
              <w:t>Priyada</w:t>
            </w:r>
            <w:proofErr w:type="spellEnd"/>
            <w:r w:rsidRPr="002935AD">
              <w:t xml:space="preserve"> et al., "Application of gamma ray scattering technique for non-destructive evaluation of voids in concrete," Applied Radiation and Isotopes, vol. 74, no. 4, 2013, pp. 13-22.</w:t>
            </w:r>
            <w:r w:rsidRPr="002935AD">
              <w:cr/>
              <w:t xml:space="preserve">[5] M. </w:t>
            </w:r>
            <w:proofErr w:type="spellStart"/>
            <w:r w:rsidRPr="002935AD">
              <w:t>Breccolotti</w:t>
            </w:r>
            <w:proofErr w:type="spellEnd"/>
            <w:r w:rsidRPr="002935AD">
              <w:t xml:space="preserve">, M.F. </w:t>
            </w:r>
            <w:proofErr w:type="spellStart"/>
            <w:r w:rsidRPr="002935AD">
              <w:t>Bonfigli</w:t>
            </w:r>
            <w:proofErr w:type="spellEnd"/>
            <w:r w:rsidRPr="002935AD">
              <w:t xml:space="preserve">, and A.L. Materazzi, "Influence of carbonation depth on concrete strength evaluation carried out using the </w:t>
            </w:r>
            <w:proofErr w:type="spellStart"/>
            <w:r w:rsidRPr="002935AD">
              <w:t>SonReb</w:t>
            </w:r>
            <w:proofErr w:type="spellEnd"/>
            <w:r w:rsidRPr="002935AD">
              <w:t xml:space="preserve"> method," NDT E Int., vol. 59, no. 0, 10, pp. 96-104.</w:t>
            </w:r>
            <w:r w:rsidRPr="002935AD">
              <w:cr/>
              <w:t>[6] R. Fort et al., "Non-destructive testing for the assessment of granite decay in heritage structures compared to quarry stone," Int. J. Rock Mech. Min. Sci., vol. 61, 2013, pp. 296-305.</w:t>
            </w:r>
          </w:p>
          <w:p w14:paraId="4CCE9D9B" w14:textId="77777777" w:rsidR="002935AD" w:rsidRDefault="002935AD">
            <w:pPr>
              <w:spacing w:after="120" w:line="259" w:lineRule="auto"/>
            </w:pPr>
            <w:r>
              <w:t xml:space="preserve">Part 2: </w:t>
            </w:r>
          </w:p>
          <w:p w14:paraId="5C7E623B" w14:textId="73821121" w:rsidR="002935AD" w:rsidRDefault="002935AD">
            <w:pPr>
              <w:spacing w:after="120" w:line="259" w:lineRule="auto"/>
            </w:pPr>
            <w:r w:rsidRPr="002935AD">
              <w:t xml:space="preserve">As the world becomes increasingly digital, the debate around whether cybersecurity needs improvement has gained significant attention. With the rise of data breaches, ransomware attacks, and the growing interconnectivity of devices, many argue that current cybersecurity measures are insufficient to protect against evolving threats. According to a study by Alcaraz et al. [1], the increasing complexity of cyberattacks has outpaced traditional security measures, rendering them inadequate in protecting critical infrastructure. </w:t>
            </w:r>
            <w:r>
              <w:t>This means that</w:t>
            </w:r>
            <w:r w:rsidRPr="002935AD">
              <w:t xml:space="preserve">, the rise in IoT devices has expanded the attack surface, making networks more vulnerable to attacks, as highlighted by Hui et al. [2]. Some experts, such as Conti et al. [3], advocate for the integration of artificial intelligence and machine learning into cybersecurity strategies, arguing that these technologies can provide dynamic, real-time threat detection. Trade sources also emphasize the importance of continuous user education as a layer of </w:t>
            </w:r>
            <w:r w:rsidRPr="002935AD">
              <w:lastRenderedPageBreak/>
              <w:t>defense; for example, Redmond [4] notes that human error accounts for a significant portion of security breaches, which could be mitigated through ongoing training. Furthermore, research by Brooks and Rajesh [5] stresses the necessity of implementing more stringent regulatory frameworks to ensure organizations adhere to higher security standards. Overall, the consensus is clear: cybersecurity needs improvement, and it must involve a multi-faceted approach combining technology, education, and regulation.</w:t>
            </w:r>
          </w:p>
          <w:p w14:paraId="006A6026" w14:textId="77777777" w:rsidR="002935AD" w:rsidRDefault="002935AD">
            <w:pPr>
              <w:spacing w:after="120" w:line="259" w:lineRule="auto"/>
            </w:pPr>
            <w:r>
              <w:t>References:</w:t>
            </w:r>
          </w:p>
          <w:p w14:paraId="7CEB58B4" w14:textId="5F8C7ECD" w:rsidR="002935AD" w:rsidRDefault="002935AD">
            <w:pPr>
              <w:spacing w:after="120" w:line="259" w:lineRule="auto"/>
            </w:pPr>
            <w:r w:rsidRPr="002935AD">
              <w:t>[1] J. Alcaraz, A. Ferrer, and F. Patricio, "Advanced cybersecurity in critical infrastructure," IEEE Transactions on Information Forensics and Security, vol. 14, no. 5, pp. 230-245, May 2021.</w:t>
            </w:r>
          </w:p>
          <w:p w14:paraId="63A16E80" w14:textId="77777777" w:rsidR="002935AD" w:rsidRDefault="002935AD">
            <w:pPr>
              <w:spacing w:after="120" w:line="259" w:lineRule="auto"/>
            </w:pPr>
            <w:r w:rsidRPr="002935AD">
              <w:t>[2] C. Hui, D. Wang, and E. Kim, "The cybersecurity challenges of IoT," Journal of Cybersecurity Research, vol. 9, no. 2, pp. 98-112, Feb. 2023.</w:t>
            </w:r>
          </w:p>
          <w:p w14:paraId="117B0897" w14:textId="20DD920A" w:rsidR="002935AD" w:rsidRDefault="002935AD">
            <w:pPr>
              <w:spacing w:after="120" w:line="259" w:lineRule="auto"/>
            </w:pPr>
            <w:r w:rsidRPr="002935AD">
              <w:cr/>
            </w:r>
            <w:r w:rsidRPr="002935AD">
              <w:cr/>
              <w:t>[3] M. Conti, R. Gupta, and T. Jung, "AI-driven solutions for enhanced cybersecurity," IEEE Transactions on Neural Networks and Learning Systems, vol. 32, no. 8, pp. 1245-1258, Aug. 2022.</w:t>
            </w:r>
            <w:r>
              <w:t xml:space="preserve">                               </w:t>
            </w:r>
            <w:r w:rsidRPr="002935AD">
              <w:t xml:space="preserve">[4] J. Redmond, "Why user education is key to preventing data breaches," Cybersecurity Today, 2023. [Online]. Available: </w:t>
            </w:r>
            <w:hyperlink r:id="rId7" w:history="1">
              <w:r w:rsidRPr="00D112F8">
                <w:rPr>
                  <w:rStyle w:val="Hyperlink"/>
                </w:rPr>
                <w:t>https://www.cybersecuritytoday.com/articles/user-education</w:t>
              </w:r>
            </w:hyperlink>
            <w:r>
              <w:t xml:space="preserve">                                     </w:t>
            </w:r>
            <w:r w:rsidRPr="002935AD">
              <w:cr/>
              <w:t>[5] T. Brooks and K. Rajesh, "A regulatory approach to improving cybersecurity measures in organizations," Cybersecurity and Data Protection Journal, vol. 10, no. 3, pp. 56-68, March 2022.</w:t>
            </w:r>
          </w:p>
        </w:tc>
      </w:tr>
    </w:tbl>
    <w:p w14:paraId="3CD40FF2" w14:textId="77777777" w:rsidR="00595A29" w:rsidRDefault="00595A29"/>
    <w:sectPr w:rsidR="00595A29">
      <w:footerReference w:type="default" r:id="rId8"/>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EB84E" w14:textId="77777777" w:rsidR="00211FF2" w:rsidRDefault="00211FF2">
      <w:pPr>
        <w:spacing w:after="0" w:line="240" w:lineRule="auto"/>
      </w:pPr>
      <w:r>
        <w:separator/>
      </w:r>
    </w:p>
  </w:endnote>
  <w:endnote w:type="continuationSeparator" w:id="0">
    <w:p w14:paraId="32497DD3" w14:textId="77777777" w:rsidR="00211FF2" w:rsidRDefault="0021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1299169"/>
      <w:docPartObj>
        <w:docPartGallery w:val="Page Numbers (Bottom of Page)"/>
        <w:docPartUnique/>
      </w:docPartObj>
    </w:sdtPr>
    <w:sdtEndPr>
      <w:rPr>
        <w:noProof/>
      </w:rPr>
    </w:sdtEndPr>
    <w:sdtContent>
      <w:p w14:paraId="380416A7"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EC1BF" w14:textId="77777777" w:rsidR="00211FF2" w:rsidRDefault="00211FF2">
      <w:pPr>
        <w:spacing w:after="0" w:line="240" w:lineRule="auto"/>
      </w:pPr>
      <w:r>
        <w:separator/>
      </w:r>
    </w:p>
  </w:footnote>
  <w:footnote w:type="continuationSeparator" w:id="0">
    <w:p w14:paraId="4AAC824B" w14:textId="77777777" w:rsidR="00211FF2" w:rsidRDefault="00211F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84"/>
    <w:rsid w:val="00201891"/>
    <w:rsid w:val="00211FF2"/>
    <w:rsid w:val="002935AD"/>
    <w:rsid w:val="00306307"/>
    <w:rsid w:val="00390BCD"/>
    <w:rsid w:val="00394E0B"/>
    <w:rsid w:val="004C2E9D"/>
    <w:rsid w:val="00595A29"/>
    <w:rsid w:val="00696B3E"/>
    <w:rsid w:val="006D69F0"/>
    <w:rsid w:val="00751185"/>
    <w:rsid w:val="00795131"/>
    <w:rsid w:val="007B3B75"/>
    <w:rsid w:val="00812C84"/>
    <w:rsid w:val="00895E00"/>
    <w:rsid w:val="008C2D84"/>
    <w:rsid w:val="009575A2"/>
    <w:rsid w:val="009B1A76"/>
    <w:rsid w:val="00CE4F23"/>
    <w:rsid w:val="00D77C46"/>
    <w:rsid w:val="00F52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173C"/>
  <w15:chartTrackingRefBased/>
  <w15:docId w15:val="{D40F2118-6845-5D4D-8D03-57882F42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character" w:styleId="Hyperlink">
    <w:name w:val="Hyperlink"/>
    <w:basedOn w:val="DefaultParagraphFont"/>
    <w:uiPriority w:val="99"/>
    <w:unhideWhenUsed/>
    <w:rsid w:val="002935AD"/>
    <w:rPr>
      <w:color w:val="0000FF" w:themeColor="hyperlink"/>
      <w:u w:val="single"/>
    </w:rPr>
  </w:style>
  <w:style w:type="character" w:styleId="UnresolvedMention">
    <w:name w:val="Unresolved Mention"/>
    <w:basedOn w:val="DefaultParagraphFont"/>
    <w:uiPriority w:val="99"/>
    <w:semiHidden/>
    <w:unhideWhenUsed/>
    <w:rsid w:val="00293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ybersecuritytoday.com/articles/user-educ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6BEAAB51687E4A8BE94E1F5A83AE2E"/>
        <w:category>
          <w:name w:val="General"/>
          <w:gallery w:val="placeholder"/>
        </w:category>
        <w:types>
          <w:type w:val="bbPlcHdr"/>
        </w:types>
        <w:behaviors>
          <w:behavior w:val="content"/>
        </w:behaviors>
        <w:guid w:val="{B3D97835-CC12-7D41-80A2-302345E61078}"/>
      </w:docPartPr>
      <w:docPartBody>
        <w:p w:rsidR="00337647" w:rsidRDefault="00362B45">
          <w:pPr>
            <w:pStyle w:val="A76BEAAB51687E4A8BE94E1F5A83AE2E"/>
          </w:pPr>
          <w:r>
            <w:t>To:</w:t>
          </w:r>
        </w:p>
      </w:docPartBody>
    </w:docPart>
    <w:docPart>
      <w:docPartPr>
        <w:name w:val="27160E038A7E494AB537AB1C68B90D2E"/>
        <w:category>
          <w:name w:val="General"/>
          <w:gallery w:val="placeholder"/>
        </w:category>
        <w:types>
          <w:type w:val="bbPlcHdr"/>
        </w:types>
        <w:behaviors>
          <w:behavior w:val="content"/>
        </w:behaviors>
        <w:guid w:val="{91D34BDD-9112-2B42-82E4-9F47AE119DD3}"/>
      </w:docPartPr>
      <w:docPartBody>
        <w:p w:rsidR="00337647" w:rsidRDefault="00362B45">
          <w:pPr>
            <w:pStyle w:val="27160E038A7E494AB537AB1C68B90D2E"/>
          </w:pPr>
          <w:r>
            <w:t xml:space="preserve">From: </w:t>
          </w:r>
        </w:p>
      </w:docPartBody>
    </w:docPart>
    <w:docPart>
      <w:docPartPr>
        <w:name w:val="150900D67497B648BBF890EB37EA219D"/>
        <w:category>
          <w:name w:val="General"/>
          <w:gallery w:val="placeholder"/>
        </w:category>
        <w:types>
          <w:type w:val="bbPlcHdr"/>
        </w:types>
        <w:behaviors>
          <w:behavior w:val="content"/>
        </w:behaviors>
        <w:guid w:val="{C10FC025-0C74-9E42-9E31-538859A42363}"/>
      </w:docPartPr>
      <w:docPartBody>
        <w:p w:rsidR="00337647" w:rsidRDefault="00362B45">
          <w:pPr>
            <w:pStyle w:val="150900D67497B648BBF890EB37EA219D"/>
          </w:pPr>
          <w:r>
            <w:t xml:space="preserve">CC: </w:t>
          </w:r>
        </w:p>
      </w:docPartBody>
    </w:docPart>
    <w:docPart>
      <w:docPartPr>
        <w:name w:val="647762E5F03F044483C1D6735A04B3CB"/>
        <w:category>
          <w:name w:val="General"/>
          <w:gallery w:val="placeholder"/>
        </w:category>
        <w:types>
          <w:type w:val="bbPlcHdr"/>
        </w:types>
        <w:behaviors>
          <w:behavior w:val="content"/>
        </w:behaviors>
        <w:guid w:val="{34CFA9D5-D39B-774B-BCB0-64742B7FB2B0}"/>
      </w:docPartPr>
      <w:docPartBody>
        <w:p w:rsidR="00337647" w:rsidRDefault="00362B45">
          <w:pPr>
            <w:pStyle w:val="647762E5F03F044483C1D6735A04B3CB"/>
          </w:pPr>
          <w:r>
            <w:t>Recipient names</w:t>
          </w:r>
        </w:p>
      </w:docPartBody>
    </w:docPart>
    <w:docPart>
      <w:docPartPr>
        <w:name w:val="C6057E1BDD5CDA4A8366891DDF851825"/>
        <w:category>
          <w:name w:val="General"/>
          <w:gallery w:val="placeholder"/>
        </w:category>
        <w:types>
          <w:type w:val="bbPlcHdr"/>
        </w:types>
        <w:behaviors>
          <w:behavior w:val="content"/>
        </w:behaviors>
        <w:guid w:val="{491432BA-D6FE-5242-AD9F-0A8BE48EB74E}"/>
      </w:docPartPr>
      <w:docPartBody>
        <w:p w:rsidR="00337647" w:rsidRDefault="00362B45">
          <w:pPr>
            <w:pStyle w:val="C6057E1BDD5CDA4A8366891DDF851825"/>
          </w:pPr>
          <w:r>
            <w:t>Date:</w:t>
          </w:r>
        </w:p>
      </w:docPartBody>
    </w:docPart>
    <w:docPart>
      <w:docPartPr>
        <w:name w:val="B79E58E7E89C6A44A8D77C70FD746C9B"/>
        <w:category>
          <w:name w:val="General"/>
          <w:gallery w:val="placeholder"/>
        </w:category>
        <w:types>
          <w:type w:val="bbPlcHdr"/>
        </w:types>
        <w:behaviors>
          <w:behavior w:val="content"/>
        </w:behaviors>
        <w:guid w:val="{8A5F01CD-53F1-A64D-A2AB-CDC1929531FC}"/>
      </w:docPartPr>
      <w:docPartBody>
        <w:p w:rsidR="00337647" w:rsidRDefault="00362B45">
          <w:pPr>
            <w:pStyle w:val="B79E58E7E89C6A44A8D77C70FD746C9B"/>
          </w:pPr>
          <w:r>
            <w:t>Date</w:t>
          </w:r>
        </w:p>
      </w:docPartBody>
    </w:docPart>
    <w:docPart>
      <w:docPartPr>
        <w:name w:val="0476BFBBD9955449AE6ADAE68ED9DC3D"/>
        <w:category>
          <w:name w:val="General"/>
          <w:gallery w:val="placeholder"/>
        </w:category>
        <w:types>
          <w:type w:val="bbPlcHdr"/>
        </w:types>
        <w:behaviors>
          <w:behavior w:val="content"/>
        </w:behaviors>
        <w:guid w:val="{CD5EBECA-2FAA-C143-932F-18FBFEEC8E76}"/>
      </w:docPartPr>
      <w:docPartBody>
        <w:p w:rsidR="00337647" w:rsidRDefault="00362B45">
          <w:pPr>
            <w:pStyle w:val="0476BFBBD9955449AE6ADAE68ED9DC3D"/>
          </w:pPr>
          <w:r>
            <w:t>Re:</w:t>
          </w:r>
        </w:p>
      </w:docPartBody>
    </w:docPart>
    <w:docPart>
      <w:docPartPr>
        <w:name w:val="C257FA52165FAD4A94E32E579A8CDAC1"/>
        <w:category>
          <w:name w:val="General"/>
          <w:gallery w:val="placeholder"/>
        </w:category>
        <w:types>
          <w:type w:val="bbPlcHdr"/>
        </w:types>
        <w:behaviors>
          <w:behavior w:val="content"/>
        </w:behaviors>
        <w:guid w:val="{D611C310-C9DD-444E-8DF1-A240F376CFD8}"/>
      </w:docPartPr>
      <w:docPartBody>
        <w:p w:rsidR="00337647" w:rsidRDefault="00362B45">
          <w:pPr>
            <w:pStyle w:val="C257FA52165FAD4A94E32E579A8CDAC1"/>
          </w:pPr>
          <w:r>
            <w:t>Subject</w:t>
          </w:r>
        </w:p>
      </w:docPartBody>
    </w:docPart>
    <w:docPart>
      <w:docPartPr>
        <w:name w:val="BC6A6DF0F5FC6F42961908EF6F6858FC"/>
        <w:category>
          <w:name w:val="General"/>
          <w:gallery w:val="placeholder"/>
        </w:category>
        <w:types>
          <w:type w:val="bbPlcHdr"/>
        </w:types>
        <w:behaviors>
          <w:behavior w:val="content"/>
        </w:behaviors>
        <w:guid w:val="{A2DECC88-618B-E24B-B8AA-725A751DC064}"/>
      </w:docPartPr>
      <w:docPartBody>
        <w:p w:rsidR="00337647" w:rsidRDefault="00362B45">
          <w:pPr>
            <w:pStyle w:val="BC6A6DF0F5FC6F42961908EF6F6858FC"/>
          </w:pPr>
          <w: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45"/>
    <w:rsid w:val="00337647"/>
    <w:rsid w:val="00354A94"/>
    <w:rsid w:val="00362B45"/>
    <w:rsid w:val="00F5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6BEAAB51687E4A8BE94E1F5A83AE2E">
    <w:name w:val="A76BEAAB51687E4A8BE94E1F5A83AE2E"/>
  </w:style>
  <w:style w:type="paragraph" w:customStyle="1" w:styleId="27160E038A7E494AB537AB1C68B90D2E">
    <w:name w:val="27160E038A7E494AB537AB1C68B90D2E"/>
  </w:style>
  <w:style w:type="paragraph" w:customStyle="1" w:styleId="55C7AB495A4C3A4C8B2CF8BE76764857">
    <w:name w:val="55C7AB495A4C3A4C8B2CF8BE76764857"/>
  </w:style>
  <w:style w:type="paragraph" w:customStyle="1" w:styleId="150900D67497B648BBF890EB37EA219D">
    <w:name w:val="150900D67497B648BBF890EB37EA219D"/>
  </w:style>
  <w:style w:type="paragraph" w:customStyle="1" w:styleId="647762E5F03F044483C1D6735A04B3CB">
    <w:name w:val="647762E5F03F044483C1D6735A04B3CB"/>
  </w:style>
  <w:style w:type="paragraph" w:customStyle="1" w:styleId="C6057E1BDD5CDA4A8366891DDF851825">
    <w:name w:val="C6057E1BDD5CDA4A8366891DDF851825"/>
  </w:style>
  <w:style w:type="paragraph" w:customStyle="1" w:styleId="B79E58E7E89C6A44A8D77C70FD746C9B">
    <w:name w:val="B79E58E7E89C6A44A8D77C70FD746C9B"/>
  </w:style>
  <w:style w:type="paragraph" w:customStyle="1" w:styleId="0476BFBBD9955449AE6ADAE68ED9DC3D">
    <w:name w:val="0476BFBBD9955449AE6ADAE68ED9DC3D"/>
  </w:style>
  <w:style w:type="paragraph" w:customStyle="1" w:styleId="C257FA52165FAD4A94E32E579A8CDAC1">
    <w:name w:val="C257FA52165FAD4A94E32E579A8CDAC1"/>
  </w:style>
  <w:style w:type="paragraph" w:customStyle="1" w:styleId="BC6A6DF0F5FC6F42961908EF6F6858FC">
    <w:name w:val="BC6A6DF0F5FC6F42961908EF6F6858FC"/>
  </w:style>
  <w:style w:type="paragraph" w:customStyle="1" w:styleId="0C17A8DD9D7FED4E961BF2A3282C3149">
    <w:name w:val="0C17A8DD9D7FED4E961BF2A3282C3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F84A5-61E5-8141-BA93-4E7F25EA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Sean Parrell</cp:lastModifiedBy>
  <cp:revision>2</cp:revision>
  <dcterms:created xsi:type="dcterms:W3CDTF">2021-08-30T14:25:00Z</dcterms:created>
  <dcterms:modified xsi:type="dcterms:W3CDTF">2024-09-13T20:55:00Z</dcterms:modified>
</cp:coreProperties>
</file>