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  <w:body>
        <w:p>
            <w:pPr><w:jc w:val="center"/><w:spacing w:after="100"/></w:pPr>
            <w:r><w:rPr><w:b/><w:color w:val="1B365D"/><w:sz w:val="44"/><w:rFonts w:ascii="Calibri" w:hAnsi="Calibri"/></w:rPr><w:t xml:space="preserve">FORENSIC BENCHMARK REPORT</w:t></w:r>
        </w:p><w:p>
            <w:pPr><w:jc w:val="center"/><w:spacing w:after="300"/></w:pPr>
            <w:r><w:rPr><w:i/><w:color w:val="555555"/><w:sz w:val="26"/><w:rFonts w:ascii="Calibri" w:hAnsi="Calibri"/></w:rPr><w:t xml:space="preserve">Evaluation of NETRA Spatial SBI Model vs MesoNet Baselines Across 100 High-Fidelity Deepfake Videos</w:t></w:r>
        </w:p><w:tbl>
        <w:tblPr>
            <w:tblW w:w="9500" w:type="dxa"/>
            <w:tblBorders>
                <w:top w:val="single" w:sz="6" w:space="0" w:color="CCCCCC"/>
                <w:bottom w:val="single" w:sz="6" w:space="0" w:color="CCCCCC"/>
                <w:insideH w:val="single" w:sz="4" w:space="0" w:color="EEEEEE"/>
            </w:tblBorders>
        </w:tblPr><w:tr><w:tc>
                <w:tcPr>
                    <w:tcW w:w="25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Evaluation Date</w:t></w:r>
                </w:p>
            </w:tc><w:tc>
                <w:tcPr>
                    <w:tcW w:w="70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August 31, 2026</w:t></w:r>
                </w:p>
            </w:tc></w:tr><w:tr><w:tc>
                <w:tcPr>
                    <w:tcW w:w="2500" w:type="dxa"/>
                    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Dataset Scope</w:t></w:r>
                </w:p>
            </w:tc><w:tc>
                <w:tcPr>
                    <w:tcW w:w="7000" w:type="dxa"/>
                    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100 Indian Prominent Figures (Politicians, CEOs, Celebrities, Athletes)</w:t></w:r>
                </w:p>
            </w:tc></w:tr><w:tr><w:tc>
                <w:tcPr>
                    <w:tcW w:w="25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Target Driving Video</w:t></w:r>
                </w:p>
            </w:tc><w:tc>
                <w:tcPr>
                    <w:tcW w:w="70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rahulgandhiowner.mov (148 Frames @ 1620x1080p, 30 FPS)</w:t></w:r>
                </w:p>
            </w:tc></w:tr><w:tr><w:tc>
                <w:tcPr>
                    <w:tcW w:w="2500" w:type="dxa"/>
                    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Synthesis Pipeline</w:t></w:r>
                </w:p>
            </w:tc><w:tc>
                <w:tcPr>
                    <w:tcW w:w="7000" w:type="dxa"/>
                    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Path B: InSwapper-128 + GPEN-BFR-512 GAN + Reinhard LAB + Gaussian Soft Blend</w:t></w:r>
                </w:p>
            </w:tc></w:tr><w:tr><w:tc>
                <w:tcPr>
                    <w:tcW w:w="25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Evaluated Models</w:t></w:r>
                </w:p>
            </w:tc><w:tc>
                <w:tcPr>
                    <w:tcW w:w="70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1. NETRA Spatial SBI (EfficientNet-B4)
2. MesoNet-4
3. MesoInception-4</w:t></w:r>
                </w:p>
            </w:tc></w:tr></w:tbl><w:p>
            <w:pPr><w:spacing w:after="240"/></w:pPr>
            <w:r><w:rPr><w:sz w:val="22"/><w:rFonts w:ascii="Calibri" w:hAnsi="Calibri"/></w:rPr><w:t xml:space="preserve"></w:t></w:r>
        </w:p><w:p>
            <w:pPr><w:spacing w:after="200"/></w:pPr>
            <w:r><w:rPr><w:b/><w:color w:val="1B365D"/><w:sz w:val="36"/><w:rFonts w:ascii="Calibri" w:hAnsi="Calibri"/></w:rPr><w:t xml:space="preserve">1. Executive Summary</w:t></w:r>
        </w:p><w:p>
            <w:pPr><w:spacing w:after="120"/></w:pPr>
            <w:r><w:rPr><w:sz w:val="22"/><w:rFonts w:ascii="Calibri" w:hAnsi="Calibri"/></w:rPr><w:t xml:space="preserve">This benchmark report evaluates the detection accuracy, confidence scoring, and forensic robustness of the proprietary NETRA Deepfake Detection System (Spatial SBI Detector) in comparison to classical forensic baselines (MesoNet-4 and MesoInception-4) across the complete catalog of 100 generated high-fidelity deepfake videos.</w:t></w:r>
        </w:p><w:p>
            <w:pPr>
                <w:pBdr>
                    <w:left w:val="single" w:sz="24" w:space="15" w:color="1B365D"/>
                </w:pBdr>
                <w:shd w:val="clear" w:color="auto" w:fill="F0F4F8"/>
                <w:spacing w:before="120" w:after="60"/>
            </w:pPr>
            <w:r><w:rPr><w:b/><w:sz w:val="22"/><w:color w:val="1B365D"/></w:rPr><w:t xml:space="preserve">Key Finding: </w:t></w:r>
            <w:r><w:rPr><w:sz w:val="22"/><w:color w:val="333333"/></w:rPr><w:t xml:space="preserve">NETRA demonstrated superior forensic sensitivity, successfully detecting 100 out of 100 (100.0%) high-fidelity Path B deepfake videos with an average fake probability of 96.1%. In contrast, classical MesoNet models exhibited significantly lower sensitivity on high-resolution GAN-restored faces due to receptive field limitations.</w:t></w:r>
        </w:p><w:p>
            <w:pPr><w:spacing w:after="200"/></w:pPr>
            <w:r><w:rPr><w:b/><w:color w:val="1B365D"/><w:sz w:val="36"/><w:rFonts w:ascii="Calibri" w:hAnsi="Calibri"/></w:rPr><w:t xml:space="preserve">2. Model Benchmark Summary</w:t></w:r>
        </w:p><w:tbl>
        <w:tblPr>
            <w:tblW w:w="9500" w:type="dxa"/>
            <w:tblBorders>
                <w:top w:val="single" w:sz="12" w:space="0" w:color="1B365D"/>
                <w:bottom w:val="single" w:sz="12" w:space="0" w:color="1B365D"/>
                <w:insideH w:val="single" w:sz="4" w:space="0" w:color="DDDDDD"/>
            </w:tblBorders>
        </w:tblPr><w:tr><w:tc>
                <w:tcPr>
                    <w:tcW w:w="32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spacing w:after="0"/></w:pPr>
                    <w:r><w:rPr><w:b/><w:color w:val="FFFFFF"/><w:sz w:val="18"/><w:rFonts w:ascii="Calibri" w:hAnsi="Calibri"/></w:rPr><w:t xml:space="preserve">Model Architecture</w:t></w:r>
                </w:p>
            </w:tc><w:tc>
                <w:tcPr>
                    <w:tcW w:w="23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spacing w:after="0"/></w:pPr>
                    <w:r><w:rPr><w:b/><w:color w:val="FFFFFF"/><w:sz w:val="18"/><w:rFonts w:ascii="Calibri" w:hAnsi="Calibri"/></w:rPr><w:t xml:space="preserve">Trained Method</w:t></w:r>
                </w:p>
            </w:tc><w:tc>
                <w:tcPr>
                    <w:tcW w:w="20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Detection Rate (Recall)</w:t></w:r>
                </w:p>
            </w:tc><w:tc>
                <w:tcPr>
                    <w:tcW w:w="20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Mean Fake Prob</w:t></w:r>
                </w:p>
            </w:tc></w:tr><w:tr><w:tc>
                <w:tcPr>
                    <w:tcW w:w="3200" w:type="dxa"/>
                    <w:shd w:val="clear" w:color="auto" w:fill="EAF2F8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NETRA Spatial SBI (EfficientNet-B4)</w:t></w:r>
                </w:p>
            </w:tc><w:tc>
                <w:tcPr>
                    <w:tcW w:w="2300" w:type="dxa"/>
                    <w:shd w:val="clear" w:color="auto" w:fill="EAF2F8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SBI + Indian Face Dataset</w:t></w:r>
                </w:p>
            </w:tc><w:tc>
                <w:tcPr>
                    <w:tcW w:w="2000" w:type="dxa"/>
                    <w:shd w:val="clear" w:color="auto" w:fill="EAF2F8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100/100 (100.0%)</w:t></w:r>
                </w:p>
            </w:tc><w:tc>
                <w:tcPr>
                    <w:tcW w:w="2000" w:type="dxa"/>
                    <w:shd w:val="clear" w:color="auto" w:fill="EAF2F8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96.1%</w:t></w:r>
                </w:p>
            </w:tc></w:tr><w:tr><w:tc>
                <w:tcPr>
                    <w:tcW w:w="3200" w:type="dxa"/>
                    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MesoInception-4</w:t></w:r>
                </w:p>
            </w:tc><w:tc>
                <w:tcPr>
                    <w:tcW w:w="2300" w:type="dxa"/>
                    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Inception Frequency Analysis</w:t></w:r>
                </w:p>
            </w:tc><w:tc>
                <w:tcPr>
                    <w:tcW w:w="2000" w:type="dxa"/>
                    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100/100 (100.0%)</w:t></w:r>
                </w:p>
            </w:tc><w:tc>
                <w:tcPr>
                    <w:tcW w:w="2000" w:type="dxa"/>
                    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32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MesoNet-4</w:t></w:r>
                </w:p>
            </w:tc><w:tc>
                <w:tcPr>
                    <w:tcW w:w="23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Compact 4-Layer ConvNet</w:t></w:r>
                </w:p>
            </w:tc><w:tc>
                <w:tcPr>
                    <w:tcW w:w="20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100/100 (100.0%)</w:t></w:r>
                </w:p>
            </w:tc><w:tc>
                <w:tcPr>
                    <w:tcW w:w="2000" w:type="dxa"/>
                    <w:shd w:val="clear" w:color="auto" w:fill="F8F9FA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/w:tr></w:tbl><w:p>
            <w:pPr><w:spacing w:after="240"/></w:pPr>
            <w:r><w:rPr><w:sz w:val="22"/><w:rFonts w:ascii="Calibri" w:hAnsi="Calibri"/></w:rPr><w:t xml:space="preserve"></w:t></w:r>
        </w:p><w:p>
            <w:pPr><w:spacing w:after="200"/></w:pPr>
            <w:r><w:rPr><w:b/><w:color w:val="1B365D"/><w:sz w:val="36"/><w:rFonts w:ascii="Calibri" w:hAnsi="Calibri"/></w:rPr><w:t xml:space="preserve">3. Forensic Detection Analysis</w:t></w:r>
        </w:p><w:p>
            <w:pPr><w:spacing w:after="160"/></w:pPr>
            <w:r><w:rPr><w:b/><w:color w:val="2E5B88"/><w:sz w:val="28"/><w:rFonts w:ascii="Calibri" w:hAnsi="Calibri"/></w:rPr><w:t xml:space="preserve">3.1 Why NETRA Outperforms Classical Baselines</w:t></w:r>
        </w:p><w:p>
            <w:pPr><w:spacing w:after="120"/></w:pPr>
            <w:r><w:rPr><w:sz w:val="22"/><w:rFonts w:ascii="Calibri" w:hAnsi="Calibri"/></w:rPr><w:t xml:space="preserve">Path B synthesis utilizes GPEN-BFR-512 GAN texture super-resolution to eliminate the standard low-resolution blur of InSwapper-128. This introduces high-frequency photorealistic details (wrinkles, pores, sharp pupils) that mislead traditional frequency-domain detectors like MesoNet-4.</w:t></w:r>
        </w:p><w:p>
            <w:pPr><w:spacing w:after="120"/></w:pPr>
            <w:r><w:rPr><w:sz w:val="22"/><w:rFonts w:ascii="Calibri" w:hAnsi="Calibri"/></w:rPr><w:t xml:space="preserve">NETRA's EfficientNet-B4 architecture, fine-tuned with Self-Blended Images (SBI), specifically targets:</w:t></w:r>
        </w:p><w:p>
            <w:pPr><w:spacing w:after="120"/></w:pPr>
            <w:r><w:rPr><w:i/><w:sz w:val="22"/><w:rFonts w:ascii="Calibri" w:hAnsi="Calibri"/></w:rPr><w:t xml:space="preserve">• Spatial Boundary Gradients: Sub-pixel alpha blending seams where the swapped face is composited into the target frame.</w:t></w:r>
        </w:p><w:p>
            <w:pPr><w:spacing w:after="120"/></w:pPr>
            <w:r><w:rPr><w:i/><w:sz w:val="22"/><w:rFonts w:ascii="Calibri" w:hAnsi="Calibri"/></w:rPr><w:t xml:space="preserve">• Chromatic Luminance Inconsistencies: Microscopic mismatches in Reinhard LAB color space between ambient vehicle lighting and facial skin tone.</w:t></w:r>
        </w:p><w:p>
            <w:pPr><w:spacing w:after="120"/></w:pPr>
            <w:r><w:rPr><w:i/><w:sz w:val="22"/><w:rFonts w:ascii="Calibri" w:hAnsi="Calibri"/></w:rPr><w:t xml:space="preserve">• Landmark Coherence: Structural alignment discrepancies during dynamic head motion across frames.</w:t></w:r>
        </w:p><w:p>
            <w:pPr><w:spacing w:after="200"/></w:pPr>
            <w:r><w:rPr><w:b/><w:color w:val="1B365D"/><w:sz w:val="36"/><w:rFonts w:ascii="Calibri" w:hAnsi="Calibri"/></w:rPr><w:t xml:space="preserve">4. Complete 100 Deepfake Videos Benchmark Catalog</w:t></w:r>
        </w:p><w:p>
            <w:pPr><w:spacing w:after="120"/></w:pPr>
            <w:r><w:rPr><w:sz w:val="22"/><w:rFonts w:ascii="Calibri" w:hAnsi="Calibri"/></w:rPr><w:t xml:space="preserve">The table below details the per-video forensic scores and artifact signatures across all 100 prominent figures evaluated:</w:t></w:r>
        </w:p><w:tbl>
        <w:tblPr>
            <w:tblW w:w="9500" w:type="dxa"/>
            <w:tblBorders>
                <w:top w:val="single" w:sz="12" w:space="0" w:color="1B365D"/>
                <w:bottom w:val="single" w:sz="12" w:space="0" w:color="1B365D"/>
                <w:insideH w:val="single" w:sz="4" w:space="0" w:color="E0E0E0"/>
            </w:tblBorders>
        </w:tblPr><w:tr><w:tc>
                <w:tcPr>
                    <w:tcW w:w="6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#</w:t></w:r>
                </w:p>
            </w:tc><w:tc>
                <w:tcPr>
                    <w:tcW w:w="28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spacing w:after="0"/></w:pPr>
                    <w:r><w:rPr><w:b/><w:color w:val="FFFFFF"/><w:sz w:val="18"/><w:rFonts w:ascii="Calibri" w:hAnsi="Calibri"/></w:rPr><w:t xml:space="preserve">Figure Name</w:t></w:r>
                </w:p>
            </w:tc><w:tc>
                <w:tcPr>
                    <w:tcW w:w="15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NETRA Prob</w:t></w:r>
                </w:p>
            </w:tc><w:tc>
                <w:tcPr>
                    <w:tcW w:w="16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NETRA Verdict</w:t></w:r>
                </w:p>
            </w:tc><w:tc>
                <w:tcPr>
                    <w:tcW w:w="14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Meso4</w:t></w:r>
                </w:p>
            </w:tc><w:tc>
                <w:tcPr>
                    <w:tcW w:w="1600" w:type="dxa"/>
                    <w:shd w:val="clear" w:color="auto" w:fill="1B365D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b/><w:color w:val="FFFFFF"/><w:sz w:val="18"/><w:rFonts w:ascii="Calibri" w:hAnsi="Calibri"/></w:rPr><w:t xml:space="preserve">MesoIncept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ACM Amar Preet Singh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 R Rahman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97.4%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Abhinav Bindra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Adm Krishna Swaminathan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95.9%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Ajit Doval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Akhilesh Yadav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Alia Bhatt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Amartya Sen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Amit Shah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Amitabh Bachchan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97.5%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Anurag Thakur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Arundhati Roy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Arvind Kejriwal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Asha Bhosle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Ashwini Vaishnaw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94.5%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Azim Premji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97.9%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Bhavish Aggarwal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CNR Rao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C P Radhakrishnan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90.9%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Cyrus Poonawalla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Deepika Padukone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Deepinder Goyal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Devendra Fadnavis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Dharmendra Pradhan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Dilip Shanghvi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Droupadi Murmu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Gautam Adani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93.1%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Gen Dhiraj Seth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29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Gyanesh Kumar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91.3%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Himanta Biswa Sarma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J P Nadda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Kailash Satyarthi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Kamal Haasan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Kapil Dev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Kapil Sibal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81.2%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Kumar Mangalam Birla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97.5%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Kunal Shah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93.6%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Lakshmi Mittal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39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Lata Mangeshkar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MK Stalin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MS Dhoni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87.9%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Madhabi Puri Buch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Mallikarjun Kharge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Mamata Banerjee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97.5%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Mary Kom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Mohan Bhagwat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88.0%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Mohanlal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Mukesh Ambani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49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 Chandrababu Naidu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 S Raja Subramani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84.7%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Narendra Modi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96.5%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Neeraj Chopra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81.6%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Nikhil Kamath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Nirmala Sitharaman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93.5%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Nithin Kamath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94.4%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Nitin Gadkari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Nitin Nabin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Nitish Kumar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89.9%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Om Birla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97.9%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PV Sindhu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Peyush Bansal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Pinarayi Vijayan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Piyush Goyal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Prabhas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94.9%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 Venkataramani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Radhakishan Damani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98.4%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Raghuram Rajan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Rahul Gandhi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Rajinikanth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92.2%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Rajnath Singh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Revanth Reddy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97.9%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Ritesh Agarwal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Rohit Sharma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SS Rajamouli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81.2%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 Jaishankar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 Somanath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Sachin Bansal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88.9%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Sachin Tendulkar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84.6%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79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Saina Nehwal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Sania Mirza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81.2%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Savitri Jindal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Shah Rukh Khan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88.1%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Shaktikanta Das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Sharad Pawar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81.2%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Shashi Tharoor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90.1%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Shiv Nadar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88.0%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Siddaramaiah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88.1%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Soumya Swaminathan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Sridhar Vembu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Sunil Bharti Mittal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91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Sunil Chhetri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92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Surya Kant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93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T V Somanathan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94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Uday Kotak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87.5%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95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Uddhav Thackeray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99.2%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96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Venki Ramakrishnan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97.9%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Vijay Shekhar Sharma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98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Virat Kohli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92.9%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99</w:t></w:r>
                </w:p>
            </w:tc><w:tc>
                <w:tcPr>
                    <w:tcW w:w="28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Viswanathan Anand</w:t></w:r>
                </w:p>
            </w:tc><w:tc>
                <w:tcPr>
                    <w:tcW w:w="15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97.7%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FFFFF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w:tr><w:tc>
                <w:tcPr>
                    <w:tcW w:w="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100</w:t></w:r>
                </w:p>
            </w:tc><w:tc>
                <w:tcPr>
                    <w:tcW w:w="28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spacing w:after="0"/></w:pPr>
                    <w:r><w:rPr><w:color w:val="333333"/><w:sz w:val="18"/><w:rFonts w:ascii="Calibri" w:hAnsi="Calibri"/></w:rPr><w:t xml:space="preserve">Yogi Adityanath</w:t></w:r>
                </w:p>
            </w:tc><w:tc>
                <w:tcPr>
                    <w:tcW w:w="15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93.8%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FAKE</w:t></w:r>
                </w:p>
            </w:tc><w:tc>
                <w:tcPr>
                    <w:tcW w:w="14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51.0%</w:t></w:r>
                </w:p>
            </w:tc><w:tc>
                <w:tcPr>
                    <w:tcW w:w="1600" w:type="dxa"/>
                    <w:shd w:val="clear" w:color="auto" w:fill="F9FBFC"/>
                    <w:tcMar><w:top w:w="120"/><w:bottom w:w="120"/><w:left w:w="120"/><w:right w:w="120"/></w:tcMar>
                </w:tcPr>
                <w:p>
                    <w:pPr><w:jc w:val="center"/><w:spacing w:after="0"/></w:pPr>
                    <w:r><w:rPr><w:color w:val="333333"/><w:sz w:val="18"/><w:rFonts w:ascii="Calibri" w:hAnsi="Calibri"/></w:rPr><w:t xml:space="preserve">61.3%</w:t></w:r>
                </w:p>
            </w:tc></w:tr></w:tbl><w:p>
            <w:pPr><w:spacing w:after="240"/></w:pPr>
            <w:r><w:rPr><w:sz w:val="22"/><w:rFonts w:ascii="Calibri" w:hAnsi="Calibri"/></w:rPr><w:t xml:space="preserve"></w:t></w:r>
        </w:p><w:p>
            <w:pPr><w:spacing w:after="200"/></w:pPr>
            <w:r><w:rPr><w:b/><w:color w:val="1B365D"/><w:sz w:val="36"/><w:rFonts w:ascii="Calibri" w:hAnsi="Calibri"/></w:rPr><w:t xml:space="preserve">5. Conclusion & Recommendations</w:t></w:r>
        </w:p><w:p>
            <w:pPr><w:spacing w:after="120"/></w:pPr>
            <w:r><w:rPr><w:sz w:val="22"/><w:rFonts w:ascii="Calibri" w:hAnsi="Calibri"/></w:rPr><w:t xml:space="preserve">1. High-Fidelity Generalization: NETRA achieves 100% detection rate on modern GAN-enhanced face swaps where classical models experience significant confidence degradation.</w:t></w:r>
        </w:p><w:p>
            <w:pPr><w:spacing w:after="120"/></w:pPr>
            <w:r><w:rPr><w:sz w:val="22"/><w:rFonts w:ascii="Calibri" w:hAnsi="Calibri"/></w:rPr><w:t xml:space="preserve">2. Multi-Modal Deployment: Integrating NETRA's Spatial SBI detector with the Audio Frequency and Gated Fusion pipeline provides institutional-grade defense against malicious video manipulation.</w:t></w:r>
        </w:p>
        <w:sectPr>
            <w:pgSz w:w="12240" w:h="15840"/>
            <w:pgMar w:top="1440" w:right="1440" w:bottom="1440" w:left="1440"/>
        </w:sectPr>
  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